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419100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ind w:left="680" w:hanging="650"/>
        <w:spacing w:after="0" w:line="195" w:lineRule="auto"/>
        <w:tabs>
          <w:tab w:leader="none" w:pos="68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July 31, 2020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5" w:lineRule="exact"/>
        <w:rPr>
          <w:sz w:val="24"/>
          <w:szCs w:val="24"/>
          <w:color w:val="auto"/>
        </w:rPr>
      </w:pPr>
    </w:p>
    <w:p>
      <w:pPr>
        <w:ind w:left="680" w:hanging="410"/>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180975</wp:posOffset>
            </wp:positionH>
            <wp:positionV relativeFrom="paragraph">
              <wp:posOffset>-85090</wp:posOffset>
            </wp:positionV>
            <wp:extent cx="81915" cy="83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915" cy="83185"/>
                    </a:xfrm>
                    <a:prstGeom prst="rect">
                      <a:avLst/>
                    </a:prstGeom>
                    <a:noFill/>
                  </pic:spPr>
                </pic:pic>
              </a:graphicData>
            </a:graphic>
          </wp:anchor>
        </w:drawing>
      </w:r>
    </w:p>
    <w:p>
      <w:pPr>
        <w:spacing w:after="0" w:line="97" w:lineRule="exact"/>
        <w:rPr>
          <w:sz w:val="24"/>
          <w:szCs w:val="24"/>
          <w:color w:val="auto"/>
        </w:rPr>
      </w:pPr>
    </w:p>
    <w:tbl>
      <w:tblPr>
        <w:tblLayout w:type="fixed"/>
        <w:tblInd w:w="88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172"/>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920" w:type="dxa"/>
            <w:vAlign w:val="bottom"/>
            <w:gridSpan w:val="5"/>
          </w:tcPr>
          <w:p>
            <w:pPr>
              <w:jc w:val="center"/>
              <w:ind w:right="2716"/>
              <w:spacing w:after="0"/>
              <w:rPr>
                <w:sz w:val="20"/>
                <w:szCs w:val="20"/>
                <w:color w:val="auto"/>
              </w:rPr>
            </w:pPr>
            <w:r>
              <w:rPr>
                <w:rFonts w:ascii="Times New Roman" w:cs="Times New Roman" w:eastAsia="Times New Roman" w:hAnsi="Times New Roman"/>
                <w:sz w:val="14"/>
                <w:szCs w:val="14"/>
                <w:b w:val="1"/>
                <w:bCs w:val="1"/>
                <w:color w:val="auto"/>
              </w:rPr>
              <w:t>Commission File Number 1-33913</w:t>
            </w:r>
          </w:p>
        </w:tc>
      </w:tr>
      <w:tr>
        <w:trPr>
          <w:trHeight w:val="157"/>
        </w:trPr>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20" w:type="dxa"/>
            <w:vAlign w:val="bottom"/>
            <w:gridSpan w:val="4"/>
          </w:tcPr>
          <w:p>
            <w:pPr>
              <w:jc w:val="center"/>
              <w:ind w:right="558"/>
              <w:spacing w:after="0" w:line="157" w:lineRule="exact"/>
              <w:rPr>
                <w:sz w:val="20"/>
                <w:szCs w:val="20"/>
                <w:color w:val="auto"/>
              </w:rPr>
            </w:pPr>
            <w:r>
              <w:rPr>
                <w:rFonts w:ascii="Times New Roman" w:cs="Times New Roman" w:eastAsia="Times New Roman" w:hAnsi="Times New Roman"/>
                <w:sz w:val="14"/>
                <w:szCs w:val="14"/>
                <w:color w:val="auto"/>
              </w:rPr>
              <w:t>________________________________________________</w:t>
            </w:r>
          </w:p>
        </w:tc>
        <w:tc>
          <w:tcPr>
            <w:tcW w:w="2100" w:type="dxa"/>
            <w:vAlign w:val="bottom"/>
          </w:tcPr>
          <w:p>
            <w:pPr>
              <w:spacing w:after="0"/>
              <w:rPr>
                <w:sz w:val="13"/>
                <w:szCs w:val="13"/>
                <w:color w:val="auto"/>
              </w:rPr>
            </w:pPr>
          </w:p>
        </w:tc>
      </w:tr>
      <w:tr>
        <w:trPr>
          <w:trHeight w:val="308"/>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0" w:type="dxa"/>
            <w:vAlign w:val="bottom"/>
            <w:gridSpan w:val="6"/>
          </w:tcPr>
          <w:p>
            <w:pPr>
              <w:jc w:val="center"/>
              <w:ind w:right="1596"/>
              <w:spacing w:after="0"/>
              <w:rPr>
                <w:sz w:val="20"/>
                <w:szCs w:val="20"/>
                <w:color w:val="auto"/>
              </w:rPr>
            </w:pPr>
            <w:r>
              <w:rPr>
                <w:rFonts w:ascii="Times New Roman" w:cs="Times New Roman" w:eastAsia="Times New Roman" w:hAnsi="Times New Roman"/>
                <w:sz w:val="25"/>
                <w:szCs w:val="25"/>
                <w:b w:val="1"/>
                <w:bCs w:val="1"/>
                <w:color w:val="auto"/>
              </w:rPr>
              <w:t>QUANEX BUILDING PRODUCTS CORPORATION</w:t>
            </w:r>
          </w:p>
        </w:tc>
      </w:tr>
      <w:tr>
        <w:trPr>
          <w:trHeight w:val="172"/>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920" w:type="dxa"/>
            <w:vAlign w:val="bottom"/>
            <w:gridSpan w:val="5"/>
          </w:tcPr>
          <w:p>
            <w:pPr>
              <w:jc w:val="center"/>
              <w:ind w:right="2736"/>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84"/>
        </w:trPr>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20" w:type="dxa"/>
            <w:vAlign w:val="bottom"/>
            <w:gridSpan w:val="4"/>
          </w:tcPr>
          <w:p>
            <w:pPr>
              <w:jc w:val="center"/>
              <w:ind w:right="598"/>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tc>
        <w:tc>
          <w:tcPr>
            <w:tcW w:w="2100" w:type="dxa"/>
            <w:vAlign w:val="bottom"/>
          </w:tcPr>
          <w:p>
            <w:pPr>
              <w:spacing w:after="0"/>
              <w:rPr>
                <w:sz w:val="16"/>
                <w:szCs w:val="16"/>
                <w:color w:val="auto"/>
              </w:rPr>
            </w:pPr>
          </w:p>
        </w:tc>
      </w:tr>
      <w:tr>
        <w:trPr>
          <w:trHeight w:val="272"/>
        </w:trPr>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80" w:type="dxa"/>
            <w:vAlign w:val="bottom"/>
          </w:tcPr>
          <w:p>
            <w:pPr>
              <w:jc w:val="center"/>
              <w:ind w:right="385"/>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26-1561397</w:t>
            </w:r>
          </w:p>
        </w:tc>
      </w:tr>
      <w:tr>
        <w:trPr>
          <w:trHeight w:val="144"/>
        </w:trPr>
        <w:tc>
          <w:tcPr>
            <w:tcW w:w="780" w:type="dxa"/>
            <w:vAlign w:val="bottom"/>
          </w:tcPr>
          <w:p>
            <w:pPr>
              <w:spacing w:after="0"/>
              <w:rPr>
                <w:sz w:val="12"/>
                <w:szCs w:val="12"/>
                <w:color w:val="auto"/>
              </w:rPr>
            </w:pPr>
          </w:p>
        </w:tc>
        <w:tc>
          <w:tcPr>
            <w:tcW w:w="1920" w:type="dxa"/>
            <w:vAlign w:val="bottom"/>
            <w:gridSpan w:val="2"/>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780" w:type="dxa"/>
            <w:vAlign w:val="bottom"/>
          </w:tcPr>
          <w:p>
            <w:pPr>
              <w:spacing w:after="0"/>
              <w:rPr>
                <w:sz w:val="12"/>
                <w:szCs w:val="12"/>
                <w:color w:val="auto"/>
              </w:rPr>
            </w:pPr>
          </w:p>
        </w:tc>
        <w:tc>
          <w:tcPr>
            <w:tcW w:w="1920" w:type="dxa"/>
            <w:vAlign w:val="bottom"/>
            <w:gridSpan w:val="2"/>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41"/>
        </w:trPr>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920" w:type="dxa"/>
            <w:vAlign w:val="bottom"/>
            <w:gridSpan w:val="5"/>
          </w:tcPr>
          <w:p>
            <w:pPr>
              <w:jc w:val="center"/>
              <w:ind w:right="2736"/>
              <w:spacing w:after="0"/>
              <w:rPr>
                <w:sz w:val="20"/>
                <w:szCs w:val="20"/>
                <w:color w:val="auto"/>
              </w:rPr>
            </w:pPr>
            <w:r>
              <w:rPr>
                <w:rFonts w:ascii="Times New Roman" w:cs="Times New Roman" w:eastAsia="Times New Roman" w:hAnsi="Times New Roman"/>
                <w:sz w:val="14"/>
                <w:szCs w:val="14"/>
                <w:b w:val="1"/>
                <w:bCs w:val="1"/>
                <w:color w:val="auto"/>
              </w:rPr>
              <w:t>1800 West Loop South, Suite 1500, Houston, Texas 77027</w:t>
            </w:r>
          </w:p>
        </w:tc>
      </w:tr>
      <w:tr>
        <w:trPr>
          <w:trHeight w:val="154"/>
        </w:trPr>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920" w:type="dxa"/>
            <w:vAlign w:val="bottom"/>
            <w:gridSpan w:val="5"/>
          </w:tcPr>
          <w:p>
            <w:pPr>
              <w:jc w:val="center"/>
              <w:ind w:right="271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and zip code)</w:t>
            </w:r>
          </w:p>
        </w:tc>
      </w:tr>
      <w:tr>
        <w:trPr>
          <w:trHeight w:val="172"/>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920" w:type="dxa"/>
            <w:vAlign w:val="bottom"/>
            <w:gridSpan w:val="5"/>
          </w:tcPr>
          <w:p>
            <w:pPr>
              <w:jc w:val="center"/>
              <w:ind w:right="27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(713) 961-4600</w:t>
            </w:r>
          </w:p>
        </w:tc>
      </w:tr>
      <w:tr>
        <w:trPr>
          <w:trHeight w:val="170"/>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gridSpan w:val="4"/>
          </w:tcPr>
          <w:p>
            <w:pPr>
              <w:jc w:val="center"/>
              <w:ind w:right="558"/>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tc>
        <w:tc>
          <w:tcPr>
            <w:tcW w:w="2100" w:type="dxa"/>
            <w:vAlign w:val="bottom"/>
          </w:tcPr>
          <w:p>
            <w:pPr>
              <w:spacing w:after="0"/>
              <w:rPr>
                <w:sz w:val="14"/>
                <w:szCs w:val="14"/>
                <w:color w:val="auto"/>
              </w:rPr>
            </w:pPr>
          </w:p>
        </w:tc>
      </w:tr>
      <w:tr>
        <w:trPr>
          <w:trHeight w:val="184"/>
        </w:trPr>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920" w:type="dxa"/>
            <w:vAlign w:val="bottom"/>
            <w:gridSpan w:val="5"/>
          </w:tcPr>
          <w:p>
            <w:pPr>
              <w:jc w:val="center"/>
              <w:ind w:right="2716"/>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23"/>
        </w:trPr>
        <w:tc>
          <w:tcPr>
            <w:tcW w:w="780" w:type="dxa"/>
            <w:vAlign w:val="bottom"/>
          </w:tcPr>
          <w:p>
            <w:pPr>
              <w:spacing w:after="0"/>
              <w:rPr>
                <w:sz w:val="19"/>
                <w:szCs w:val="19"/>
                <w:color w:val="auto"/>
              </w:rPr>
            </w:pPr>
          </w:p>
        </w:tc>
        <w:tc>
          <w:tcPr>
            <w:tcW w:w="1920" w:type="dxa"/>
            <w:vAlign w:val="bottom"/>
            <w:gridSpan w:val="2"/>
          </w:tcPr>
          <w:p>
            <w:pPr>
              <w:jc w:val="center"/>
              <w:ind w:right="985"/>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860" w:type="dxa"/>
            <w:vAlign w:val="bottom"/>
          </w:tcPr>
          <w:p>
            <w:pPr>
              <w:spacing w:after="0"/>
              <w:rPr>
                <w:sz w:val="19"/>
                <w:szCs w:val="19"/>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9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02"/>
        </w:trPr>
        <w:tc>
          <w:tcPr>
            <w:tcW w:w="2700" w:type="dxa"/>
            <w:vAlign w:val="bottom"/>
            <w:gridSpan w:val="3"/>
          </w:tcPr>
          <w:p>
            <w:pPr>
              <w:jc w:val="center"/>
              <w:ind w:right="225"/>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860" w:type="dxa"/>
            <w:vAlign w:val="bottom"/>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NX</w:t>
            </w:r>
          </w:p>
        </w:tc>
        <w:tc>
          <w:tcPr>
            <w:tcW w:w="198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124"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80"/>
          </w:cols>
          <w:pgMar w:left="300" w:top="706" w:right="319" w:bottom="1440" w:gutter="0" w:footer="0" w:header="0"/>
        </w:sectPr>
      </w:pPr>
    </w:p>
    <w:p>
      <w:pPr>
        <w:spacing w:after="0" w:line="61" w:lineRule="exact"/>
        <w:rPr>
          <w:sz w:val="24"/>
          <w:szCs w:val="24"/>
          <w:color w:val="auto"/>
        </w:rPr>
      </w:pPr>
    </w:p>
    <w:tbl>
      <w:tblPr>
        <w:tblLayout w:type="fixed"/>
        <w:tblInd w:w="40" w:type="dxa"/>
        <w:tblCellMar>
          <w:top w:w="0" w:type="dxa"/>
          <w:left w:w="0" w:type="dxa"/>
          <w:bottom w:w="0" w:type="dxa"/>
          <w:right w:w="0" w:type="dxa"/>
        </w:tblCellMar>
      </w:tblPr>
      <w:tr>
        <w:trPr>
          <w:trHeight w:val="22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9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1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900" w:type="dxa"/>
            <w:vAlign w:val="bottom"/>
          </w:tcPr>
          <w:p>
            <w:pPr>
              <w:ind w:left="6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2920" w:type="dxa"/>
            <w:vAlign w:val="bottom"/>
          </w:tcPr>
          <w:p>
            <w:pPr>
              <w:ind w:left="1380"/>
              <w:spacing w:after="0"/>
              <w:rPr>
                <w:sz w:val="20"/>
                <w:szCs w:val="20"/>
                <w:color w:val="auto"/>
              </w:rPr>
            </w:pPr>
            <w:r>
              <w:rPr>
                <w:rFonts w:ascii="Times New Roman" w:cs="Times New Roman" w:eastAsia="Times New Roman" w:hAnsi="Times New Roman"/>
                <w:sz w:val="14"/>
                <w:szCs w:val="14"/>
                <w:color w:val="auto"/>
                <w:w w:val="99"/>
              </w:rPr>
              <w:t>Smaller reporting company</w:t>
            </w:r>
          </w:p>
        </w:tc>
      </w:tr>
      <w:tr>
        <w:trPr>
          <w:trHeight w:val="184"/>
        </w:trPr>
        <w:tc>
          <w:tcPr>
            <w:tcW w:w="19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14"/>
                <w:szCs w:val="14"/>
                <w:color w:val="auto"/>
                <w:w w:val="99"/>
              </w:rPr>
              <w:t>Emerging growth company</w:t>
            </w:r>
          </w:p>
        </w:tc>
      </w:tr>
    </w:tbl>
    <w:p>
      <w:pPr>
        <w:spacing w:after="0" w:line="28" w:lineRule="exact"/>
        <w:rPr>
          <w:sz w:val="24"/>
          <w:szCs w:val="24"/>
          <w:color w:val="auto"/>
        </w:rPr>
      </w:pPr>
    </w:p>
    <w:p>
      <w:pPr>
        <w:ind w:left="40"/>
        <w:spacing w:after="0" w:line="28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18" w:lineRule="exact"/>
        <w:rPr>
          <w:sz w:val="24"/>
          <w:szCs w:val="24"/>
          <w:color w:val="auto"/>
        </w:rPr>
      </w:pPr>
    </w:p>
    <w:p>
      <w:pPr>
        <w:ind w:right="336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outstanding of the registrant's Common Stock as of September 1, 2020 was 32,805,438.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-222885</wp:posOffset>
            </wp:positionV>
            <wp:extent cx="67945" cy="69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45" cy="6921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88265</wp:posOffset>
            </wp:positionV>
            <wp:extent cx="71481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60960</wp:posOffset>
            </wp:positionV>
            <wp:extent cx="71481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800" w:space="140"/>
            <w:col w:w="340"/>
          </w:cols>
          <w:pgMar w:left="300" w:top="706" w:right="31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 I.</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Item 2:</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Item 3:</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Item 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 II.</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Item 1A:</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5840" w:type="dxa"/>
            <w:vAlign w:val="bottom"/>
            <w:gridSpan w:val="7"/>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tc>
        <w:tc>
          <w:tcPr>
            <w:tcW w:w="1200" w:type="dxa"/>
            <w:vAlign w:val="bottom"/>
          </w:tcPr>
          <w:p>
            <w:pPr>
              <w:spacing w:after="0"/>
              <w:rPr>
                <w:sz w:val="16"/>
                <w:szCs w:val="16"/>
                <w:color w:val="auto"/>
              </w:rPr>
            </w:pPr>
          </w:p>
        </w:tc>
      </w:tr>
      <w:tr>
        <w:trPr>
          <w:trHeight w:val="361"/>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gridSpan w:val="5"/>
          </w:tcPr>
          <w:p>
            <w:pPr>
              <w:jc w:val="center"/>
              <w:ind w:right="34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0" w:type="dxa"/>
            <w:vAlign w:val="bottom"/>
          </w:tcPr>
          <w:p>
            <w:pPr>
              <w:spacing w:after="0"/>
              <w:rPr>
                <w:sz w:val="24"/>
                <w:szCs w:val="24"/>
                <w:color w:val="auto"/>
              </w:rPr>
            </w:pPr>
          </w:p>
        </w:tc>
      </w:tr>
      <w:tr>
        <w:trPr>
          <w:trHeight w:val="403"/>
        </w:trPr>
        <w:tc>
          <w:tcPr>
            <w:tcW w:w="8280" w:type="dxa"/>
            <w:vAlign w:val="bottom"/>
            <w:gridSpan w:val="8"/>
          </w:tcPr>
          <w:p>
            <w:pPr>
              <w:spacing w:after="0"/>
              <w:rPr>
                <w:rFonts w:ascii="Times New Roman" w:cs="Times New Roman" w:eastAsia="Times New Roman" w:hAnsi="Times New Roman"/>
                <w:sz w:val="14"/>
                <w:szCs w:val="14"/>
                <w:color w:val="0000FF"/>
              </w:rPr>
            </w:pPr>
            <w:hyperlink w:anchor="page2">
              <w:r>
                <w:rPr>
                  <w:rFonts w:ascii="Times New Roman" w:cs="Times New Roman" w:eastAsia="Times New Roman" w:hAnsi="Times New Roman"/>
                  <w:sz w:val="14"/>
                  <w:szCs w:val="14"/>
                  <w:color w:val="0000FF"/>
                </w:rPr>
                <w:t>FINANCIAL INFORMATION</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1</w:t>
              </w:r>
            </w:hyperlink>
          </w:p>
        </w:tc>
      </w:tr>
      <w:tr>
        <w:trPr>
          <w:trHeight w:val="393"/>
        </w:trPr>
        <w:tc>
          <w:tcPr>
            <w:tcW w:w="82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Financial Statements (Unaudited)</w:t>
            </w:r>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1</w:t>
              </w:r>
            </w:hyperlink>
          </w:p>
        </w:tc>
      </w:tr>
      <w:tr>
        <w:trPr>
          <w:trHeight w:val="287"/>
        </w:trPr>
        <w:tc>
          <w:tcPr>
            <w:tcW w:w="8280" w:type="dxa"/>
            <w:vAlign w:val="bottom"/>
            <w:gridSpan w:val="8"/>
          </w:tcPr>
          <w:p>
            <w:pPr>
              <w:spacing w:after="0"/>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u w:val="single" w:color="auto"/>
                  <w:color w:val="0000FF"/>
                </w:rPr>
                <w:t>Condensed Consolidated Balance Sheets –</w:t>
              </w:r>
              <w:r>
                <w:rPr>
                  <w:rFonts w:ascii="Times New Roman" w:cs="Times New Roman" w:eastAsia="Times New Roman" w:hAnsi="Times New Roman"/>
                  <w:sz w:val="14"/>
                  <w:szCs w:val="14"/>
                  <w:color w:val="0000FF"/>
                </w:rPr>
                <w:t xml:space="preserve"> </w:t>
              </w:r>
            </w:hyperlink>
            <w:r>
              <w:rPr>
                <w:rFonts w:ascii="Times New Roman" w:cs="Times New Roman" w:eastAsia="Times New Roman" w:hAnsi="Times New Roman"/>
                <w:sz w:val="14"/>
                <w:szCs w:val="14"/>
                <w:color w:val="0000FF"/>
              </w:rPr>
              <w:t>July 31, 2020 and October 31, 2019</w:t>
            </w:r>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1</w:t>
              </w:r>
            </w:hyperlink>
          </w:p>
        </w:tc>
      </w:tr>
      <w:tr>
        <w:trPr>
          <w:trHeight w:val="20"/>
        </w:trPr>
        <w:tc>
          <w:tcPr>
            <w:tcW w:w="2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7"/>
        </w:trPr>
        <w:tc>
          <w:tcPr>
            <w:tcW w:w="8280" w:type="dxa"/>
            <w:vAlign w:val="bottom"/>
            <w:gridSpan w:val="8"/>
          </w:tcPr>
          <w:p>
            <w:pPr>
              <w:spacing w:after="0"/>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u w:val="single" w:color="auto"/>
                  <w:color w:val="0000FF"/>
                </w:rPr>
                <w:t>Condensed Consolidated Statements of Income (Loss) – Three</w:t>
              </w:r>
              <w:r>
                <w:rPr>
                  <w:rFonts w:ascii="Times New Roman" w:cs="Times New Roman" w:eastAsia="Times New Roman" w:hAnsi="Times New Roman"/>
                  <w:sz w:val="14"/>
                  <w:szCs w:val="14"/>
                  <w:color w:val="0000FF"/>
                </w:rPr>
                <w:t xml:space="preserve"> </w:t>
              </w:r>
            </w:hyperlink>
            <w:r>
              <w:rPr>
                <w:rFonts w:ascii="Times New Roman" w:cs="Times New Roman" w:eastAsia="Times New Roman" w:hAnsi="Times New Roman"/>
                <w:sz w:val="14"/>
                <w:szCs w:val="14"/>
                <w:color w:val="0000FF"/>
              </w:rPr>
              <w:t>and Nine Months Ended July 31, 2020 and 2019</w:t>
            </w:r>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2</w:t>
              </w:r>
            </w:hyperlink>
          </w:p>
        </w:tc>
      </w:tr>
      <w:tr>
        <w:trPr>
          <w:trHeight w:val="20"/>
        </w:trPr>
        <w:tc>
          <w:tcPr>
            <w:tcW w:w="3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8"/>
        </w:trPr>
        <w:tc>
          <w:tcPr>
            <w:tcW w:w="8280" w:type="dxa"/>
            <w:vAlign w:val="bottom"/>
            <w:gridSpan w:val="8"/>
          </w:tcPr>
          <w:p>
            <w:pPr>
              <w:spacing w:after="0"/>
              <w:rPr>
                <w:rFonts w:ascii="Times New Roman" w:cs="Times New Roman" w:eastAsia="Times New Roman" w:hAnsi="Times New Roman"/>
                <w:sz w:val="14"/>
                <w:szCs w:val="14"/>
                <w:u w:val="single" w:color="auto"/>
                <w:color w:val="0000FF"/>
              </w:rPr>
            </w:pPr>
            <w:hyperlink w:anchor="page4">
              <w:r>
                <w:rPr>
                  <w:rFonts w:ascii="Times New Roman" w:cs="Times New Roman" w:eastAsia="Times New Roman" w:hAnsi="Times New Roman"/>
                  <w:sz w:val="14"/>
                  <w:szCs w:val="14"/>
                  <w:u w:val="single" w:color="auto"/>
                  <w:color w:val="0000FF"/>
                </w:rPr>
                <w:t>Condensed Consolidated Statements of Comprehensive Income (Loss) - Three and Nine Months Ended July 31, 2020 and 2019</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4">
              <w:r>
                <w:rPr>
                  <w:rFonts w:ascii="Times New Roman" w:cs="Times New Roman" w:eastAsia="Times New Roman" w:hAnsi="Times New Roman"/>
                  <w:sz w:val="14"/>
                  <w:szCs w:val="14"/>
                  <w:u w:val="single" w:color="auto"/>
                  <w:color w:val="0000FF"/>
                </w:rPr>
                <w:t>3</w:t>
              </w:r>
            </w:hyperlink>
          </w:p>
        </w:tc>
      </w:tr>
      <w:tr>
        <w:trPr>
          <w:trHeight w:val="266"/>
        </w:trPr>
        <w:tc>
          <w:tcPr>
            <w:tcW w:w="8280" w:type="dxa"/>
            <w:vAlign w:val="bottom"/>
            <w:gridSpan w:val="8"/>
          </w:tcPr>
          <w:p>
            <w:pPr>
              <w:spacing w:after="0"/>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u w:val="single" w:color="auto"/>
                  <w:color w:val="0000FF"/>
                </w:rPr>
                <w:t>Condensed Consolidated Statements of Cash Flows –</w:t>
              </w:r>
              <w:r>
                <w:rPr>
                  <w:rFonts w:ascii="Times New Roman" w:cs="Times New Roman" w:eastAsia="Times New Roman" w:hAnsi="Times New Roman"/>
                  <w:sz w:val="14"/>
                  <w:szCs w:val="14"/>
                  <w:color w:val="0000FF"/>
                </w:rPr>
                <w:t xml:space="preserve"> </w:t>
              </w:r>
            </w:hyperlink>
            <w:r>
              <w:rPr>
                <w:rFonts w:ascii="Times New Roman" w:cs="Times New Roman" w:eastAsia="Times New Roman" w:hAnsi="Times New Roman"/>
                <w:sz w:val="14"/>
                <w:szCs w:val="14"/>
                <w:color w:val="0000FF"/>
              </w:rPr>
              <w:t>Nine Months Ended July 31, 2020 and 2019</w:t>
            </w:r>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5">
              <w:r>
                <w:rPr>
                  <w:rFonts w:ascii="Times New Roman" w:cs="Times New Roman" w:eastAsia="Times New Roman" w:hAnsi="Times New Roman"/>
                  <w:sz w:val="14"/>
                  <w:szCs w:val="14"/>
                  <w:u w:val="single" w:color="auto"/>
                  <w:color w:val="0000FF"/>
                </w:rPr>
                <w:t>4</w:t>
              </w:r>
            </w:hyperlink>
          </w:p>
        </w:tc>
      </w:tr>
      <w:tr>
        <w:trPr>
          <w:trHeight w:val="20"/>
        </w:trPr>
        <w:tc>
          <w:tcPr>
            <w:tcW w:w="306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7"/>
        </w:trPr>
        <w:tc>
          <w:tcPr>
            <w:tcW w:w="8280" w:type="dxa"/>
            <w:vAlign w:val="bottom"/>
            <w:gridSpan w:val="8"/>
          </w:tcPr>
          <w:p>
            <w:pPr>
              <w:spacing w:after="0"/>
              <w:rPr>
                <w:rFonts w:ascii="Times New Roman" w:cs="Times New Roman" w:eastAsia="Times New Roman" w:hAnsi="Times New Roman"/>
                <w:sz w:val="14"/>
                <w:szCs w:val="14"/>
                <w:color w:val="0000FF"/>
              </w:rPr>
            </w:pPr>
            <w:hyperlink w:anchor="page6">
              <w:r>
                <w:rPr>
                  <w:rFonts w:ascii="Times New Roman" w:cs="Times New Roman" w:eastAsia="Times New Roman" w:hAnsi="Times New Roman"/>
                  <w:sz w:val="14"/>
                  <w:szCs w:val="14"/>
                  <w:u w:val="single" w:color="auto"/>
                  <w:color w:val="0000FF"/>
                </w:rPr>
                <w:t>Condensed Consolidated Statement of Stockholders’ Equity –</w:t>
              </w:r>
              <w:r>
                <w:rPr>
                  <w:rFonts w:ascii="Times New Roman" w:cs="Times New Roman" w:eastAsia="Times New Roman" w:hAnsi="Times New Roman"/>
                  <w:sz w:val="14"/>
                  <w:szCs w:val="14"/>
                  <w:color w:val="0000FF"/>
                </w:rPr>
                <w:t xml:space="preserve"> </w:t>
              </w:r>
            </w:hyperlink>
            <w:r>
              <w:rPr>
                <w:rFonts w:ascii="Times New Roman" w:cs="Times New Roman" w:eastAsia="Times New Roman" w:hAnsi="Times New Roman"/>
                <w:sz w:val="14"/>
                <w:szCs w:val="14"/>
                <w:color w:val="0000FF"/>
              </w:rPr>
              <w:t>Nine Months Ended July 31, 2020 and 2019</w:t>
            </w:r>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6">
              <w:r>
                <w:rPr>
                  <w:rFonts w:ascii="Times New Roman" w:cs="Times New Roman" w:eastAsia="Times New Roman" w:hAnsi="Times New Roman"/>
                  <w:sz w:val="14"/>
                  <w:szCs w:val="14"/>
                  <w:u w:val="single" w:color="auto"/>
                  <w:color w:val="0000FF"/>
                </w:rPr>
                <w:t>5</w:t>
              </w:r>
            </w:hyperlink>
          </w:p>
        </w:tc>
      </w:tr>
      <w:tr>
        <w:trPr>
          <w:trHeight w:val="20"/>
        </w:trPr>
        <w:tc>
          <w:tcPr>
            <w:tcW w:w="3540" w:type="dxa"/>
            <w:vAlign w:val="bottom"/>
            <w:gridSpan w:val="3"/>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8"/>
        </w:trPr>
        <w:tc>
          <w:tcPr>
            <w:tcW w:w="8280" w:type="dxa"/>
            <w:vAlign w:val="bottom"/>
            <w:gridSpan w:val="8"/>
          </w:tcPr>
          <w:p>
            <w:pPr>
              <w:spacing w:after="0"/>
              <w:rPr>
                <w:rFonts w:ascii="Times New Roman" w:cs="Times New Roman" w:eastAsia="Times New Roman" w:hAnsi="Times New Roman"/>
                <w:sz w:val="14"/>
                <w:szCs w:val="14"/>
                <w:u w:val="single" w:color="auto"/>
                <w:color w:val="0000FF"/>
              </w:rPr>
            </w:pPr>
            <w:hyperlink w:anchor="page8">
              <w:r>
                <w:rPr>
                  <w:rFonts w:ascii="Times New Roman" w:cs="Times New Roman" w:eastAsia="Times New Roman" w:hAnsi="Times New Roman"/>
                  <w:sz w:val="14"/>
                  <w:szCs w:val="14"/>
                  <w:u w:val="single" w:color="auto"/>
                  <w:color w:val="0000FF"/>
                </w:rPr>
                <w:t>Notes to Unaudited Condensed Consolidated Financial Statements</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8">
              <w:r>
                <w:rPr>
                  <w:rFonts w:ascii="Times New Roman" w:cs="Times New Roman" w:eastAsia="Times New Roman" w:hAnsi="Times New Roman"/>
                  <w:sz w:val="14"/>
                  <w:szCs w:val="14"/>
                  <w:u w:val="single" w:color="auto"/>
                  <w:color w:val="0000FF"/>
                </w:rPr>
                <w:t>7</w:t>
              </w:r>
            </w:hyperlink>
          </w:p>
        </w:tc>
      </w:tr>
      <w:tr>
        <w:trPr>
          <w:trHeight w:val="350"/>
        </w:trPr>
        <w:tc>
          <w:tcPr>
            <w:tcW w:w="8280" w:type="dxa"/>
            <w:vAlign w:val="bottom"/>
            <w:gridSpan w:val="8"/>
          </w:tcPr>
          <w:p>
            <w:pPr>
              <w:spacing w:after="0"/>
              <w:rPr>
                <w:rFonts w:ascii="Times New Roman" w:cs="Times New Roman" w:eastAsia="Times New Roman" w:hAnsi="Times New Roman"/>
                <w:sz w:val="14"/>
                <w:szCs w:val="14"/>
                <w:b w:val="1"/>
                <w:bCs w:val="1"/>
                <w:color w:val="0000FF"/>
              </w:rPr>
            </w:pPr>
            <w:hyperlink w:anchor="page29">
              <w:r>
                <w:rPr>
                  <w:rFonts w:ascii="Times New Roman" w:cs="Times New Roman" w:eastAsia="Times New Roman" w:hAnsi="Times New Roman"/>
                  <w:sz w:val="14"/>
                  <w:szCs w:val="14"/>
                  <w:b w:val="1"/>
                  <w:bCs w:val="1"/>
                  <w:color w:val="0000FF"/>
                </w:rPr>
                <w:t>Management’s Discussion and Analysis of Financial Condition and Results of Operations</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29">
              <w:r>
                <w:rPr>
                  <w:rFonts w:ascii="Times New Roman" w:cs="Times New Roman" w:eastAsia="Times New Roman" w:hAnsi="Times New Roman"/>
                  <w:sz w:val="14"/>
                  <w:szCs w:val="14"/>
                  <w:u w:val="single" w:color="auto"/>
                  <w:color w:val="0000FF"/>
                </w:rPr>
                <w:t>28</w:t>
              </w:r>
            </w:hyperlink>
          </w:p>
        </w:tc>
      </w:tr>
      <w:tr>
        <w:trPr>
          <w:trHeight w:val="382"/>
        </w:trPr>
        <w:tc>
          <w:tcPr>
            <w:tcW w:w="8280" w:type="dxa"/>
            <w:vAlign w:val="bottom"/>
            <w:gridSpan w:val="8"/>
          </w:tcPr>
          <w:p>
            <w:pPr>
              <w:spacing w:after="0"/>
              <w:rPr>
                <w:rFonts w:ascii="Times New Roman" w:cs="Times New Roman" w:eastAsia="Times New Roman" w:hAnsi="Times New Roman"/>
                <w:sz w:val="14"/>
                <w:szCs w:val="14"/>
                <w:b w:val="1"/>
                <w:bCs w:val="1"/>
                <w:color w:val="0000FF"/>
              </w:rPr>
            </w:pPr>
            <w:hyperlink w:anchor="page42">
              <w:r>
                <w:rPr>
                  <w:rFonts w:ascii="Times New Roman" w:cs="Times New Roman" w:eastAsia="Times New Roman" w:hAnsi="Times New Roman"/>
                  <w:sz w:val="14"/>
                  <w:szCs w:val="14"/>
                  <w:b w:val="1"/>
                  <w:bCs w:val="1"/>
                  <w:color w:val="0000FF"/>
                </w:rPr>
                <w:t>Quantitative and Qualitative Disclosures About Market Risk</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42">
              <w:r>
                <w:rPr>
                  <w:rFonts w:ascii="Times New Roman" w:cs="Times New Roman" w:eastAsia="Times New Roman" w:hAnsi="Times New Roman"/>
                  <w:sz w:val="14"/>
                  <w:szCs w:val="14"/>
                  <w:u w:val="single" w:color="auto"/>
                  <w:color w:val="0000FF"/>
                </w:rPr>
                <w:t>41</w:t>
              </w:r>
            </w:hyperlink>
          </w:p>
        </w:tc>
      </w:tr>
      <w:tr>
        <w:trPr>
          <w:trHeight w:val="350"/>
        </w:trPr>
        <w:tc>
          <w:tcPr>
            <w:tcW w:w="8280" w:type="dxa"/>
            <w:vAlign w:val="bottom"/>
            <w:gridSpan w:val="8"/>
          </w:tcPr>
          <w:p>
            <w:pPr>
              <w:spacing w:after="0"/>
              <w:rPr>
                <w:rFonts w:ascii="Times New Roman" w:cs="Times New Roman" w:eastAsia="Times New Roman" w:hAnsi="Times New Roman"/>
                <w:sz w:val="14"/>
                <w:szCs w:val="14"/>
                <w:b w:val="1"/>
                <w:bCs w:val="1"/>
                <w:color w:val="0000FF"/>
              </w:rPr>
            </w:pPr>
            <w:hyperlink w:anchor="page43">
              <w:r>
                <w:rPr>
                  <w:rFonts w:ascii="Times New Roman" w:cs="Times New Roman" w:eastAsia="Times New Roman" w:hAnsi="Times New Roman"/>
                  <w:sz w:val="14"/>
                  <w:szCs w:val="14"/>
                  <w:b w:val="1"/>
                  <w:bCs w:val="1"/>
                  <w:color w:val="0000FF"/>
                </w:rPr>
                <w:t>Controls and Procedures</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43">
              <w:r>
                <w:rPr>
                  <w:rFonts w:ascii="Times New Roman" w:cs="Times New Roman" w:eastAsia="Times New Roman" w:hAnsi="Times New Roman"/>
                  <w:sz w:val="14"/>
                  <w:szCs w:val="14"/>
                  <w:u w:val="single" w:color="auto"/>
                  <w:color w:val="0000FF"/>
                </w:rPr>
                <w:t>42</w:t>
              </w:r>
            </w:hyperlink>
          </w:p>
        </w:tc>
      </w:tr>
      <w:tr>
        <w:trPr>
          <w:trHeight w:val="350"/>
        </w:trPr>
        <w:tc>
          <w:tcPr>
            <w:tcW w:w="8280" w:type="dxa"/>
            <w:vAlign w:val="bottom"/>
            <w:gridSpan w:val="8"/>
          </w:tcPr>
          <w:p>
            <w:pPr>
              <w:spacing w:after="0"/>
              <w:rPr>
                <w:rFonts w:ascii="Times New Roman" w:cs="Times New Roman" w:eastAsia="Times New Roman" w:hAnsi="Times New Roman"/>
                <w:sz w:val="14"/>
                <w:szCs w:val="14"/>
                <w:color w:val="0000FF"/>
              </w:rPr>
            </w:pPr>
            <w:hyperlink w:anchor="page44">
              <w:r>
                <w:rPr>
                  <w:rFonts w:ascii="Times New Roman" w:cs="Times New Roman" w:eastAsia="Times New Roman" w:hAnsi="Times New Roman"/>
                  <w:sz w:val="14"/>
                  <w:szCs w:val="14"/>
                  <w:color w:val="0000FF"/>
                </w:rPr>
                <w:t>OTHER INFORMATION</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44">
              <w:r>
                <w:rPr>
                  <w:rFonts w:ascii="Times New Roman" w:cs="Times New Roman" w:eastAsia="Times New Roman" w:hAnsi="Times New Roman"/>
                  <w:sz w:val="14"/>
                  <w:szCs w:val="14"/>
                  <w:u w:val="single" w:color="auto"/>
                  <w:color w:val="0000FF"/>
                </w:rPr>
                <w:t>43</w:t>
              </w:r>
            </w:hyperlink>
          </w:p>
        </w:tc>
      </w:tr>
      <w:tr>
        <w:trPr>
          <w:trHeight w:val="382"/>
        </w:trPr>
        <w:tc>
          <w:tcPr>
            <w:tcW w:w="8280" w:type="dxa"/>
            <w:vAlign w:val="bottom"/>
            <w:gridSpan w:val="8"/>
          </w:tcPr>
          <w:p>
            <w:pPr>
              <w:spacing w:after="0"/>
              <w:rPr>
                <w:rFonts w:ascii="Times New Roman" w:cs="Times New Roman" w:eastAsia="Times New Roman" w:hAnsi="Times New Roman"/>
                <w:sz w:val="14"/>
                <w:szCs w:val="14"/>
                <w:b w:val="1"/>
                <w:bCs w:val="1"/>
                <w:u w:val="single" w:color="auto"/>
                <w:color w:val="0000FF"/>
              </w:rPr>
            </w:pPr>
            <w:hyperlink w:anchor="page45">
              <w:r>
                <w:rPr>
                  <w:rFonts w:ascii="Times New Roman" w:cs="Times New Roman" w:eastAsia="Times New Roman" w:hAnsi="Times New Roman"/>
                  <w:sz w:val="14"/>
                  <w:szCs w:val="14"/>
                  <w:b w:val="1"/>
                  <w:bCs w:val="1"/>
                  <w:u w:val="single" w:color="auto"/>
                  <w:color w:val="0000FF"/>
                </w:rPr>
                <w:t>Risk Factors</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45">
              <w:r>
                <w:rPr>
                  <w:rFonts w:ascii="Times New Roman" w:cs="Times New Roman" w:eastAsia="Times New Roman" w:hAnsi="Times New Roman"/>
                  <w:sz w:val="14"/>
                  <w:szCs w:val="14"/>
                  <w:u w:val="single" w:color="auto"/>
                  <w:color w:val="0000FF"/>
                </w:rPr>
                <w:t>43</w:t>
              </w:r>
            </w:hyperlink>
          </w:p>
        </w:tc>
      </w:tr>
      <w:tr>
        <w:trPr>
          <w:trHeight w:val="382"/>
        </w:trPr>
        <w:tc>
          <w:tcPr>
            <w:tcW w:w="8280" w:type="dxa"/>
            <w:vAlign w:val="bottom"/>
            <w:gridSpan w:val="8"/>
          </w:tcPr>
          <w:p>
            <w:pPr>
              <w:spacing w:after="0"/>
              <w:rPr>
                <w:rFonts w:ascii="Times New Roman" w:cs="Times New Roman" w:eastAsia="Times New Roman" w:hAnsi="Times New Roman"/>
                <w:sz w:val="14"/>
                <w:szCs w:val="14"/>
                <w:b w:val="1"/>
                <w:bCs w:val="1"/>
                <w:color w:val="0000FF"/>
              </w:rPr>
            </w:pPr>
            <w:hyperlink w:anchor="page45">
              <w:r>
                <w:rPr>
                  <w:rFonts w:ascii="Times New Roman" w:cs="Times New Roman" w:eastAsia="Times New Roman" w:hAnsi="Times New Roman"/>
                  <w:sz w:val="14"/>
                  <w:szCs w:val="14"/>
                  <w:b w:val="1"/>
                  <w:bCs w:val="1"/>
                  <w:color w:val="0000FF"/>
                </w:rPr>
                <w:t>Exhibits</w:t>
              </w:r>
            </w:hyperlink>
          </w:p>
        </w:tc>
        <w:tc>
          <w:tcPr>
            <w:tcW w:w="1200" w:type="dxa"/>
            <w:vAlign w:val="bottom"/>
          </w:tcPr>
          <w:p>
            <w:pPr>
              <w:jc w:val="right"/>
              <w:spacing w:after="0"/>
              <w:rPr>
                <w:rFonts w:ascii="Times New Roman" w:cs="Times New Roman" w:eastAsia="Times New Roman" w:hAnsi="Times New Roman"/>
                <w:sz w:val="14"/>
                <w:szCs w:val="14"/>
                <w:u w:val="single" w:color="auto"/>
                <w:color w:val="0000FF"/>
              </w:rPr>
            </w:pPr>
            <w:hyperlink w:anchor="page45">
              <w:r>
                <w:rPr>
                  <w:rFonts w:ascii="Times New Roman" w:cs="Times New Roman" w:eastAsia="Times New Roman" w:hAnsi="Times New Roman"/>
                  <w:sz w:val="14"/>
                  <w:szCs w:val="14"/>
                  <w:u w:val="single" w:color="auto"/>
                  <w:color w:val="0000FF"/>
                </w:rPr>
                <w:t>43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600075</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620" w:space="520"/>
            <w:col w:w="9480"/>
          </w:cols>
          <w:pgMar w:left="640" w:top="759" w:right="6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240" w:type="dxa"/>
            <w:vAlign w:val="bottom"/>
          </w:tcPr>
          <w:p>
            <w:pPr>
              <w:spacing w:after="0"/>
              <w:rPr>
                <w:sz w:val="11"/>
                <w:szCs w:val="11"/>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0" w:type="dxa"/>
            <w:vAlign w:val="bottom"/>
          </w:tcPr>
          <w:p>
            <w:pPr>
              <w:spacing w:after="0"/>
              <w:rPr>
                <w:sz w:val="1"/>
                <w:szCs w:val="1"/>
                <w:color w:val="auto"/>
              </w:rPr>
            </w:pPr>
          </w:p>
        </w:tc>
      </w:tr>
      <w:tr>
        <w:trPr>
          <w:trHeight w:val="153"/>
        </w:trPr>
        <w:tc>
          <w:tcPr>
            <w:tcW w:w="8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2020</w:t>
            </w: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13"/>
        </w:trPr>
        <w:tc>
          <w:tcPr>
            <w:tcW w:w="8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gridSpan w:val="4"/>
          </w:tcPr>
          <w:p>
            <w:pPr>
              <w:jc w:val="right"/>
              <w:ind w:right="570"/>
              <w:spacing w:after="0" w:line="114" w:lineRule="exact"/>
              <w:rPr>
                <w:sz w:val="20"/>
                <w:szCs w:val="20"/>
                <w:color w:val="auto"/>
              </w:rPr>
            </w:pPr>
            <w:r>
              <w:rPr>
                <w:rFonts w:ascii="Times New Roman" w:cs="Times New Roman" w:eastAsia="Times New Roman" w:hAnsi="Times New Roman"/>
                <w:sz w:val="11"/>
                <w:szCs w:val="11"/>
                <w:b w:val="1"/>
                <w:bCs w:val="1"/>
                <w:color w:val="auto"/>
              </w:rPr>
              <w:t>(In thousands, except share</w:t>
            </w: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80" w:type="dxa"/>
            <w:vAlign w:val="bottom"/>
          </w:tcPr>
          <w:p>
            <w:pPr>
              <w:ind w:left="41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41,073</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30,868</w:t>
            </w:r>
          </w:p>
        </w:tc>
        <w:tc>
          <w:tcPr>
            <w:tcW w:w="0" w:type="dxa"/>
            <w:vAlign w:val="bottom"/>
          </w:tcPr>
          <w:p>
            <w:pPr>
              <w:spacing w:after="0"/>
              <w:rPr>
                <w:sz w:val="1"/>
                <w:szCs w:val="1"/>
                <w:color w:val="auto"/>
              </w:rPr>
            </w:pPr>
          </w:p>
        </w:tc>
      </w:tr>
      <w:tr>
        <w:trPr>
          <w:trHeight w:val="191"/>
        </w:trPr>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$344 and $393</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84,479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82,946</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Inventories, net</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63,939</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67,159</w:t>
            </w:r>
          </w:p>
        </w:tc>
        <w:tc>
          <w:tcPr>
            <w:tcW w:w="0" w:type="dxa"/>
            <w:vAlign w:val="bottom"/>
          </w:tcPr>
          <w:p>
            <w:pPr>
              <w:spacing w:after="0"/>
              <w:rPr>
                <w:sz w:val="1"/>
                <w:szCs w:val="1"/>
                <w:color w:val="auto"/>
              </w:rPr>
            </w:pPr>
          </w:p>
        </w:tc>
      </w:tr>
      <w:tr>
        <w:trPr>
          <w:trHeight w:val="191"/>
        </w:trPr>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7,930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9,353</w:t>
            </w:r>
          </w:p>
        </w:tc>
        <w:tc>
          <w:tcPr>
            <w:tcW w:w="0" w:type="dxa"/>
            <w:vAlign w:val="bottom"/>
          </w:tcPr>
          <w:p>
            <w:pPr>
              <w:spacing w:after="0"/>
              <w:rPr>
                <w:sz w:val="1"/>
                <w:szCs w:val="1"/>
                <w:color w:val="auto"/>
              </w:rPr>
            </w:pPr>
          </w:p>
        </w:tc>
      </w:tr>
      <w:tr>
        <w:trPr>
          <w:trHeight w:val="22"/>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197,421</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190,326</w:t>
            </w:r>
          </w:p>
        </w:tc>
        <w:tc>
          <w:tcPr>
            <w:tcW w:w="0" w:type="dxa"/>
            <w:vAlign w:val="bottom"/>
          </w:tcPr>
          <w:p>
            <w:pPr>
              <w:spacing w:after="0"/>
              <w:rPr>
                <w:sz w:val="1"/>
                <w:szCs w:val="1"/>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 of $334,664 and $317,568</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186,830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193,600</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49,644</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146,932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145,563</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96,957</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107,297</w:t>
            </w:r>
          </w:p>
        </w:tc>
        <w:tc>
          <w:tcPr>
            <w:tcW w:w="0" w:type="dxa"/>
            <w:vAlign w:val="bottom"/>
          </w:tcPr>
          <w:p>
            <w:pPr>
              <w:spacing w:after="0"/>
              <w:rPr>
                <w:sz w:val="1"/>
                <w:szCs w:val="1"/>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9,007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8,324</w:t>
            </w:r>
          </w:p>
        </w:tc>
        <w:tc>
          <w:tcPr>
            <w:tcW w:w="0" w:type="dxa"/>
            <w:vAlign w:val="bottom"/>
          </w:tcPr>
          <w:p>
            <w:pPr>
              <w:spacing w:after="0"/>
              <w:rPr>
                <w:sz w:val="1"/>
                <w:szCs w:val="1"/>
                <w:color w:val="auto"/>
              </w:rPr>
            </w:pPr>
          </w:p>
        </w:tc>
      </w:tr>
      <w:tr>
        <w:trPr>
          <w:trHeight w:val="22"/>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686,791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645,110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12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6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58,676</w:t>
            </w:r>
          </w:p>
        </w:tc>
        <w:tc>
          <w:tcPr>
            <w:tcW w:w="14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63,604</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33,916</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39,221</w:t>
            </w:r>
          </w:p>
        </w:tc>
        <w:tc>
          <w:tcPr>
            <w:tcW w:w="0" w:type="dxa"/>
            <w:vAlign w:val="bottom"/>
          </w:tcPr>
          <w:p>
            <w:pPr>
              <w:spacing w:after="0"/>
              <w:rPr>
                <w:sz w:val="1"/>
                <w:szCs w:val="1"/>
                <w:color w:val="auto"/>
              </w:rPr>
            </w:pPr>
          </w:p>
        </w:tc>
      </w:tr>
      <w:tr>
        <w:trPr>
          <w:trHeight w:val="191"/>
        </w:trPr>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6,350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6,183</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690</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91"/>
        </w:trPr>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7,307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106,939</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109,754</w:t>
            </w:r>
          </w:p>
        </w:tc>
        <w:tc>
          <w:tcPr>
            <w:tcW w:w="0" w:type="dxa"/>
            <w:vAlign w:val="bottom"/>
          </w:tcPr>
          <w:p>
            <w:pPr>
              <w:spacing w:after="0"/>
              <w:rPr>
                <w:sz w:val="1"/>
                <w:szCs w:val="1"/>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152,062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156,414</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42,740</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Deferred pension and postretirement benefits</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11,375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13,322</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20,507</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19,363</w:t>
            </w:r>
          </w:p>
        </w:tc>
        <w:tc>
          <w:tcPr>
            <w:tcW w:w="0" w:type="dxa"/>
            <w:vAlign w:val="bottom"/>
          </w:tcPr>
          <w:p>
            <w:pPr>
              <w:spacing w:after="0"/>
              <w:rPr>
                <w:sz w:val="1"/>
                <w:szCs w:val="1"/>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13,230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16,070</w:t>
            </w:r>
          </w:p>
        </w:tc>
        <w:tc>
          <w:tcPr>
            <w:tcW w:w="0" w:type="dxa"/>
            <w:vAlign w:val="bottom"/>
          </w:tcPr>
          <w:p>
            <w:pPr>
              <w:spacing w:after="0"/>
              <w:rPr>
                <w:sz w:val="1"/>
                <w:szCs w:val="1"/>
                <w:color w:val="auto"/>
              </w:rPr>
            </w:pPr>
          </w:p>
        </w:tc>
      </w:tr>
      <w:tr>
        <w:trPr>
          <w:trHeight w:val="22"/>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346,853</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314,923</w:t>
            </w:r>
          </w:p>
        </w:tc>
        <w:tc>
          <w:tcPr>
            <w:tcW w:w="0" w:type="dxa"/>
            <w:vAlign w:val="bottom"/>
          </w:tcPr>
          <w:p>
            <w:pPr>
              <w:spacing w:after="0"/>
              <w:rPr>
                <w:sz w:val="1"/>
                <w:szCs w:val="1"/>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 no par value, shares authorized 1,000,000; issued and outstanding - none</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68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Common stock, $0.01 par value, shares authorized 125,000,000; issued 37,304,366 and 37,370,402, respectively; outstanding 32,801,738 and</w:t>
            </w: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8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33,021,789, respectively</w:t>
            </w:r>
          </w:p>
        </w:tc>
        <w:tc>
          <w:tcPr>
            <w:tcW w:w="26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253,144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254,673</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193,989</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185,703</w:t>
            </w:r>
          </w:p>
        </w:tc>
        <w:tc>
          <w:tcPr>
            <w:tcW w:w="0" w:type="dxa"/>
            <w:vAlign w:val="bottom"/>
          </w:tcPr>
          <w:p>
            <w:pPr>
              <w:spacing w:after="0"/>
              <w:rPr>
                <w:sz w:val="1"/>
                <w:szCs w:val="1"/>
                <w:color w:val="auto"/>
              </w:rPr>
            </w:pPr>
          </w:p>
        </w:tc>
      </w:tr>
      <w:tr>
        <w:trPr>
          <w:trHeight w:val="191"/>
        </w:trPr>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(33,817)</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Treasury stock at cost, 4,502,628 and 4,348,613 shares, respectively</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(78,749)</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(76,746)</w:t>
            </w:r>
          </w:p>
        </w:tc>
        <w:tc>
          <w:tcPr>
            <w:tcW w:w="0" w:type="dxa"/>
            <w:vAlign w:val="bottom"/>
          </w:tcPr>
          <w:p>
            <w:pPr>
              <w:spacing w:after="0"/>
              <w:rPr>
                <w:sz w:val="1"/>
                <w:szCs w:val="1"/>
                <w:color w:val="auto"/>
              </w:rPr>
            </w:pPr>
          </w:p>
        </w:tc>
      </w:tr>
      <w:tr>
        <w:trPr>
          <w:trHeight w:val="181"/>
        </w:trPr>
        <w:tc>
          <w:tcPr>
            <w:tcW w:w="8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339,938</w:t>
            </w: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330,187</w:t>
            </w:r>
          </w:p>
        </w:tc>
        <w:tc>
          <w:tcPr>
            <w:tcW w:w="0" w:type="dxa"/>
            <w:vAlign w:val="bottom"/>
          </w:tcPr>
          <w:p>
            <w:pPr>
              <w:spacing w:after="0"/>
              <w:rPr>
                <w:sz w:val="1"/>
                <w:szCs w:val="1"/>
                <w:color w:val="auto"/>
              </w:rPr>
            </w:pPr>
          </w:p>
        </w:tc>
      </w:tr>
      <w:tr>
        <w:trPr>
          <w:trHeight w:val="22"/>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686,791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645,110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5"/>
          </w:tcPr>
          <w:p>
            <w:pPr>
              <w:ind w:left="5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8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60" w:type="dxa"/>
            <w:vAlign w:val="bottom"/>
          </w:tcPr>
          <w:p>
            <w:pPr>
              <w:spacing w:after="0"/>
              <w:rPr>
                <w:sz w:val="12"/>
                <w:szCs w:val="12"/>
                <w:color w:val="auto"/>
              </w:rPr>
            </w:pPr>
          </w:p>
        </w:tc>
      </w:tr>
      <w:tr>
        <w:trPr>
          <w:trHeight w:val="163"/>
        </w:trPr>
        <w:tc>
          <w:tcPr>
            <w:tcW w:w="5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760" w:type="dxa"/>
            <w:vAlign w:val="bottom"/>
            <w:tcBorders>
              <w:bottom w:val="single" w:sz="8" w:color="auto"/>
            </w:tcBorders>
          </w:tcPr>
          <w:p>
            <w:pPr>
              <w:spacing w:after="0"/>
              <w:rPr>
                <w:sz w:val="14"/>
                <w:szCs w:val="14"/>
                <w:color w:val="auto"/>
              </w:rPr>
            </w:pPr>
          </w:p>
        </w:tc>
      </w:tr>
      <w:tr>
        <w:trPr>
          <w:trHeight w:val="150"/>
        </w:trPr>
        <w:tc>
          <w:tcPr>
            <w:tcW w:w="59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2020</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2020</w:t>
            </w: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0"/>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96"/>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212,096</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238,461</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596,168</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653,472</w:t>
            </w: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and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162,427</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181,357</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469,586</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511,292</w:t>
            </w:r>
          </w:p>
        </w:tc>
      </w:tr>
      <w:tr>
        <w:trPr>
          <w:trHeight w:val="191"/>
        </w:trPr>
        <w:tc>
          <w:tcPr>
            <w:tcW w:w="5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21,973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62,818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77,466</w:t>
            </w: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477</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191"/>
        </w:trPr>
        <w:tc>
          <w:tcPr>
            <w:tcW w:w="5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11,060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35,851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37,158</w:t>
            </w: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2"/>
        </w:trPr>
        <w:tc>
          <w:tcPr>
            <w:tcW w:w="5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Asset impairment charges</w:t>
            </w: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29,978</w:t>
            </w:r>
          </w:p>
        </w:tc>
      </w:tr>
      <w:tr>
        <w:trPr>
          <w:trHeight w:val="18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16,563</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19,110</w:t>
            </w: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27,436</w:t>
            </w:r>
          </w:p>
        </w:tc>
        <w:tc>
          <w:tcPr>
            <w:tcW w:w="1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w:t>
            </w: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(expense) income:</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91"/>
        </w:trPr>
        <w:tc>
          <w:tcPr>
            <w:tcW w:w="5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(7,614)</w:t>
            </w: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2"/>
        </w:trPr>
        <w:tc>
          <w:tcPr>
            <w:tcW w:w="5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116</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8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15,178</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16,799</w:t>
            </w: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23,242</w:t>
            </w:r>
          </w:p>
        </w:tc>
        <w:tc>
          <w:tcPr>
            <w:tcW w:w="1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(9,856)</w:t>
            </w: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2"/>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(5,926)</w:t>
            </w:r>
          </w:p>
        </w:tc>
      </w:tr>
      <w:tr>
        <w:trPr>
          <w:trHeight w:val="20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10,833</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16,344</w:t>
            </w:r>
          </w:p>
        </w:tc>
        <w:tc>
          <w:tcPr>
            <w:tcW w:w="1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(15,782)</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4"/>
        </w:trPr>
        <w:tc>
          <w:tcPr>
            <w:tcW w:w="5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(loss) per common share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0.33</w:t>
            </w:r>
          </w:p>
        </w:tc>
        <w:tc>
          <w:tcPr>
            <w:tcW w:w="1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0.50</w:t>
            </w:r>
          </w:p>
        </w:tc>
        <w:tc>
          <w:tcPr>
            <w:tcW w:w="18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2"/>
        </w:trPr>
        <w:tc>
          <w:tcPr>
            <w:tcW w:w="5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(loss) per common share: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0.33</w:t>
            </w:r>
          </w:p>
        </w:tc>
        <w:tc>
          <w:tcPr>
            <w:tcW w:w="1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0.50</w:t>
            </w:r>
          </w:p>
        </w:tc>
        <w:tc>
          <w:tcPr>
            <w:tcW w:w="18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2"/>
        </w:trPr>
        <w:tc>
          <w:tcPr>
            <w:tcW w:w="5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32,610</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32,899</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32,716</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32,984</w:t>
            </w:r>
          </w:p>
        </w:tc>
      </w:tr>
      <w:tr>
        <w:trPr>
          <w:trHeight w:val="191"/>
        </w:trPr>
        <w:tc>
          <w:tcPr>
            <w:tcW w:w="5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32,739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32,845</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32,984</w:t>
            </w:r>
          </w:p>
        </w:tc>
      </w:tr>
      <w:tr>
        <w:trPr>
          <w:trHeight w:val="22"/>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2"/>
        </w:trPr>
        <w:tc>
          <w:tcPr>
            <w:tcW w:w="5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per share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0.08</w:t>
            </w:r>
          </w:p>
        </w:tc>
        <w:tc>
          <w:tcPr>
            <w:tcW w:w="1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ind w:left="320" w:right="2780"/>
        <w:spacing w:after="0" w:line="282" w:lineRule="auto"/>
        <w:rPr>
          <w:sz w:val="20"/>
          <w:szCs w:val="20"/>
          <w:color w:val="auto"/>
        </w:rPr>
      </w:pPr>
      <w:r>
        <w:rPr>
          <w:rFonts w:ascii="Times New Roman" w:cs="Times New Roman" w:eastAsia="Times New Roman" w:hAnsi="Times New Roman"/>
          <w:sz w:val="14"/>
          <w:szCs w:val="14"/>
          <w:b w:val="1"/>
          <w:bCs w:val="1"/>
          <w:color w:val="auto"/>
        </w:rPr>
        <w:t>QUANEX BUILDING PRODUCTS CORPORATION CONDENSED CONSOLIDATED STATEMENTS OF COMPREHENSIVE INCOME (LOSS) (Unaudited)</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40" w:type="dxa"/>
            <w:vAlign w:val="bottom"/>
          </w:tcPr>
          <w:p>
            <w:pPr>
              <w:spacing w:after="0"/>
              <w:rPr>
                <w:sz w:val="12"/>
                <w:szCs w:val="12"/>
                <w:color w:val="auto"/>
              </w:rPr>
            </w:pPr>
          </w:p>
        </w:tc>
        <w:tc>
          <w:tcPr>
            <w:tcW w:w="1640" w:type="dxa"/>
            <w:vAlign w:val="bottom"/>
            <w:gridSpan w:val="4"/>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3"/>
        </w:trPr>
        <w:tc>
          <w:tcPr>
            <w:tcW w:w="7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700" w:type="dxa"/>
            <w:vAlign w:val="bottom"/>
            <w:tcBorders>
              <w:bottom w:val="single" w:sz="8" w:color="auto"/>
            </w:tcBorders>
          </w:tcPr>
          <w:p>
            <w:pPr>
              <w:spacing w:after="0"/>
              <w:rPr>
                <w:sz w:val="14"/>
                <w:szCs w:val="14"/>
                <w:color w:val="auto"/>
              </w:rPr>
            </w:pPr>
          </w:p>
        </w:tc>
      </w:tr>
      <w:tr>
        <w:trPr>
          <w:trHeight w:val="150"/>
        </w:trPr>
        <w:tc>
          <w:tcPr>
            <w:tcW w:w="7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0"/>
        </w:trPr>
        <w:tc>
          <w:tcPr>
            <w:tcW w:w="7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6"/>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11,841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(15,782)</w:t>
            </w: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w:t>
            </w:r>
          </w:p>
        </w:tc>
      </w:tr>
      <w:tr>
        <w:trPr>
          <w:trHeight w:val="191"/>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Change in pension from net unamortized gain (loss) adjustment (pretax)</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2"/>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pension from net unamortized gain (loss) adjustment tax (expense) benefit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(7,569)</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8"/>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1,694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center"/>
              <w:ind w:left="43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80" w:type="dxa"/>
            <w:vAlign w:val="bottom"/>
          </w:tcPr>
          <w:p>
            <w:pPr>
              <w:spacing w:after="0"/>
              <w:rPr>
                <w:sz w:val="12"/>
                <w:szCs w:val="12"/>
                <w:color w:val="auto"/>
              </w:rPr>
            </w:pPr>
          </w:p>
        </w:tc>
      </w:tr>
      <w:tr>
        <w:trPr>
          <w:trHeight w:val="163"/>
        </w:trPr>
        <w:tc>
          <w:tcPr>
            <w:tcW w:w="8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411"/>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780" w:type="dxa"/>
            <w:vAlign w:val="bottom"/>
            <w:tcBorders>
              <w:bottom w:val="single" w:sz="8" w:color="auto"/>
            </w:tcBorders>
          </w:tcPr>
          <w:p>
            <w:pPr>
              <w:spacing w:after="0"/>
              <w:rPr>
                <w:sz w:val="14"/>
                <w:szCs w:val="14"/>
                <w:color w:val="auto"/>
              </w:rPr>
            </w:pPr>
          </w:p>
        </w:tc>
      </w:tr>
      <w:tr>
        <w:trPr>
          <w:trHeight w:val="150"/>
        </w:trPr>
        <w:tc>
          <w:tcPr>
            <w:tcW w:w="86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2020</w:t>
            </w: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46"/>
        </w:trPr>
        <w:tc>
          <w:tcPr>
            <w:tcW w:w="8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center"/>
              <w:ind w:left="41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80" w:type="dxa"/>
            <w:vAlign w:val="bottom"/>
          </w:tcPr>
          <w:p>
            <w:pPr>
              <w:spacing w:after="0"/>
              <w:rPr>
                <w:sz w:val="12"/>
                <w:szCs w:val="12"/>
                <w:color w:val="auto"/>
              </w:rPr>
            </w:pPr>
          </w:p>
        </w:tc>
      </w:tr>
      <w:tr>
        <w:trPr>
          <w:trHeight w:val="184"/>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2"/>
        </w:trPr>
        <w:tc>
          <w:tcPr>
            <w:tcW w:w="8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16,344</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(15,782)</w:t>
            </w:r>
          </w:p>
        </w:tc>
      </w:tr>
      <w:tr>
        <w:trPr>
          <w:trHeight w:val="191"/>
        </w:trPr>
        <w:tc>
          <w:tcPr>
            <w:tcW w:w="8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income (loss) to cash provided by operating activities: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35,851</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37,158</w:t>
            </w:r>
          </w:p>
        </w:tc>
      </w:tr>
      <w:tr>
        <w:trPr>
          <w:trHeight w:val="191"/>
        </w:trPr>
        <w:tc>
          <w:tcPr>
            <w:tcW w:w="8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r>
      <w:tr>
        <w:trPr>
          <w:trHeight w:val="191"/>
        </w:trPr>
        <w:tc>
          <w:tcPr>
            <w:tcW w:w="8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 impairment charges</w:t>
            </w:r>
          </w:p>
        </w:tc>
        <w:tc>
          <w:tcPr>
            <w:tcW w:w="30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29,978</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r>
      <w:tr>
        <w:trPr>
          <w:trHeight w:val="191"/>
        </w:trPr>
        <w:tc>
          <w:tcPr>
            <w:tcW w:w="8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(Increase) decrease in accounts receivable</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91"/>
        </w:trPr>
        <w:tc>
          <w:tcPr>
            <w:tcW w:w="8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Decrease (increase) in inventory</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(14,747)</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Decrease (increase) in other current assets</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r>
      <w:tr>
        <w:trPr>
          <w:trHeight w:val="191"/>
        </w:trPr>
        <w:tc>
          <w:tcPr>
            <w:tcW w:w="8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(Decrease) increase in accounts payable</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Decrease in accrued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w:t>
            </w:r>
          </w:p>
        </w:tc>
      </w:tr>
      <w:tr>
        <w:trPr>
          <w:trHeight w:val="191"/>
        </w:trPr>
        <w:tc>
          <w:tcPr>
            <w:tcW w:w="8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Increase in income taxes payable</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Increase in deferred pension and postretirement benefits</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w:t>
            </w:r>
          </w:p>
        </w:tc>
      </w:tr>
      <w:tr>
        <w:trPr>
          <w:trHeight w:val="191"/>
        </w:trPr>
        <w:tc>
          <w:tcPr>
            <w:tcW w:w="8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Decrease in other long-term liabilities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81"/>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47,561</w:t>
            </w: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30,036</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1"/>
        </w:trPr>
        <w:tc>
          <w:tcPr>
            <w:tcW w:w="8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(16,984)</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8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disposition of capital assets</w:t>
            </w: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1"/>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for investing activities</w:t>
            </w: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(20,542)</w:t>
            </w: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(16,669)</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1"/>
        </w:trPr>
        <w:tc>
          <w:tcPr>
            <w:tcW w:w="8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Borrowings under credit facilities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114,500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66,500</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Repayments of credit facility borrowings</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(119,000)</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w:t>
            </w:r>
          </w:p>
        </w:tc>
      </w:tr>
      <w:tr>
        <w:trPr>
          <w:trHeight w:val="191"/>
        </w:trPr>
        <w:tc>
          <w:tcPr>
            <w:tcW w:w="8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Repayments of other long-term debt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 dividends paid</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(7,910)</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w:t>
            </w:r>
          </w:p>
        </w:tc>
      </w:tr>
      <w:tr>
        <w:trPr>
          <w:trHeight w:val="191"/>
        </w:trPr>
        <w:tc>
          <w:tcPr>
            <w:tcW w:w="8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w:t>
            </w:r>
          </w:p>
        </w:tc>
      </w:tr>
      <w:tr>
        <w:trPr>
          <w:trHeight w:val="22"/>
        </w:trPr>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Payroll tax paid to settle shares forfeited upon vesting of stock</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91"/>
        </w:trPr>
        <w:tc>
          <w:tcPr>
            <w:tcW w:w="8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for financing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(17,394)</w:t>
            </w: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(30,548)</w:t>
            </w:r>
          </w:p>
        </w:tc>
      </w:tr>
      <w:tr>
        <w:trPr>
          <w:trHeight w:val="191"/>
        </w:trPr>
        <w:tc>
          <w:tcPr>
            <w:tcW w:w="8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3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10,205</w:t>
            </w: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(18,352)</w:t>
            </w:r>
          </w:p>
        </w:tc>
      </w:tr>
      <w:tr>
        <w:trPr>
          <w:trHeight w:val="191"/>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30,868</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29,003</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41,073</w:t>
            </w: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3420" w:type="dxa"/>
            <w:vAlign w:val="bottom"/>
            <w:vMerge w:val="restart"/>
          </w:tcPr>
          <w:p>
            <w:pPr>
              <w:jc w:val="center"/>
              <w:ind w:left="230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8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960" w:type="dxa"/>
            <w:vAlign w:val="bottom"/>
          </w:tcPr>
          <w:p>
            <w:pPr>
              <w:jc w:val="center"/>
              <w:ind w:left="265"/>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7"/>
        </w:trPr>
        <w:tc>
          <w:tcPr>
            <w:tcW w:w="1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Nine Months Ended July 31, 2020</w:t>
            </w:r>
          </w:p>
        </w:tc>
        <w:tc>
          <w:tcPr>
            <w:tcW w:w="3420" w:type="dxa"/>
            <w:vAlign w:val="bottom"/>
            <w:vMerge w:val="continue"/>
          </w:tcPr>
          <w:p>
            <w:pPr>
              <w:spacing w:after="0"/>
              <w:rPr>
                <w:sz w:val="10"/>
                <w:szCs w:val="10"/>
                <w:color w:val="auto"/>
              </w:rPr>
            </w:pPr>
          </w:p>
        </w:tc>
        <w:tc>
          <w:tcPr>
            <w:tcW w:w="11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0" w:type="dxa"/>
            <w:vAlign w:val="bottom"/>
            <w:vMerge w:val="continue"/>
          </w:tcPr>
          <w:p>
            <w:pPr>
              <w:spacing w:after="0"/>
              <w:rPr>
                <w:sz w:val="10"/>
                <w:szCs w:val="10"/>
                <w:color w:val="auto"/>
              </w:rPr>
            </w:pPr>
          </w:p>
        </w:tc>
        <w:tc>
          <w:tcPr>
            <w:tcW w:w="1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980" w:type="dxa"/>
            <w:vAlign w:val="bottom"/>
            <w:vMerge w:val="continue"/>
          </w:tcPr>
          <w:p>
            <w:pPr>
              <w:spacing w:after="0"/>
              <w:rPr>
                <w:sz w:val="10"/>
                <w:szCs w:val="10"/>
                <w:color w:val="auto"/>
              </w:rPr>
            </w:pPr>
          </w:p>
        </w:tc>
        <w:tc>
          <w:tcPr>
            <w:tcW w:w="960" w:type="dxa"/>
            <w:vAlign w:val="bottom"/>
          </w:tcPr>
          <w:p>
            <w:pPr>
              <w:jc w:val="center"/>
              <w:ind w:left="245"/>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1840" w:type="dxa"/>
            <w:vAlign w:val="bottom"/>
            <w:tcBorders>
              <w:bottom w:val="single" w:sz="8" w:color="auto"/>
            </w:tcBorders>
            <w:vMerge w:val="continue"/>
          </w:tcPr>
          <w:p>
            <w:pPr>
              <w:spacing w:after="0"/>
              <w:rPr>
                <w:sz w:val="9"/>
                <w:szCs w:val="9"/>
                <w:color w:val="auto"/>
              </w:rPr>
            </w:pPr>
          </w:p>
        </w:tc>
        <w:tc>
          <w:tcPr>
            <w:tcW w:w="3420" w:type="dxa"/>
            <w:vAlign w:val="bottom"/>
          </w:tcPr>
          <w:p>
            <w:pPr>
              <w:jc w:val="center"/>
              <w:ind w:left="2306"/>
              <w:spacing w:after="0" w:line="95" w:lineRule="exact"/>
              <w:rPr>
                <w:sz w:val="20"/>
                <w:szCs w:val="20"/>
                <w:color w:val="auto"/>
              </w:rPr>
            </w:pPr>
            <w:r>
              <w:rPr>
                <w:rFonts w:ascii="Times New Roman" w:cs="Times New Roman" w:eastAsia="Times New Roman" w:hAnsi="Times New Roman"/>
                <w:sz w:val="10"/>
                <w:szCs w:val="10"/>
                <w:b w:val="1"/>
                <w:bCs w:val="1"/>
                <w:color w:val="auto"/>
              </w:rPr>
              <w:t>Stock</w:t>
            </w:r>
          </w:p>
        </w:tc>
        <w:tc>
          <w:tcPr>
            <w:tcW w:w="116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0" w:type="dxa"/>
            <w:vAlign w:val="bottom"/>
          </w:tcPr>
          <w:p>
            <w:pPr>
              <w:ind w:left="32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5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 Loss</w:t>
            </w:r>
          </w:p>
        </w:tc>
        <w:tc>
          <w:tcPr>
            <w:tcW w:w="980" w:type="dxa"/>
            <w:vAlign w:val="bottom"/>
          </w:tcPr>
          <w:p>
            <w:pPr>
              <w:jc w:val="center"/>
              <w:ind w:right="26"/>
              <w:spacing w:after="0" w:line="95" w:lineRule="exact"/>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tcPr>
          <w:p>
            <w:pPr>
              <w:jc w:val="center"/>
              <w:ind w:left="265"/>
              <w:spacing w:after="0" w:line="95"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26670</wp:posOffset>
            </wp:positionV>
            <wp:extent cx="43656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65625" cy="6985"/>
                    </a:xfrm>
                    <a:prstGeom prst="rect">
                      <a:avLst/>
                    </a:prstGeom>
                    <a:noFill/>
                  </pic:spPr>
                </pic:pic>
              </a:graphicData>
            </a:graphic>
          </wp:anchor>
        </w:drawing>
      </w:r>
    </w:p>
    <w:p>
      <w:pPr>
        <w:spacing w:after="0" w:line="3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1"/>
          <w:szCs w:val="11"/>
          <w:b w:val="1"/>
          <w:bCs w:val="1"/>
          <w:color w:val="auto"/>
        </w:rPr>
        <w:t>(In thousands, no per share amounts shown except in verbiage)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2019</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254,673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185,703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330,187</w:t>
            </w:r>
          </w:p>
        </w:tc>
        <w:tc>
          <w:tcPr>
            <w:tcW w:w="160" w:type="dxa"/>
            <w:vAlign w:val="bottom"/>
          </w:tcPr>
          <w:p>
            <w:pPr>
              <w:spacing w:after="0"/>
              <w:rPr>
                <w:sz w:val="17"/>
                <w:szCs w:val="17"/>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2,743</w:t>
            </w:r>
          </w:p>
        </w:tc>
        <w:tc>
          <w:tcPr>
            <w:tcW w:w="160" w:type="dxa"/>
            <w:vAlign w:val="bottom"/>
          </w:tcPr>
          <w:p>
            <w:pPr>
              <w:spacing w:after="0"/>
              <w:rPr>
                <w:sz w:val="16"/>
                <w:szCs w:val="16"/>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dividends ($0.08 per share)</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160" w:type="dxa"/>
            <w:vAlign w:val="bottom"/>
          </w:tcPr>
          <w:p>
            <w:pPr>
              <w:spacing w:after="0"/>
              <w:rPr>
                <w:sz w:val="16"/>
                <w:szCs w:val="16"/>
                <w:color w:val="auto"/>
              </w:rPr>
            </w:pPr>
          </w:p>
        </w:tc>
      </w:tr>
      <w:tr>
        <w:trPr>
          <w:trHeight w:val="17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pension from net unamortized gain (net of tax expense of</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$609)</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1,910</w:t>
            </w: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Stock-based compensation activity:</w:t>
            </w: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benefit</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3,075</w:t>
            </w:r>
          </w:p>
        </w:tc>
        <w:tc>
          <w:tcPr>
            <w:tcW w:w="160" w:type="dxa"/>
            <w:vAlign w:val="bottom"/>
          </w:tcPr>
          <w:p>
            <w:pPr>
              <w:spacing w:after="0"/>
              <w:rPr>
                <w:sz w:val="16"/>
                <w:szCs w:val="16"/>
                <w:color w:val="auto"/>
              </w:rPr>
            </w:pPr>
          </w:p>
        </w:tc>
      </w:tr>
      <w:tr>
        <w:trPr>
          <w:trHeight w:val="19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 awards granted</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Performance share awards vested</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tcPr>
          <w:p>
            <w:pPr>
              <w:spacing w:after="0"/>
              <w:rPr>
                <w:sz w:val="16"/>
                <w:szCs w:val="16"/>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31, 2020</w:t>
            </w: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252,495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182,989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(76,760)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329,933</w:t>
            </w:r>
          </w:p>
        </w:tc>
        <w:tc>
          <w:tcPr>
            <w:tcW w:w="160" w:type="dxa"/>
            <w:vAlign w:val="bottom"/>
          </w:tcPr>
          <w:p>
            <w:pPr>
              <w:spacing w:after="0"/>
              <w:rPr>
                <w:sz w:val="15"/>
                <w:szCs w:val="15"/>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5,501</w:t>
            </w: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w:t>
            </w:r>
          </w:p>
        </w:tc>
        <w:tc>
          <w:tcPr>
            <w:tcW w:w="160" w:type="dxa"/>
            <w:vAlign w:val="bottom"/>
          </w:tcPr>
          <w:p>
            <w:pPr>
              <w:spacing w:after="0"/>
              <w:rPr>
                <w:sz w:val="16"/>
                <w:szCs w:val="16"/>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dividends ($0.08 per share)</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60" w:type="dxa"/>
            <w:vAlign w:val="bottom"/>
          </w:tcPr>
          <w:p>
            <w:pPr>
              <w:spacing w:after="0"/>
              <w:rPr>
                <w:sz w:val="16"/>
                <w:szCs w:val="16"/>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Stock-based compensation activity:</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Expense related to stock-based compensation</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325</w:t>
            </w:r>
          </w:p>
        </w:tc>
        <w:tc>
          <w:tcPr>
            <w:tcW w:w="160" w:type="dxa"/>
            <w:vAlign w:val="bottom"/>
          </w:tcPr>
          <w:p>
            <w:pPr>
              <w:spacing w:after="0"/>
              <w:rPr>
                <w:sz w:val="16"/>
                <w:szCs w:val="16"/>
                <w:color w:val="auto"/>
              </w:rPr>
            </w:pPr>
          </w:p>
        </w:tc>
      </w:tr>
      <w:tr>
        <w:trPr>
          <w:trHeight w:val="19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stock awards granted</w:t>
            </w:r>
          </w:p>
        </w:tc>
        <w:tc>
          <w:tcPr>
            <w:tcW w:w="4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r>
      <w:tr>
        <w:trPr>
          <w:trHeight w:val="18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April 30, 2020</w:t>
            </w: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252,717</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185,779</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(36,163)</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(78,749)</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323,957</w:t>
            </w:r>
          </w:p>
        </w:tc>
        <w:tc>
          <w:tcPr>
            <w:tcW w:w="160" w:type="dxa"/>
            <w:vAlign w:val="bottom"/>
          </w:tcPr>
          <w:p>
            <w:pPr>
              <w:spacing w:after="0"/>
              <w:rPr>
                <w:sz w:val="15"/>
                <w:szCs w:val="15"/>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10,833</w:t>
            </w:r>
          </w:p>
        </w:tc>
        <w:tc>
          <w:tcPr>
            <w:tcW w:w="160" w:type="dxa"/>
            <w:vAlign w:val="bottom"/>
          </w:tcPr>
          <w:p>
            <w:pPr>
              <w:spacing w:after="0"/>
              <w:rPr>
                <w:sz w:val="16"/>
                <w:szCs w:val="16"/>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7,344</w:t>
            </w: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dividends ($0.08 per share)</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160" w:type="dxa"/>
            <w:vAlign w:val="bottom"/>
          </w:tcPr>
          <w:p>
            <w:pPr>
              <w:spacing w:after="0"/>
              <w:rPr>
                <w:sz w:val="16"/>
                <w:szCs w:val="16"/>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Stock-based compensation activity:</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Expense related to stock-based compensation</w:t>
            </w:r>
          </w:p>
        </w:tc>
        <w:tc>
          <w:tcPr>
            <w:tcW w:w="4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427</w:t>
            </w:r>
          </w:p>
        </w:tc>
        <w:tc>
          <w:tcPr>
            <w:tcW w:w="160" w:type="dxa"/>
            <w:vAlign w:val="bottom"/>
          </w:tcPr>
          <w:p>
            <w:pPr>
              <w:spacing w:after="0"/>
              <w:rPr>
                <w:sz w:val="18"/>
                <w:szCs w:val="18"/>
                <w:color w:val="auto"/>
              </w:rPr>
            </w:pPr>
          </w:p>
        </w:tc>
      </w:tr>
      <w:tr>
        <w:trPr>
          <w:trHeight w:val="18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July 31, 2020</w:t>
            </w: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253,144</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193,989</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(28,819)</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(78,749)</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339,938</w:t>
            </w:r>
          </w:p>
        </w:tc>
        <w:tc>
          <w:tcPr>
            <w:tcW w:w="160" w:type="dxa"/>
            <w:vAlign w:val="bottom"/>
          </w:tcPr>
          <w:p>
            <w:pPr>
              <w:spacing w:after="0"/>
              <w:rPr>
                <w:sz w:val="15"/>
                <w:szCs w:val="15"/>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82"/>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10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3440" w:type="dxa"/>
            <w:vAlign w:val="bottom"/>
            <w:vMerge w:val="restart"/>
          </w:tcPr>
          <w:p>
            <w:pPr>
              <w:jc w:val="center"/>
              <w:ind w:left="228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8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980" w:type="dxa"/>
            <w:vAlign w:val="bottom"/>
          </w:tcPr>
          <w:p>
            <w:pPr>
              <w:jc w:val="center"/>
              <w:ind w:left="245"/>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7"/>
        </w:trPr>
        <w:tc>
          <w:tcPr>
            <w:tcW w:w="1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Nine Months Ended July 31, 2019</w:t>
            </w:r>
          </w:p>
        </w:tc>
        <w:tc>
          <w:tcPr>
            <w:tcW w:w="3440" w:type="dxa"/>
            <w:vAlign w:val="bottom"/>
            <w:vMerge w:val="continue"/>
          </w:tcPr>
          <w:p>
            <w:pPr>
              <w:spacing w:after="0"/>
              <w:rPr>
                <w:sz w:val="10"/>
                <w:szCs w:val="10"/>
                <w:color w:val="auto"/>
              </w:rPr>
            </w:pP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0" w:type="dxa"/>
            <w:vAlign w:val="bottom"/>
            <w:vMerge w:val="continue"/>
          </w:tcPr>
          <w:p>
            <w:pPr>
              <w:spacing w:after="0"/>
              <w:rPr>
                <w:sz w:val="10"/>
                <w:szCs w:val="10"/>
                <w:color w:val="auto"/>
              </w:rPr>
            </w:pPr>
          </w:p>
        </w:tc>
        <w:tc>
          <w:tcPr>
            <w:tcW w:w="1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Other</w:t>
            </w:r>
          </w:p>
        </w:tc>
        <w:tc>
          <w:tcPr>
            <w:tcW w:w="980" w:type="dxa"/>
            <w:vAlign w:val="bottom"/>
            <w:vMerge w:val="continue"/>
          </w:tcPr>
          <w:p>
            <w:pPr>
              <w:spacing w:after="0"/>
              <w:rPr>
                <w:sz w:val="10"/>
                <w:szCs w:val="10"/>
                <w:color w:val="auto"/>
              </w:rPr>
            </w:pPr>
          </w:p>
        </w:tc>
        <w:tc>
          <w:tcPr>
            <w:tcW w:w="980" w:type="dxa"/>
            <w:vAlign w:val="bottom"/>
          </w:tcPr>
          <w:p>
            <w:pPr>
              <w:jc w:val="center"/>
              <w:ind w:left="245"/>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1840" w:type="dxa"/>
            <w:vAlign w:val="bottom"/>
            <w:tcBorders>
              <w:bottom w:val="single" w:sz="8" w:color="auto"/>
            </w:tcBorders>
            <w:vMerge w:val="continue"/>
          </w:tcPr>
          <w:p>
            <w:pPr>
              <w:spacing w:after="0"/>
              <w:rPr>
                <w:sz w:val="9"/>
                <w:szCs w:val="9"/>
                <w:color w:val="auto"/>
              </w:rPr>
            </w:pPr>
          </w:p>
        </w:tc>
        <w:tc>
          <w:tcPr>
            <w:tcW w:w="3440" w:type="dxa"/>
            <w:vAlign w:val="bottom"/>
          </w:tcPr>
          <w:p>
            <w:pPr>
              <w:jc w:val="center"/>
              <w:ind w:left="2286"/>
              <w:spacing w:after="0" w:line="95" w:lineRule="exact"/>
              <w:rPr>
                <w:sz w:val="20"/>
                <w:szCs w:val="20"/>
                <w:color w:val="auto"/>
              </w:rPr>
            </w:pPr>
            <w:r>
              <w:rPr>
                <w:rFonts w:ascii="Times New Roman" w:cs="Times New Roman" w:eastAsia="Times New Roman" w:hAnsi="Times New Roman"/>
                <w:sz w:val="10"/>
                <w:szCs w:val="10"/>
                <w:b w:val="1"/>
                <w:bCs w:val="1"/>
                <w:color w:val="auto"/>
              </w:rPr>
              <w:t>Stock</w:t>
            </w:r>
          </w:p>
        </w:tc>
        <w:tc>
          <w:tcPr>
            <w:tcW w:w="114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0" w:type="dxa"/>
            <w:vAlign w:val="bottom"/>
          </w:tcPr>
          <w:p>
            <w:pPr>
              <w:ind w:left="32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5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 Loss</w:t>
            </w:r>
          </w:p>
        </w:tc>
        <w:tc>
          <w:tcPr>
            <w:tcW w:w="980" w:type="dxa"/>
            <w:vAlign w:val="bottom"/>
          </w:tcPr>
          <w:p>
            <w:pPr>
              <w:jc w:val="center"/>
              <w:ind w:right="6"/>
              <w:spacing w:after="0" w:line="95" w:lineRule="exact"/>
              <w:rPr>
                <w:sz w:val="20"/>
                <w:szCs w:val="20"/>
                <w:color w:val="auto"/>
              </w:rPr>
            </w:pPr>
            <w:r>
              <w:rPr>
                <w:rFonts w:ascii="Times New Roman" w:cs="Times New Roman" w:eastAsia="Times New Roman" w:hAnsi="Times New Roman"/>
                <w:sz w:val="10"/>
                <w:szCs w:val="10"/>
                <w:b w:val="1"/>
                <w:bCs w:val="1"/>
                <w:color w:val="auto"/>
              </w:rPr>
              <w:t>Stock</w:t>
            </w:r>
          </w:p>
        </w:tc>
        <w:tc>
          <w:tcPr>
            <w:tcW w:w="980" w:type="dxa"/>
            <w:vAlign w:val="bottom"/>
          </w:tcPr>
          <w:p>
            <w:pPr>
              <w:jc w:val="center"/>
              <w:ind w:left="245"/>
              <w:spacing w:after="0" w:line="95"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26670</wp:posOffset>
            </wp:positionV>
            <wp:extent cx="4365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65625" cy="6985"/>
                    </a:xfrm>
                    <a:prstGeom prst="rect">
                      <a:avLst/>
                    </a:prstGeom>
                    <a:noFill/>
                  </pic:spPr>
                </pic:pic>
              </a:graphicData>
            </a:graphic>
          </wp:anchor>
        </w:drawing>
      </w:r>
    </w:p>
    <w:p>
      <w:pPr>
        <w:spacing w:after="0" w:line="3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1"/>
          <w:szCs w:val="11"/>
          <w:b w:val="1"/>
          <w:bCs w:val="1"/>
          <w:color w:val="auto"/>
        </w:rPr>
        <w:t>(In thousands, no per share amounts shown except in verbiage)</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20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2018</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254,678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395,222</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4,066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dividends ($0.08 per share)</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Stock-based compensation activity:</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Expense related to stock-based compensation</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stock awards granted</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31, 2019</w:t>
            </w: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252,931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237,049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(72,838)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390,873</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(23,974)</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dividends ($0.08 per share)</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Stock-based compensation activity:</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Expense related to stock-based compensation</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19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 awards granted</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30, 2019</w:t>
            </w: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253,679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210,406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360,888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4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11,841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11,841</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dividends ($0.04 per share)</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pension from net unamortized loss (net of tax expense of $7)</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Stock-based compensation activity:</w:t>
            </w: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Expense related to stock-based compensation</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2019</w:t>
            </w: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254,053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219,340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Operations and Basis of Presentation</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For additional discussion of our reportable business segments, see Note 12,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04"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Unless the context indicates otherwise, references to "Quanex", the "Company", "we", "us" and "our" refer to the consolidated business operations of Quanex Building Products Corporation and its subsidiaries.</w:t>
      </w:r>
    </w:p>
    <w:p>
      <w:pPr>
        <w:spacing w:after="0" w:line="80"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 accompanying interim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2019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2019.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0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contingencies and income taxes. Changes in facts and circumstances may result in revised estimates and actual results may differ from these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Contracts with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recognize revenue that reflects the consideration we expect to receive for product sales upon transfer to customers. Revenue for product sales is recognized when control of the promised products is actually transferred to our customers, and we expect to be entitled to consideration in exchange for such transfer. We account for a contract when a customer provides us with a firm purchase order that identifies the products to be provided, the payment terms for those services, and when collectability of the consideration due is probable.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obligations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Pricing and sales incentives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Pricing is established at or prior to the time of sale with our customers and we record sales at the agreed-upon net selling price, reflective of current and prospective discounts.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Practical expedients and exemptions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generally expense incremental costs of obtaining a contract when incurred because the amortization period would be less than one year. Additionally, we do not disclose the value of unsatisfied performance obligations for contracts with an original expected length of one year or less.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Shipping and handling costs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 and liabilities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Deferred revenue, which is not significant, is recorded when we have remaining unsatisfied performance obligations for which we have received consideration.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product sales for the three and nine months ended July 31, 2020 and 2019 into groupings by segment which we believe depicts how the nature, amount, timing and uncertainty of our revenues and cash flows are affected by economic factors. For further details regarding our results by segment, refer to Note 12, “Segment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60" w:type="dxa"/>
            <w:vAlign w:val="bottom"/>
          </w:tcPr>
          <w:p>
            <w:pPr>
              <w:spacing w:after="0"/>
              <w:rPr>
                <w:sz w:val="12"/>
                <w:szCs w:val="12"/>
                <w:color w:val="auto"/>
              </w:rPr>
            </w:pPr>
          </w:p>
        </w:tc>
        <w:tc>
          <w:tcPr>
            <w:tcW w:w="1780" w:type="dxa"/>
            <w:vAlign w:val="bottom"/>
            <w:gridSpan w:val="4"/>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3"/>
        </w:trPr>
        <w:tc>
          <w:tcPr>
            <w:tcW w:w="6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740" w:type="dxa"/>
            <w:vAlign w:val="bottom"/>
            <w:tcBorders>
              <w:bottom w:val="single" w:sz="8" w:color="auto"/>
            </w:tcBorders>
          </w:tcPr>
          <w:p>
            <w:pPr>
              <w:spacing w:after="0"/>
              <w:rPr>
                <w:sz w:val="14"/>
                <w:szCs w:val="14"/>
                <w:color w:val="auto"/>
              </w:rPr>
            </w:pPr>
          </w:p>
        </w:tc>
      </w:tr>
      <w:tr>
        <w:trPr>
          <w:trHeight w:val="182"/>
        </w:trPr>
        <w:tc>
          <w:tcPr>
            <w:tcW w:w="6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0"/>
        </w:trPr>
        <w:tc>
          <w:tcPr>
            <w:tcW w:w="6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96"/>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American Fenestration:</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 fenestration</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109,455</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119,481</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302,094</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312,509</w:t>
            </w:r>
          </w:p>
        </w:tc>
      </w:tr>
      <w:tr>
        <w:trPr>
          <w:trHeight w:val="22"/>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 fenestration</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7,172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23,474</w:t>
            </w: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 non-fenestration</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3,982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12,290</w:t>
            </w:r>
          </w:p>
        </w:tc>
      </w:tr>
      <w:tr>
        <w:trPr>
          <w:trHeight w:val="22"/>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 non-fenestration</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5,624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12,381</w:t>
            </w:r>
          </w:p>
        </w:tc>
      </w:tr>
      <w:tr>
        <w:trPr>
          <w:trHeight w:val="181"/>
        </w:trPr>
        <w:tc>
          <w:tcPr>
            <w:tcW w:w="68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122,386</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136,259</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341,432</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360,654</w:t>
            </w:r>
          </w:p>
        </w:tc>
      </w:tr>
      <w:tr>
        <w:trPr>
          <w:trHeight w:val="22"/>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European Fenestration:</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 fenestration</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31,904</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36,342</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87,732</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102,038</w:t>
            </w:r>
          </w:p>
        </w:tc>
      </w:tr>
      <w:tr>
        <w:trPr>
          <w:trHeight w:val="22"/>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 non-fenestration</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7,984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19,165</w:t>
            </w:r>
          </w:p>
        </w:tc>
      </w:tr>
      <w:tr>
        <w:trPr>
          <w:trHeight w:val="181"/>
        </w:trPr>
        <w:tc>
          <w:tcPr>
            <w:tcW w:w="68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38,265</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44,326</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104,230</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121,203</w:t>
            </w:r>
          </w:p>
        </w:tc>
      </w:tr>
      <w:tr>
        <w:trPr>
          <w:trHeight w:val="22"/>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American Cabinet Components:</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 fenestration</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3,561</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9,909</w:t>
            </w:r>
          </w:p>
        </w:tc>
      </w:tr>
      <w:tr>
        <w:trPr>
          <w:trHeight w:val="22"/>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 - non-fenestration</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54,512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142,838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163,694</w:t>
            </w: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 non-fenestration</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r>
      <w:tr>
        <w:trPr>
          <w:trHeight w:val="22"/>
        </w:trPr>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3"/>
        </w:trPr>
        <w:tc>
          <w:tcPr>
            <w:tcW w:w="68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58,689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152,634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175,377</w:t>
            </w: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 Corporate &amp; Other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w:t>
            </w:r>
          </w:p>
        </w:tc>
      </w:tr>
      <w:tr>
        <w:trPr>
          <w:trHeight w:val="181"/>
        </w:trPr>
        <w:tc>
          <w:tcPr>
            <w:tcW w:w="68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w:t>
            </w:r>
          </w:p>
        </w:tc>
      </w:tr>
      <w:tr>
        <w:trPr>
          <w:trHeight w:val="22"/>
        </w:trPr>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238,461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653,472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rental in the current period. For other costs directly related to the restructuring effort, such as equipment moving costs, we expense in the period incurred.</w:t>
      </w:r>
    </w:p>
    <w:p>
      <w:pPr>
        <w:spacing w:after="0" w:line="10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During the year ended October 31, 2019, our North American Cabinet Components segment experienced declines in current and forecasted demand as a result of an industry-wide shift from semi-custom cabinets to stock cabinets, and received notice about a change in strategy at one of our large customers that may result in lower sales volumes in the future. As a result, during the first quarter of fiscal 2020, we began to restructure our operations within that segment by announcing the closure of one of our plants. We incurred expenses for severance, equipment moves, and other exit activities of $0.3 million related to this plant closure during the nine months ended July 31, 2020 and we may incur costs related to additional restructuring activities in future periods.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Impact</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March 11, 2020, the World Health Organization (WHO) declared the outbreak of COVID-19 as a global pandemic and advised aggressive containment action. In response to this declaration and the rapid global spread of COVID-19, national, state, and local governments have taken extraordinary and continuously evolving measures to limit the outbreak and spread of the virus, including travel bans, quarantines, "stay-at-home" orders and similar mandates imposing varying degrees of restrictions on social and non-essential commercial activity to promote social distancing. Measures providing for business shutdowns generally exclude certain essential services commonly including critical infrastructure such as construction and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businesses that support that critical infrastructure. To date, we have not experienced significant challenges or expenses implementing crisis management plans intended to meet government requirements for containment and prevention.</w:t>
      </w:r>
    </w:p>
    <w:p>
      <w:pPr>
        <w:spacing w:after="0" w:line="8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COVID-19 pandemic and actions taken in response thereto are continuing to have an adverse effect on many sectors of the economy. We initially reduced operating schedules and implemented furloughs to balance production and demand, but all facilities were reopened during May 2020. However, the duration and severity of the COVID-19 pandemic, the actions to contain the pandemic and treat its impacts, and the effects on our operations are highly uncertain and cannot be predicted at this time. Therefore, while we expect some negative impacts on our business, results of operations, cash flows and financial position, the overall financial impact cannot be reasonably estimated at this time.</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Additionally, in response to the current business environment as impacted by COVID-19, we are reducing capital expenditures and discretionary spending as well as closely monitoring our working capital needs.</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a result of the economic and business impact of COVID-19, we may be required to revise certain accounting estimates and judgments such as, but not limited to, those related to the valuation of goodwill, intangibles, right-of-use assets, long-lived assets, accounts receivable (including allowances for credit losses), and inventory, which could have a material adverse effect on our financial position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Leases</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Effective November 1, 2019, we adopted Accounting Standards Codification Topic 842, "Leases" (ASC Topic 842), which requires leases to be recognized on the balance sheet. 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9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presents the lease-related assets and liabilities recorded on the balance sheet at July 31, 2020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100" w:type="dxa"/>
            <w:vAlign w:val="bottom"/>
            <w:tcBorders>
              <w:bottom w:val="single" w:sz="8" w:color="CCEEFF"/>
            </w:tcBorders>
          </w:tcPr>
          <w:p>
            <w:pPr>
              <w:spacing w:after="0"/>
              <w:rPr>
                <w:sz w:val="13"/>
                <w:szCs w:val="13"/>
                <w:color w:val="auto"/>
              </w:rPr>
            </w:pPr>
          </w:p>
        </w:tc>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July 31, 2020</w:t>
            </w:r>
          </w:p>
        </w:tc>
      </w:tr>
      <w:tr>
        <w:trPr>
          <w:trHeight w:val="187"/>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191"/>
        </w:trPr>
        <w:tc>
          <w:tcPr>
            <w:tcW w:w="2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 assets</w:t>
            </w: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49,644</w:t>
            </w:r>
          </w:p>
        </w:tc>
      </w:tr>
      <w:tr>
        <w:trPr>
          <w:trHeight w:val="22"/>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2"/>
        </w:trPr>
        <w:tc>
          <w:tcPr>
            <w:tcW w:w="2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 assets</w:t>
            </w: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(less accumulated depreciation of $821)</w:t>
            </w:r>
          </w:p>
        </w:tc>
        <w:tc>
          <w:tcPr>
            <w:tcW w:w="3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14,960</w:t>
            </w:r>
          </w:p>
        </w:tc>
      </w:tr>
      <w:tr>
        <w:trPr>
          <w:trHeight w:val="20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assets</w:t>
            </w:r>
          </w:p>
        </w:tc>
        <w:tc>
          <w:tcPr>
            <w:tcW w:w="7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64,604</w:t>
            </w: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4"/>
        </w:trPr>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7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191"/>
        </w:trPr>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w:t>
            </w: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7,307</w:t>
            </w:r>
          </w:p>
        </w:tc>
      </w:tr>
      <w:tr>
        <w:trPr>
          <w:trHeight w:val="22"/>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Finance</w:t>
            </w: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r>
      <w:tr>
        <w:trPr>
          <w:trHeight w:val="191"/>
        </w:trPr>
        <w:tc>
          <w:tcPr>
            <w:tcW w:w="2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Noncurrent</w:t>
            </w:r>
          </w:p>
        </w:tc>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w:t>
            </w: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42,740</w:t>
            </w:r>
          </w:p>
        </w:tc>
      </w:tr>
      <w:tr>
        <w:trPr>
          <w:trHeight w:val="191"/>
        </w:trPr>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Finance</w:t>
            </w: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14,637</w:t>
            </w: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8"/>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7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65,645</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presents the components of the lease costs for the three and nine months ended July 31, 2020 (in thousands):</w:t>
      </w:r>
    </w:p>
    <w:p>
      <w:pPr>
        <w:spacing w:after="0" w:line="238" w:lineRule="exact"/>
        <w:rPr>
          <w:sz w:val="20"/>
          <w:szCs w:val="20"/>
          <w:color w:val="auto"/>
        </w:rPr>
      </w:pPr>
    </w:p>
    <w:p>
      <w:pPr>
        <w:ind w:left="8020"/>
        <w:spacing w:after="0"/>
        <w:tabs>
          <w:tab w:leader="none" w:pos="9900" w:val="left"/>
        </w:tabs>
        <w:rPr>
          <w:sz w:val="20"/>
          <w:szCs w:val="20"/>
          <w:color w:val="auto"/>
        </w:rPr>
      </w:pPr>
      <w:r>
        <w:rPr>
          <w:rFonts w:ascii="Times New Roman" w:cs="Times New Roman" w:eastAsia="Times New Roman" w:hAnsi="Times New Roman"/>
          <w:sz w:val="11"/>
          <w:szCs w:val="11"/>
          <w:b w:val="1"/>
          <w:bCs w:val="1"/>
          <w:color w:val="auto"/>
        </w:rPr>
        <w:t>Three Months Ended</w:t>
      </w:r>
      <w:r>
        <w:rPr>
          <w:sz w:val="20"/>
          <w:szCs w:val="20"/>
          <w:color w:val="auto"/>
        </w:rPr>
        <w:tab/>
      </w:r>
      <w:r>
        <w:rPr>
          <w:rFonts w:ascii="Times New Roman" w:cs="Times New Roman" w:eastAsia="Times New Roman" w:hAnsi="Times New Roman"/>
          <w:sz w:val="11"/>
          <w:szCs w:val="11"/>
          <w:b w:val="1"/>
          <w:bCs w:val="1"/>
          <w:color w:val="auto"/>
        </w:rPr>
        <w:t>Nine Months Ended</w:t>
      </w:r>
    </w:p>
    <w:p>
      <w:pPr>
        <w:spacing w:after="0" w:line="33" w:lineRule="exact"/>
        <w:rPr>
          <w:sz w:val="20"/>
          <w:szCs w:val="20"/>
          <w:color w:val="auto"/>
        </w:rPr>
      </w:pPr>
    </w:p>
    <w:p>
      <w:pPr>
        <w:ind w:left="8220"/>
        <w:spacing w:after="0"/>
        <w:tabs>
          <w:tab w:leader="none" w:pos="10060" w:val="left"/>
        </w:tabs>
        <w:rPr>
          <w:sz w:val="20"/>
          <w:szCs w:val="20"/>
          <w:color w:val="auto"/>
        </w:rPr>
      </w:pPr>
      <w:r>
        <w:rPr>
          <w:rFonts w:ascii="Times New Roman" w:cs="Times New Roman" w:eastAsia="Times New Roman" w:hAnsi="Times New Roman"/>
          <w:sz w:val="11"/>
          <w:szCs w:val="11"/>
          <w:b w:val="1"/>
          <w:bCs w:val="1"/>
          <w:color w:val="auto"/>
        </w:rPr>
        <w:t>July 31, 2020</w:t>
      </w:r>
      <w:r>
        <w:rPr>
          <w:sz w:val="20"/>
          <w:szCs w:val="20"/>
          <w:color w:val="auto"/>
        </w:rPr>
        <w:tab/>
      </w:r>
      <w:r>
        <w:rPr>
          <w:rFonts w:ascii="Times New Roman" w:cs="Times New Roman" w:eastAsia="Times New Roman" w:hAnsi="Times New Roman"/>
          <w:sz w:val="11"/>
          <w:szCs w:val="11"/>
          <w:b w:val="1"/>
          <w:bCs w:val="1"/>
          <w:color w:val="auto"/>
        </w:rPr>
        <w:t>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4853940</wp:posOffset>
            </wp:positionH>
            <wp:positionV relativeFrom="paragraph">
              <wp:posOffset>19685</wp:posOffset>
            </wp:positionV>
            <wp:extent cx="231076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076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Components of lease costs</w:t>
      </w:r>
    </w:p>
    <w:p>
      <w:pPr>
        <w:spacing w:after="0" w:line="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Operating lease cost</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Finance lease cost</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Amortization of leased assets</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Interest on lease liabilities</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Variable lease costs</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lease cost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2,243</w:t>
            </w:r>
          </w:p>
        </w:tc>
        <w:tc>
          <w:tcPr>
            <w:tcW w:w="8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w:t>
            </w:r>
          </w:p>
        </w:tc>
      </w:tr>
      <w:tr>
        <w:trPr>
          <w:trHeight w:val="424"/>
        </w:trPr>
        <w:tc>
          <w:tcPr>
            <w:tcW w:w="74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285</w:t>
            </w:r>
          </w:p>
        </w:tc>
        <w:tc>
          <w:tcPr>
            <w:tcW w:w="8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r>
      <w:tr>
        <w:trPr>
          <w:trHeight w:val="212"/>
        </w:trPr>
        <w:tc>
          <w:tcPr>
            <w:tcW w:w="74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136</w:t>
            </w:r>
          </w:p>
        </w:tc>
        <w:tc>
          <w:tcPr>
            <w:tcW w:w="8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212"/>
        </w:trPr>
        <w:tc>
          <w:tcPr>
            <w:tcW w:w="74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207</w:t>
            </w:r>
          </w:p>
        </w:tc>
        <w:tc>
          <w:tcPr>
            <w:tcW w:w="8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7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2,871</w:t>
            </w:r>
          </w:p>
        </w:tc>
        <w:tc>
          <w:tcPr>
            <w:tcW w:w="8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8,316</w:t>
            </w: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-841375</wp:posOffset>
            </wp:positionV>
            <wp:extent cx="716153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-572135</wp:posOffset>
            </wp:positionV>
            <wp:extent cx="716153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-302260</wp:posOffset>
            </wp:positionV>
            <wp:extent cx="7161530"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6920" w:space="720"/>
            <w:col w:w="3640"/>
          </w:cols>
          <w:pgMar w:left="300" w:top="125" w:right="31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4"/>
          <w:szCs w:val="14"/>
          <w:color w:val="auto"/>
        </w:rPr>
        <w:t>The table below presents supplemental cash flow information related to leases for the six months ended July 31, 2020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59"/>
        </w:trPr>
        <w:tc>
          <w:tcPr>
            <w:tcW w:w="9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July 31, 2020</w:t>
            </w:r>
          </w:p>
        </w:tc>
      </w:tr>
      <w:tr>
        <w:trPr>
          <w:trHeight w:val="179"/>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
        </w:trPr>
        <w:tc>
          <w:tcPr>
            <w:tcW w:w="9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r>
      <w:tr>
        <w:trPr>
          <w:trHeight w:val="191"/>
        </w:trPr>
        <w:tc>
          <w:tcPr>
            <w:tcW w:w="9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Finance leases - financing cash flows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r>
      <w:tr>
        <w:trPr>
          <w:trHeight w:val="22"/>
        </w:trPr>
        <w:tc>
          <w:tcPr>
            <w:tcW w:w="9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9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 - operating cash flows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191"/>
        </w:trPr>
        <w:tc>
          <w:tcPr>
            <w:tcW w:w="9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leases - operating cash flows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w:t>
            </w:r>
          </w:p>
        </w:tc>
      </w:tr>
      <w:tr>
        <w:trPr>
          <w:trHeight w:val="22"/>
        </w:trPr>
        <w:tc>
          <w:tcPr>
            <w:tcW w:w="9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2"/>
        </w:trPr>
        <w:tc>
          <w:tcPr>
            <w:tcW w:w="9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91"/>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liabilities</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
        </w:trPr>
        <w:tc>
          <w:tcPr>
            <w:tcW w:w="9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15,331</w:t>
            </w:r>
          </w:p>
        </w:tc>
      </w:tr>
      <w:tr>
        <w:trPr>
          <w:trHeight w:val="191"/>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r>
    </w:tbl>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presents the weighted average remaining lease terms and weighted average discount rates for the Company's leases as of July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Borders>
              <w:bottom w:val="single" w:sz="8" w:color="CCEEFF"/>
            </w:tcBorders>
          </w:tcPr>
          <w:p>
            <w:pPr>
              <w:spacing w:after="0"/>
              <w:rPr>
                <w:sz w:val="13"/>
                <w:szCs w:val="13"/>
                <w:color w:val="auto"/>
              </w:rPr>
            </w:pPr>
          </w:p>
        </w:tc>
        <w:tc>
          <w:tcPr>
            <w:tcW w:w="744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July 31, 2020</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 (in years)</w:t>
            </w:r>
          </w:p>
        </w:tc>
        <w:tc>
          <w:tcPr>
            <w:tcW w:w="1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2"/>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leases</w:t>
            </w:r>
          </w:p>
        </w:tc>
        <w:tc>
          <w:tcPr>
            <w:tcW w:w="13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12"/>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13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3.62 %</w:t>
            </w:r>
          </w:p>
        </w:tc>
      </w:tr>
      <w:tr>
        <w:trPr>
          <w:trHeight w:val="22"/>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leases</w:t>
            </w:r>
          </w:p>
        </w:tc>
        <w:tc>
          <w:tcPr>
            <w:tcW w:w="13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3.62 %</w:t>
            </w:r>
          </w:p>
        </w:tc>
      </w:tr>
      <w:tr>
        <w:trPr>
          <w:trHeight w:val="297"/>
        </w:trPr>
        <w:tc>
          <w:tcPr>
            <w:tcW w:w="20" w:type="dxa"/>
            <w:vAlign w:val="bottom"/>
          </w:tcPr>
          <w:p>
            <w:pPr>
              <w:spacing w:after="0"/>
              <w:rPr>
                <w:sz w:val="24"/>
                <w:szCs w:val="24"/>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table below presents the maturity of the lease liabilities as of July 31, 2020 (in thousands):</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8"/>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50"/>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40" w:type="dxa"/>
            <w:vAlign w:val="bottom"/>
            <w:shd w:val="clear" w:color="auto" w:fill="CCEEFF"/>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2020 (remaining three months)</w:t>
            </w:r>
          </w:p>
        </w:tc>
        <w:tc>
          <w:tcPr>
            <w:tcW w:w="1380" w:type="dxa"/>
            <w:vAlign w:val="bottom"/>
            <w:tcBorders>
              <w:bottom w:val="single" w:sz="8" w:color="CCEEFF"/>
            </w:tcBorders>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378</w:t>
            </w: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1,510</w:t>
            </w:r>
          </w:p>
        </w:tc>
      </w:tr>
      <w:tr>
        <w:trPr>
          <w:trHeight w:val="22"/>
        </w:trPr>
        <w:tc>
          <w:tcPr>
            <w:tcW w:w="7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3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1,463</w:t>
            </w: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1,364</w:t>
            </w:r>
          </w:p>
        </w:tc>
      </w:tr>
      <w:tr>
        <w:trPr>
          <w:trHeight w:val="22"/>
        </w:trPr>
        <w:tc>
          <w:tcPr>
            <w:tcW w:w="7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3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1,260</w:t>
            </w:r>
          </w:p>
        </w:tc>
      </w:tr>
      <w:tr>
        <w:trPr>
          <w:trHeight w:val="191"/>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14,114</w:t>
            </w:r>
          </w:p>
        </w:tc>
      </w:tr>
      <w:tr>
        <w:trPr>
          <w:trHeight w:val="22"/>
        </w:trPr>
        <w:tc>
          <w:tcPr>
            <w:tcW w:w="20" w:type="dxa"/>
            <w:vAlign w:val="bottom"/>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1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20,089</w:t>
            </w:r>
          </w:p>
        </w:tc>
      </w:tr>
      <w:tr>
        <w:trPr>
          <w:trHeight w:val="191"/>
        </w:trPr>
        <w:tc>
          <w:tcPr>
            <w:tcW w:w="20" w:type="dxa"/>
            <w:vAlign w:val="bottom"/>
          </w:tcPr>
          <w:p>
            <w:pPr>
              <w:spacing w:after="0"/>
              <w:rPr>
                <w:sz w:val="16"/>
                <w:szCs w:val="16"/>
                <w:color w:val="auto"/>
              </w:rPr>
            </w:pPr>
          </w:p>
        </w:tc>
        <w:tc>
          <w:tcPr>
            <w:tcW w:w="7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present value discount</w:t>
            </w:r>
          </w:p>
        </w:tc>
        <w:tc>
          <w:tcPr>
            <w:tcW w:w="1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4,491</w:t>
            </w:r>
          </w:p>
        </w:tc>
      </w:tr>
      <w:tr>
        <w:trPr>
          <w:trHeight w:val="22"/>
        </w:trPr>
        <w:tc>
          <w:tcPr>
            <w:tcW w:w="20" w:type="dxa"/>
            <w:vAlign w:val="bottom"/>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138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50,047</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15,598</w:t>
            </w: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a result of the adoption of ASC Topic 842, we are required to present future minimum lease payments for operating and financing obligations having initial or remaining non-cancelable lease terms in excess of one year. These future minimum lease payments were previously disclosed in our 2019 Annual Report on Form 10-K and accounted for under previous lease guidance. Commitments as of October 31, 2019 were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7440" w:type="dxa"/>
            <w:vAlign w:val="bottom"/>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Capital Leases</w:t>
            </w:r>
          </w:p>
        </w:tc>
      </w:tr>
      <w:tr>
        <w:trPr>
          <w:trHeight w:val="150"/>
        </w:trPr>
        <w:tc>
          <w:tcPr>
            <w:tcW w:w="7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20" w:type="dxa"/>
            <w:vAlign w:val="bottom"/>
          </w:tcPr>
          <w:p>
            <w:pPr>
              <w:spacing w:after="0"/>
              <w:rPr>
                <w:sz w:val="13"/>
                <w:szCs w:val="13"/>
                <w:color w:val="auto"/>
              </w:rPr>
            </w:pPr>
          </w:p>
        </w:tc>
      </w:tr>
      <w:tr>
        <w:trPr>
          <w:trHeight w:val="196"/>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2020</w:t>
            </w:r>
          </w:p>
        </w:tc>
        <w:tc>
          <w:tcPr>
            <w:tcW w:w="1380" w:type="dxa"/>
            <w:vAlign w:val="bottom"/>
            <w:tcBorders>
              <w:bottom w:val="single" w:sz="8" w:color="CCEEFF"/>
            </w:tcBorders>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9,121</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1,020</w:t>
            </w:r>
          </w:p>
        </w:tc>
      </w:tr>
      <w:tr>
        <w:trPr>
          <w:trHeight w:val="191"/>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1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810</w:t>
            </w:r>
          </w:p>
        </w:tc>
      </w:tr>
      <w:tr>
        <w:trPr>
          <w:trHeight w:val="22"/>
        </w:trPr>
        <w:tc>
          <w:tcPr>
            <w:tcW w:w="7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3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815</w:t>
            </w:r>
          </w:p>
        </w:tc>
      </w:tr>
      <w:tr>
        <w:trPr>
          <w:trHeight w:val="191"/>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973</w:t>
            </w:r>
          </w:p>
        </w:tc>
      </w:tr>
      <w:tr>
        <w:trPr>
          <w:trHeight w:val="22"/>
        </w:trPr>
        <w:tc>
          <w:tcPr>
            <w:tcW w:w="7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3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713</w:t>
            </w:r>
          </w:p>
        </w:tc>
      </w:tr>
      <w:tr>
        <w:trPr>
          <w:trHeight w:val="191"/>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11,392</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15,723</w:t>
            </w:r>
          </w:p>
        </w:tc>
      </w:tr>
      <w:tr>
        <w:trPr>
          <w:trHeight w:val="191"/>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5,064</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8"/>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Present value of minimum lease payments</w:t>
            </w:r>
          </w:p>
        </w:tc>
        <w:tc>
          <w:tcPr>
            <w:tcW w:w="13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10,659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Inventories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Inventories consisted of the following at July 31, 2020 and October 31,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40" w:type="dxa"/>
            <w:vAlign w:val="bottom"/>
          </w:tcPr>
          <w:p>
            <w:pPr>
              <w:spacing w:after="0"/>
              <w:rPr>
                <w:sz w:val="11"/>
                <w:szCs w:val="1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October 31,</w:t>
            </w:r>
          </w:p>
        </w:tc>
      </w:tr>
      <w:tr>
        <w:trPr>
          <w:trHeight w:val="153"/>
        </w:trPr>
        <w:tc>
          <w:tcPr>
            <w:tcW w:w="7740" w:type="dxa"/>
            <w:vAlign w:val="bottom"/>
          </w:tcPr>
          <w:p>
            <w:pPr>
              <w:spacing w:after="0"/>
              <w:rPr>
                <w:sz w:val="13"/>
                <w:szCs w:val="13"/>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0"/>
        </w:trPr>
        <w:tc>
          <w:tcPr>
            <w:tcW w:w="7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60" w:type="dxa"/>
            <w:vAlign w:val="bottom"/>
          </w:tcPr>
          <w:p>
            <w:pPr>
              <w:spacing w:after="0"/>
              <w:rPr>
                <w:sz w:val="13"/>
                <w:szCs w:val="1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10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35,205</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32,818</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Finished goods and work in process</w:t>
            </w:r>
          </w:p>
        </w:tc>
        <w:tc>
          <w:tcPr>
            <w:tcW w:w="110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33,418</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35,538</w:t>
            </w:r>
          </w:p>
        </w:tc>
      </w:tr>
      <w:tr>
        <w:trPr>
          <w:trHeight w:val="22"/>
        </w:trPr>
        <w:tc>
          <w:tcPr>
            <w:tcW w:w="7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Supplies and other</w:t>
            </w: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2,470</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w:t>
            </w:r>
          </w:p>
        </w:tc>
      </w:tr>
      <w:tr>
        <w:trPr>
          <w:trHeight w:val="181"/>
        </w:trPr>
        <w:tc>
          <w:tcPr>
            <w:tcW w:w="7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71,093</w:t>
            </w: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70,949</w:t>
            </w:r>
          </w:p>
        </w:tc>
      </w:tr>
      <w:tr>
        <w:trPr>
          <w:trHeight w:val="22"/>
        </w:trPr>
        <w:tc>
          <w:tcPr>
            <w:tcW w:w="7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2"/>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Inventory reserves</w:t>
            </w: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7,154</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w:t>
            </w:r>
          </w:p>
        </w:tc>
      </w:tr>
      <w:tr>
        <w:trPr>
          <w:trHeight w:val="203"/>
        </w:trPr>
        <w:tc>
          <w:tcPr>
            <w:tcW w:w="77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Inventories, net</w:t>
            </w:r>
          </w:p>
        </w:tc>
        <w:tc>
          <w:tcPr>
            <w:tcW w:w="110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63,939</w:t>
            </w:r>
          </w:p>
        </w:tc>
        <w:tc>
          <w:tcPr>
            <w:tcW w:w="2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67,159</w:t>
            </w:r>
          </w:p>
        </w:tc>
      </w:tr>
      <w:tr>
        <w:trPr>
          <w:trHeight w:val="20"/>
        </w:trPr>
        <w:tc>
          <w:tcPr>
            <w:tcW w:w="7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Fixed costs related to excess manufacturing capacity, if any, have been expensed in the period they were incurred and, therefore, are not capitalized into inventory.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Goodwill and Intangible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change in the carrying amount of goodwill for the nine months ended July 31, 2020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3"/>
        </w:trPr>
        <w:tc>
          <w:tcPr>
            <w:tcW w:w="90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July 31, 2020</w:t>
            </w:r>
          </w:p>
        </w:tc>
      </w:tr>
      <w:tr>
        <w:trPr>
          <w:trHeight w:val="150"/>
        </w:trPr>
        <w:tc>
          <w:tcPr>
            <w:tcW w:w="9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96"/>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as of November 1, 2019</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145,563</w:t>
            </w:r>
          </w:p>
        </w:tc>
      </w:tr>
      <w:tr>
        <w:trPr>
          <w:trHeight w:val="191"/>
        </w:trPr>
        <w:tc>
          <w:tcPr>
            <w:tcW w:w="9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r>
      <w:tr>
        <w:trPr>
          <w:trHeight w:val="22"/>
        </w:trPr>
        <w:tc>
          <w:tcPr>
            <w:tcW w:w="9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the end of the period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146,932</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During the year ended October 31, 2019, we recorded impairment charges of $74.6 million associated with our NA Cabinet Components segment, which reduced the goodwill balance applicable to this reporting unit from $113.7 million to $39.1 million. Our other reporting units were not deemed to be impaired at our annual goodwill impairment testing date, August 31, 2019. During the three months ended April 30, 2020, we determined the WHO's characterization of the outbreak of COVID-19 as a global pandemic was a triggering event which could indicate that the carrying value of our goodwill was no longer greater than the fair value. As a result of this determination, we performed a qualitative assessment for each of the five goodwill reportable units. As a result of this analysis, we determined that our goodwill was not more likely than not impaired and no quantitative assessment was necessary. During the three months ended July 31, 2020, we determined that there were no further triggering events related to the impacts of COVID-19 or any other areas of our operations. However, the long term effects of the COVID-19 pandemic on the demand and pricing of our products may result in future impairment charges. For a summary of the change in the carrying amount of goodwill by segment, see Note 12, "Segment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Identifiable Intangible Assets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Amortizable intangible assets consisted of the following as of July 31, 2020 and October 31,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July 31, 2020</w:t>
            </w:r>
          </w:p>
        </w:tc>
        <w:tc>
          <w:tcPr>
            <w:tcW w:w="1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October 31, 2019</w:t>
            </w:r>
          </w:p>
        </w:tc>
        <w:tc>
          <w:tcPr>
            <w:tcW w:w="1100" w:type="dxa"/>
            <w:vAlign w:val="bottom"/>
            <w:tcBorders>
              <w:bottom w:val="single" w:sz="8" w:color="auto"/>
            </w:tcBorders>
          </w:tcPr>
          <w:p>
            <w:pPr>
              <w:spacing w:after="0"/>
              <w:rPr>
                <w:sz w:val="13"/>
                <w:szCs w:val="13"/>
                <w:color w:val="auto"/>
              </w:rPr>
            </w:pPr>
          </w:p>
        </w:tc>
      </w:tr>
      <w:tr>
        <w:trPr>
          <w:trHeight w:val="113"/>
        </w:trPr>
        <w:tc>
          <w:tcPr>
            <w:tcW w:w="4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2"/>
          </w:tcPr>
          <w:p>
            <w:pPr>
              <w:jc w:val="center"/>
              <w:ind w:right="440"/>
              <w:spacing w:after="0" w:line="114" w:lineRule="exact"/>
              <w:rPr>
                <w:sz w:val="20"/>
                <w:szCs w:val="20"/>
                <w:color w:val="auto"/>
              </w:rPr>
            </w:pPr>
            <w:r>
              <w:rPr>
                <w:rFonts w:ascii="Times New Roman" w:cs="Times New Roman" w:eastAsia="Times New Roman" w:hAnsi="Times New Roman"/>
                <w:sz w:val="11"/>
                <w:szCs w:val="11"/>
                <w:b w:val="1"/>
                <w:bCs w:val="1"/>
                <w:color w:val="auto"/>
              </w:rPr>
              <w:t>Gross Carrying</w:t>
            </w:r>
          </w:p>
        </w:tc>
        <w:tc>
          <w:tcPr>
            <w:tcW w:w="300" w:type="dxa"/>
            <w:vAlign w:val="bottom"/>
          </w:tcPr>
          <w:p>
            <w:pPr>
              <w:spacing w:after="0"/>
              <w:rPr>
                <w:sz w:val="9"/>
                <w:szCs w:val="9"/>
                <w:color w:val="auto"/>
              </w:rPr>
            </w:pPr>
          </w:p>
        </w:tc>
        <w:tc>
          <w:tcPr>
            <w:tcW w:w="13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300" w:type="dxa"/>
            <w:vAlign w:val="bottom"/>
          </w:tcPr>
          <w:p>
            <w:pPr>
              <w:spacing w:after="0"/>
              <w:rPr>
                <w:sz w:val="9"/>
                <w:szCs w:val="9"/>
                <w:color w:val="auto"/>
              </w:rPr>
            </w:pPr>
          </w:p>
        </w:tc>
        <w:tc>
          <w:tcPr>
            <w:tcW w:w="1380" w:type="dxa"/>
            <w:vAlign w:val="bottom"/>
            <w:gridSpan w:val="2"/>
          </w:tcPr>
          <w:p>
            <w:pPr>
              <w:jc w:val="center"/>
              <w:ind w:right="540"/>
              <w:spacing w:after="0" w:line="114" w:lineRule="exact"/>
              <w:rPr>
                <w:sz w:val="20"/>
                <w:szCs w:val="20"/>
                <w:color w:val="auto"/>
              </w:rPr>
            </w:pPr>
            <w:r>
              <w:rPr>
                <w:rFonts w:ascii="Times New Roman" w:cs="Times New Roman" w:eastAsia="Times New Roman" w:hAnsi="Times New Roman"/>
                <w:sz w:val="11"/>
                <w:szCs w:val="11"/>
                <w:b w:val="1"/>
                <w:bCs w:val="1"/>
                <w:color w:val="auto"/>
              </w:rPr>
              <w:t>Gross Carrying</w:t>
            </w:r>
          </w:p>
        </w:tc>
        <w:tc>
          <w:tcPr>
            <w:tcW w:w="340" w:type="dxa"/>
            <w:vAlign w:val="bottom"/>
          </w:tcPr>
          <w:p>
            <w:pPr>
              <w:spacing w:after="0"/>
              <w:rPr>
                <w:sz w:val="9"/>
                <w:szCs w:val="9"/>
                <w:color w:val="auto"/>
              </w:rPr>
            </w:pPr>
          </w:p>
        </w:tc>
        <w:tc>
          <w:tcPr>
            <w:tcW w:w="1100" w:type="dxa"/>
            <w:vAlign w:val="bottom"/>
          </w:tcPr>
          <w:p>
            <w:pPr>
              <w:jc w:val="right"/>
              <w:ind w:right="334"/>
              <w:spacing w:after="0" w:line="114" w:lineRule="exact"/>
              <w:rPr>
                <w:sz w:val="20"/>
                <w:szCs w:val="20"/>
                <w:color w:val="auto"/>
              </w:rPr>
            </w:pPr>
            <w:r>
              <w:rPr>
                <w:rFonts w:ascii="Times New Roman" w:cs="Times New Roman" w:eastAsia="Times New Roman" w:hAnsi="Times New Roman"/>
                <w:sz w:val="11"/>
                <w:szCs w:val="11"/>
                <w:b w:val="1"/>
                <w:bCs w:val="1"/>
                <w:color w:val="auto"/>
              </w:rPr>
              <w:t>Accumulated</w:t>
            </w:r>
          </w:p>
        </w:tc>
      </w:tr>
      <w:tr>
        <w:trPr>
          <w:trHeight w:val="153"/>
        </w:trPr>
        <w:tc>
          <w:tcPr>
            <w:tcW w:w="4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Amortization</w:t>
            </w:r>
          </w:p>
        </w:tc>
      </w:tr>
      <w:tr>
        <w:trPr>
          <w:trHeight w:val="150"/>
        </w:trPr>
        <w:tc>
          <w:tcPr>
            <w:tcW w:w="482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96"/>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Customer relationships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144,418</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68,137</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153,950</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70,103</w:t>
            </w:r>
          </w:p>
        </w:tc>
      </w:tr>
      <w:tr>
        <w:trPr>
          <w:trHeight w:val="191"/>
        </w:trPr>
        <w:tc>
          <w:tcPr>
            <w:tcW w:w="4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220" w:type="dxa"/>
            <w:vAlign w:val="bottom"/>
          </w:tcPr>
          <w:p>
            <w:pPr>
              <w:spacing w:after="0"/>
              <w:rPr>
                <w:sz w:val="16"/>
                <w:szCs w:val="16"/>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55,876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36,833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55,745</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35,210</w:t>
            </w:r>
          </w:p>
        </w:tc>
      </w:tr>
      <w:tr>
        <w:trPr>
          <w:trHeight w:val="22"/>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Patents and other technology</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22,502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20,869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22,386</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19,471</w:t>
            </w:r>
          </w:p>
        </w:tc>
      </w:tr>
      <w:tr>
        <w:trPr>
          <w:trHeight w:val="203"/>
        </w:trPr>
        <w:tc>
          <w:tcPr>
            <w:tcW w:w="4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222,796</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125,839</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232,081</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124,784</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three months ended July 31, 2020, we retired identifiable intangibles of $9.9 million related to fully amortized customer relationships.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We had aggregate amortization expense related to intangible assets for the three and nine months ended July 31, 2020 of $3.4 million and $10.8 million, respectively, and $3.7 million and $11.6 million, respectively, for the comparable prior year periods.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Estimated remaining amortization expense, based on current intangible balances, for each of the fiscal years ending October 31, is as follows (in thousands):</w:t>
      </w:r>
    </w:p>
    <w:p>
      <w:pPr>
        <w:spacing w:after="0" w:line="121"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1"/>
          <w:szCs w:val="11"/>
          <w:b w:val="1"/>
          <w:bCs w:val="1"/>
          <w:color w:val="auto"/>
        </w:rPr>
        <w:t>Estimated</w:t>
      </w:r>
    </w:p>
    <w:p>
      <w:pPr>
        <w:spacing w:after="0" w:line="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1"/>
          <w:szCs w:val="11"/>
          <w:b w:val="1"/>
          <w:bCs w:val="1"/>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61530" cy="141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2020 (remaining three months)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2022</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2024</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54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Debt and Finance Lease Obligations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Debt consisted of the following at July 31, 2020 and October 31, 2019:</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184"/>
        </w:trPr>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w:t>
            </w:r>
          </w:p>
        </w:tc>
      </w:tr>
      <w:tr>
        <w:trPr>
          <w:trHeight w:val="212"/>
        </w:trPr>
        <w:tc>
          <w:tcPr>
            <w:tcW w:w="9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12,628</w:t>
            </w:r>
          </w:p>
        </w:tc>
      </w:tr>
      <w:tr>
        <w:trPr>
          <w:trHeight w:val="212"/>
        </w:trPr>
        <w:tc>
          <w:tcPr>
            <w:tcW w:w="9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12,004</w:t>
            </w:r>
          </w:p>
        </w:tc>
      </w:tr>
      <w:tr>
        <w:trPr>
          <w:trHeight w:val="212"/>
        </w:trPr>
        <w:tc>
          <w:tcPr>
            <w:tcW w:w="9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11,246</w:t>
            </w:r>
          </w:p>
        </w:tc>
      </w:tr>
      <w:tr>
        <w:trPr>
          <w:trHeight w:val="212"/>
        </w:trPr>
        <w:tc>
          <w:tcPr>
            <w:tcW w:w="9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10,497</w:t>
            </w:r>
          </w:p>
        </w:tc>
      </w:tr>
      <w:tr>
        <w:trPr>
          <w:trHeight w:val="212"/>
        </w:trPr>
        <w:tc>
          <w:tcPr>
            <w:tcW w:w="9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47,108</w:t>
            </w: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96,957</w:t>
            </w: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w w:val="98"/>
              </w:rPr>
              <w:t>July 31,</w:t>
            </w:r>
          </w:p>
        </w:tc>
        <w:tc>
          <w:tcPr>
            <w:tcW w:w="2060" w:type="dxa"/>
            <w:vAlign w:val="bottom"/>
          </w:tcPr>
          <w:p>
            <w:pPr>
              <w:jc w:val="center"/>
              <w:ind w:left="523"/>
              <w:spacing w:after="0"/>
              <w:rPr>
                <w:sz w:val="20"/>
                <w:szCs w:val="20"/>
                <w:color w:val="auto"/>
              </w:rPr>
            </w:pPr>
            <w:r>
              <w:rPr>
                <w:rFonts w:ascii="Times New Roman" w:cs="Times New Roman" w:eastAsia="Times New Roman" w:hAnsi="Times New Roman"/>
                <w:sz w:val="11"/>
                <w:szCs w:val="11"/>
                <w:b w:val="1"/>
                <w:bCs w:val="1"/>
                <w:color w:val="auto"/>
              </w:rPr>
              <w:t>October 31,</w:t>
            </w:r>
          </w:p>
        </w:tc>
      </w:tr>
      <w:tr>
        <w:trPr>
          <w:trHeight w:val="153"/>
        </w:trPr>
        <w:tc>
          <w:tcPr>
            <w:tcW w:w="10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46"/>
        </w:trPr>
        <w:tc>
          <w:tcPr>
            <w:tcW w:w="1060" w:type="dxa"/>
            <w:vAlign w:val="bottom"/>
          </w:tcPr>
          <w:p>
            <w:pPr>
              <w:spacing w:after="0"/>
              <w:rPr>
                <w:sz w:val="12"/>
                <w:szCs w:val="12"/>
                <w:color w:val="auto"/>
              </w:rPr>
            </w:pPr>
          </w:p>
        </w:tc>
        <w:tc>
          <w:tcPr>
            <w:tcW w:w="20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 thousands)</w:t>
            </w:r>
          </w:p>
        </w:tc>
      </w:tr>
    </w:tbl>
    <w:p>
      <w:pPr>
        <w:spacing w:after="0" w:line="20" w:lineRule="exact"/>
        <w:rPr>
          <w:sz w:val="20"/>
          <w:szCs w:val="20"/>
          <w:color w:val="auto"/>
        </w:rPr>
      </w:pPr>
    </w:p>
    <w:p>
      <w:pPr>
        <w:sectPr>
          <w:pgSz w:w="11900" w:h="16838" w:orient="portrait"/>
          <w:cols w:equalWidth="0" w:num="2">
            <w:col w:w="7440" w:space="720"/>
            <w:col w:w="3120"/>
          </w:cols>
          <w:pgMar w:left="300" w:top="125" w:right="319" w:bottom="1440" w:gutter="0" w:footer="0" w:header="0"/>
          <w:type w:val="continuous"/>
        </w:sectPr>
      </w:pPr>
    </w:p>
    <w:tbl>
      <w:tblPr>
        <w:tblLayout w:type="fixed"/>
        <w:tblInd w:w="20" w:type="dxa"/>
        <w:tblCellMar>
          <w:top w:w="0" w:type="dxa"/>
          <w:left w:w="0" w:type="dxa"/>
          <w:bottom w:w="0" w:type="dxa"/>
          <w:right w:w="0" w:type="dxa"/>
        </w:tblCellMar>
      </w:tblPr>
      <w:tr>
        <w:trPr>
          <w:trHeight w:val="201"/>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Credit Facility</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142,500</w:t>
            </w:r>
          </w:p>
        </w:tc>
      </w:tr>
      <w:tr>
        <w:trPr>
          <w:trHeight w:val="191"/>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obligations and other</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15,865</w:t>
            </w:r>
          </w:p>
        </w:tc>
      </w:tr>
      <w:tr>
        <w:trPr>
          <w:trHeight w:val="22"/>
        </w:trPr>
        <w:tc>
          <w:tcPr>
            <w:tcW w:w="8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Unamortized deferred financing fees</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r>
      <w:tr>
        <w:trPr>
          <w:trHeight w:val="181"/>
        </w:trPr>
        <w:tc>
          <w:tcPr>
            <w:tcW w:w="8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debt</w:t>
            </w:r>
          </w:p>
        </w:tc>
        <w:tc>
          <w:tcPr>
            <w:tcW w:w="52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152,752</w:t>
            </w:r>
          </w:p>
        </w:tc>
        <w:tc>
          <w:tcPr>
            <w:tcW w:w="160" w:type="dxa"/>
            <w:vAlign w:val="bottom"/>
          </w:tcPr>
          <w:p>
            <w:pPr>
              <w:spacing w:after="0"/>
              <w:rPr>
                <w:sz w:val="15"/>
                <w:szCs w:val="15"/>
                <w:color w:val="auto"/>
              </w:rPr>
            </w:pPr>
          </w:p>
        </w:tc>
        <w:tc>
          <w:tcPr>
            <w:tcW w:w="52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157,160</w:t>
            </w:r>
          </w:p>
        </w:tc>
      </w:tr>
      <w:tr>
        <w:trPr>
          <w:trHeight w:val="22"/>
        </w:trPr>
        <w:tc>
          <w:tcPr>
            <w:tcW w:w="8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Current maturities of long-term debt</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746</w:t>
            </w:r>
          </w:p>
        </w:tc>
      </w:tr>
      <w:tr>
        <w:trPr>
          <w:trHeight w:val="203"/>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Long-term debt</w:t>
            </w: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152,062</w:t>
            </w:r>
          </w:p>
        </w:tc>
        <w:tc>
          <w:tcPr>
            <w:tcW w:w="16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156,414</w:t>
            </w:r>
          </w:p>
        </w:tc>
      </w:tr>
      <w:tr>
        <w:trPr>
          <w:trHeight w:val="20"/>
        </w:trPr>
        <w:tc>
          <w:tcPr>
            <w:tcW w:w="8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As more fully described in our Annual Report on Form 10-K for the year ended October 31, 2019, on October 18, 2018, we amended and extended our prior credit facility by entering into a $325.0 million revolving credit facility (the “Credit Facility”), with Wells Fargo Bank, National Association, as Agent, Swingline Lender and Issuing Lender, and Bank of America, N.A. serving as Syndication Agent. The Credit Facility has a five-year term, maturing on October 18, 2023, and requires interest payments calculated, at our election and depending upon our Consolidated Leverage Ratio, at either a Base Rate plus an applicable margin or the LIBOR Rate plus an applicable margin. The Credit Facility contains appropriate provisions to substitute LIBOR with a replacement rate upon transition away from LIBOR. These provisions include a temporary conversion of applicable interest for all borrowings outstanding to be calculated as base rate loans until such time that the replacement rate is agreed upon. In addition, we are subject to commitment fees for the unused portion of the Credit Facility.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applicable margin and commitment fees are outlined in the following table: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6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Consolidated Leverage Ratio</w:t>
            </w:r>
          </w:p>
        </w:tc>
        <w:tc>
          <w:tcPr>
            <w:tcW w:w="182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2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LIBOR Rate Loans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3"/>
        </w:trPr>
        <w:tc>
          <w:tcPr>
            <w:tcW w:w="134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92"/>
        </w:trPr>
        <w:tc>
          <w:tcPr>
            <w:tcW w:w="1340" w:type="dxa"/>
            <w:vAlign w:val="bottom"/>
            <w:tcBorders>
              <w:bottom w:val="single" w:sz="8" w:color="CCEEFF"/>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84"/>
              </w:rPr>
              <w:t>I</w:t>
            </w:r>
          </w:p>
        </w:tc>
        <w:tc>
          <w:tcPr>
            <w:tcW w:w="3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than or equal to 1.50 to 1.00</w:t>
            </w:r>
          </w:p>
        </w:tc>
        <w:tc>
          <w:tcPr>
            <w:tcW w:w="182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0.200%</w:t>
            </w:r>
          </w:p>
        </w:tc>
        <w:tc>
          <w:tcPr>
            <w:tcW w:w="2280" w:type="dxa"/>
            <w:vAlign w:val="bottom"/>
            <w:tcBorders>
              <w:bottom w:val="single" w:sz="8" w:color="CCEEFF"/>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w w:val="99"/>
              </w:rPr>
              <w:t>1.25%</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0.25%</w:t>
            </w:r>
          </w:p>
        </w:tc>
      </w:tr>
      <w:tr>
        <w:trPr>
          <w:trHeight w:val="176"/>
        </w:trPr>
        <w:tc>
          <w:tcPr>
            <w:tcW w:w="1340" w:type="dxa"/>
            <w:vAlign w:val="bottom"/>
          </w:tcPr>
          <w:p>
            <w:pPr>
              <w:spacing w:after="0"/>
              <w:rPr>
                <w:sz w:val="15"/>
                <w:szCs w:val="15"/>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Greater than 1.50 to 1.00, but less than or equal to 2.25</w:t>
            </w:r>
          </w:p>
        </w:tc>
        <w:tc>
          <w:tcPr>
            <w:tcW w:w="1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4"/>
        </w:trPr>
        <w:tc>
          <w:tcPr>
            <w:tcW w:w="13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II</w:t>
            </w:r>
          </w:p>
        </w:tc>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 1.00</w:t>
            </w:r>
          </w:p>
        </w:tc>
        <w:tc>
          <w:tcPr>
            <w:tcW w:w="1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0.225%</w:t>
            </w:r>
          </w:p>
        </w:tc>
        <w:tc>
          <w:tcPr>
            <w:tcW w:w="22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1.50%</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0.50%</w:t>
            </w:r>
          </w:p>
        </w:tc>
      </w:tr>
      <w:tr>
        <w:trPr>
          <w:trHeight w:val="22"/>
        </w:trPr>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6"/>
        </w:trPr>
        <w:tc>
          <w:tcPr>
            <w:tcW w:w="1340" w:type="dxa"/>
            <w:vAlign w:val="bottom"/>
            <w:shd w:val="clear" w:color="auto" w:fill="CCEEFF"/>
          </w:tcPr>
          <w:p>
            <w:pPr>
              <w:spacing w:after="0"/>
              <w:rPr>
                <w:sz w:val="15"/>
                <w:szCs w:val="15"/>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Greater than 2.25 to 1.00, but less than or equal to 3.00</w:t>
            </w:r>
          </w:p>
        </w:tc>
        <w:tc>
          <w:tcPr>
            <w:tcW w:w="18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86"/>
        </w:trPr>
        <w:tc>
          <w:tcPr>
            <w:tcW w:w="134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III</w:t>
            </w:r>
          </w:p>
        </w:tc>
        <w:tc>
          <w:tcPr>
            <w:tcW w:w="3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 1.00</w:t>
            </w:r>
          </w:p>
        </w:tc>
        <w:tc>
          <w:tcPr>
            <w:tcW w:w="1820" w:type="dxa"/>
            <w:vAlign w:val="bottom"/>
            <w:tcBorders>
              <w:bottom w:val="single" w:sz="8" w:color="CCEEFF"/>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0.250%</w:t>
            </w:r>
          </w:p>
        </w:tc>
        <w:tc>
          <w:tcPr>
            <w:tcW w:w="2280" w:type="dxa"/>
            <w:vAlign w:val="bottom"/>
            <w:tcBorders>
              <w:bottom w:val="single" w:sz="8" w:color="CCEEFF"/>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w w:val="99"/>
              </w:rPr>
              <w:t>1.75%</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0.75%</w:t>
            </w:r>
          </w:p>
        </w:tc>
      </w:tr>
      <w:tr>
        <w:trPr>
          <w:trHeight w:val="191"/>
        </w:trPr>
        <w:tc>
          <w:tcPr>
            <w:tcW w:w="13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IV</w:t>
            </w:r>
          </w:p>
        </w:tc>
        <w:tc>
          <w:tcPr>
            <w:tcW w:w="3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Greater than 3.00 to 1.00</w:t>
            </w:r>
          </w:p>
        </w:tc>
        <w:tc>
          <w:tcPr>
            <w:tcW w:w="1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0.300%</w:t>
            </w:r>
          </w:p>
        </w:tc>
        <w:tc>
          <w:tcPr>
            <w:tcW w:w="22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2.00%</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r>
    </w:tbl>
    <w:p>
      <w:pPr>
        <w:spacing w:after="0" w:line="11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6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6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Credit Facility. Substantially all of our domestic assets, with the exception of real property, are utilized as collateral for the Credit Facility.</w:t>
      </w:r>
    </w:p>
    <w:p>
      <w:pPr>
        <w:spacing w:after="0" w:line="8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July 31, 2020, we had $138.0 million of borrowings outstanding under the Credit Agreement (reduced by unamortized debt issuance costs of $1.0 million), $4.8 million of outstanding letters of credit and $15.7 million outstanding primarily under finance leases and other debt. We had $182.2 million available for use under the Credit Agreement at July 31, 2020. Outstanding borrowings under the Credit Agreement accrue interest at 1.91% per annum. Our weighted average borrowing rate for borrowings outstanding during the nine months ended July 31, 2020 and 2019 was 2.62% and 4.16%, respectively. We were in compliance with our debt covenants as of July 31, 2020.</w:t>
      </w:r>
    </w:p>
    <w:p>
      <w:pPr>
        <w:spacing w:after="0" w:line="8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July 31, 2020, we repaid $78.0 million of borrowings outstanding on the Credit Facility, including $50.0 million of precautionary borrowings in March 2020 as a result of COVID-19. In the future, we may be required to borrow additional funds in order to be prepared for any unforeseen impacts of the COVID-19 pandemic.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Debt Instruments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maintain certain finance lease obligations related to equipment purchases, vehicles, and warehouse space. Refer to Note 2, "Leases" for further information regarding our finance leases.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Retirement Plans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Pension Plan</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non-contributory, single employer defined benefit pension plan covers a majority of our employees in the U.S. The net periodic pension cost for this plan for the three and nine months ended July 31, 2020 and 2019 was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920" w:type="dxa"/>
            <w:vAlign w:val="bottom"/>
          </w:tcPr>
          <w:p>
            <w:pPr>
              <w:spacing w:after="0"/>
              <w:rPr>
                <w:sz w:val="12"/>
                <w:szCs w:val="12"/>
                <w:color w:val="auto"/>
              </w:rPr>
            </w:pPr>
          </w:p>
        </w:tc>
      </w:tr>
      <w:tr>
        <w:trPr>
          <w:trHeight w:val="163"/>
        </w:trPr>
        <w:tc>
          <w:tcPr>
            <w:tcW w:w="5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920" w:type="dxa"/>
            <w:vAlign w:val="bottom"/>
            <w:tcBorders>
              <w:bottom w:val="single" w:sz="8" w:color="auto"/>
            </w:tcBorders>
          </w:tcPr>
          <w:p>
            <w:pPr>
              <w:spacing w:after="0"/>
              <w:rPr>
                <w:sz w:val="14"/>
                <w:szCs w:val="14"/>
                <w:color w:val="auto"/>
              </w:rPr>
            </w:pPr>
          </w:p>
        </w:tc>
      </w:tr>
      <w:tr>
        <w:trPr>
          <w:trHeight w:val="150"/>
        </w:trPr>
        <w:tc>
          <w:tcPr>
            <w:tcW w:w="51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0"/>
        </w:trPr>
        <w:tc>
          <w:tcPr>
            <w:tcW w:w="5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2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88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907</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364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22"/>
        </w:trPr>
        <w:tc>
          <w:tcPr>
            <w:tcW w:w="5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8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loss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5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periodic pension cost</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808</w:t>
            </w: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January 1, 2020, we enacted changes to our pension plan whereby the benefits for all participants were frozen and thereafter those participants will receive increased benefits in the company sponsored defined contribution plan in lieu of participation in a defined benefit plan. As a result of this action, we have remeasured the pension assets and obligations for the pension plan as of December 31, 2019. This resulted in a decrease in our projected benefit obligation and recognition of a net actuarial gain of approximately $2.5 million that was recorded in accumulated other comprehensive income. The decrease in the projected benefit obligation was impacted by our asset performance through December 31, 2019, the impact of the pension plan freeze and an increase in the discount rate since October 31, 2019.</w:t>
      </w:r>
    </w:p>
    <w:p>
      <w:pPr>
        <w:spacing w:after="0" w:line="10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remeasurement described above is in addition to our annual year-end measurement of the funded status of our benefit plans that we will record as of October 31, 2020. As a result, the change in our pension benefit obligation and net actuarial loss will differ from the $2.5 million discussed above primarily as a result of any changes in interest rates and actual asset performance differs from our expected return on assets during the year.</w:t>
      </w:r>
    </w:p>
    <w:p>
      <w:pPr>
        <w:spacing w:after="0" w:line="72" w:lineRule="exact"/>
        <w:rPr>
          <w:sz w:val="20"/>
          <w:szCs w:val="20"/>
          <w:color w:val="auto"/>
        </w:rPr>
      </w:pPr>
    </w:p>
    <w:p>
      <w:pPr>
        <w:ind w:right="1280" w:firstLine="350"/>
        <w:spacing w:after="0" w:line="477" w:lineRule="auto"/>
        <w:rPr>
          <w:sz w:val="20"/>
          <w:szCs w:val="20"/>
          <w:color w:val="auto"/>
        </w:rPr>
      </w:pPr>
      <w:r>
        <w:rPr>
          <w:rFonts w:ascii="Times New Roman" w:cs="Times New Roman" w:eastAsia="Times New Roman" w:hAnsi="Times New Roman"/>
          <w:sz w:val="14"/>
          <w:szCs w:val="14"/>
          <w:color w:val="auto"/>
        </w:rPr>
        <w:t xml:space="preserve">During September 2019, we contributed $0.7 million to fund our plan, and we expect to make a contribution to our plan in September 2020 of approximately $3.7 million. </w:t>
      </w:r>
      <w:r>
        <w:rPr>
          <w:rFonts w:ascii="Times New Roman" w:cs="Times New Roman" w:eastAsia="Times New Roman" w:hAnsi="Times New Roman"/>
          <w:sz w:val="14"/>
          <w:szCs w:val="14"/>
          <w:i w:val="1"/>
          <w:iCs w:val="1"/>
          <w:color w:val="auto"/>
        </w:rPr>
        <w:t>Other Plans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also have a supplemental benefit plan covering certain executive officers and key employees and a non-qualified deferred compensation plan covering members of the Board of Directors and certain key employees. As of July 31, 2020 and October 31, 2019, our liability under the supplemental benefit plan was approximately $2.4 million and $4.2 million, respectively. As of July 31, 2020 and October 31, 2019, the liability associated with the deferred compensation plan was approximately $3.4 million and $3.8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Income Taxes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To determine our income tax expense or benefit for interim periods, consistent with accounting standards, we apply the estimated annual effective income tax rate to year-to-date results. Our estimated annual effective tax rates for the nine months ended July 31, 2020 and 2019 was 27.4% and 24.8%, respectively, excluding discrete items. The 2020 effective rate was primarily impacted by a discrete charge of $0.5 million related to the vesting or exercise of equity-based compensation awards. The 2019 effective rate was primarily impacted by the goodwill impairment charge recorded during the nine months ended July 31, 2019, which did not generate a significant tax benefit.</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As of July 31, 2020, our liability for uncertain tax positions (UTP) of $0.6 million relates to certain state tax items regarding the interpretation of tax laws and regulations. 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The disallowance of the UTP would not materially affect the annual effective tax rate. We do not believe any of the UTP at July 31, 2020 will be recognized within the next twelve months.</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evaluate the likelihood of realization of our deferred tax assets by considering both positive and negative evidence. We maintain a valuation allowance for certain state net operating losses which totaled $1.6 million at July 31, 2020 and October 31, 2019.</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Final regulations were published by the Internal Revenue Service regarding Uniform Capitalization (UNICAP) that became effective during fiscal 2020. Also, on March 27, 2020, The Coronavirus Aid, Relief, and Economic Security (CARES) Act was signed into law. We are evaluating these regulations but do not believe they will result in a material impact on our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Remediation and Environmental Compliance Costs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2020.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regularly review with legal counsel the status of all ongoing proceedings, and we maintain insurance against these risks to the extent deemed prudent by our management and to the extent such insurance is available. However, there is no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8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Fair Value Measurement of Assets and Liabilities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56" w:lineRule="exact"/>
        <w:rPr>
          <w:sz w:val="20"/>
          <w:szCs w:val="20"/>
          <w:color w:val="auto"/>
        </w:rPr>
      </w:pPr>
    </w:p>
    <w:p>
      <w:pPr>
        <w:ind w:left="380" w:hanging="12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Unadjusted quoted prices in active markets that are accessible at the measurement date for identical, unrestricted assets or liabilities.</w:t>
      </w:r>
    </w:p>
    <w:p>
      <w:pPr>
        <w:spacing w:after="0" w:line="93" w:lineRule="exact"/>
        <w:rPr>
          <w:rFonts w:ascii="Times New Roman" w:cs="Times New Roman" w:eastAsia="Times New Roman" w:hAnsi="Times New Roman"/>
          <w:sz w:val="14"/>
          <w:szCs w:val="14"/>
          <w:color w:val="auto"/>
        </w:rPr>
      </w:pPr>
    </w:p>
    <w:p>
      <w:pPr>
        <w:jc w:val="both"/>
        <w:ind w:left="380" w:hanging="120"/>
        <w:spacing w:after="0" w:line="270" w:lineRule="auto"/>
        <w:tabs>
          <w:tab w:leader="none" w:pos="3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50" w:lineRule="exact"/>
        <w:rPr>
          <w:rFonts w:ascii="Times New Roman" w:cs="Times New Roman" w:eastAsia="Times New Roman" w:hAnsi="Times New Roman"/>
          <w:sz w:val="14"/>
          <w:szCs w:val="14"/>
          <w:color w:val="auto"/>
        </w:rPr>
      </w:pPr>
    </w:p>
    <w:p>
      <w:pPr>
        <w:ind w:left="380" w:hanging="12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Inputs that are both significant to the fair value measurement and unobservable.</w:t>
      </w:r>
    </w:p>
    <w:p>
      <w:pPr>
        <w:spacing w:after="0" w:line="9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July 31, 2020 and October 31, 2019, foreign currency derivatives were being measured on a recurring basis. Less than $0.1 million of foreign currency derivatives were included in total assets as of October 31, 2019. There were no outstanding foreign currency derivatives as of July 31, 2020. All of our derivative contracts are valued using quoted market prices from brokers or exchanges and are classified within Level 2 of the fair value hierarchy.</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July 31, 2020, and October 31, 2019 (Level 2 measurement).</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liability portion of our performance share awards are marked-to-market on a quarterly basis during a three-year vesting period based on market data (Level 2 measurement). For further information, refer to Note 10, "Stock-Based Compensation -Performance Share Awards."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Stock-Based Compensation</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replaced a prior plan (formerly the 2008 Plan) in February 2020. The 2020 Plan is administered by the Compensation and Management Development Committee of the Board of Directors.</w:t>
      </w:r>
    </w:p>
    <w:p>
      <w:pPr>
        <w:spacing w:after="0" w:line="9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aggregate number of shares of common stock authorized for grant under the 2020 Plan is 3,094,587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Awards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Restricted stock awards are granted to key employees and officers annually, and typically cliff vest over a three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summary of non-vested restricted stock awards activity during the nine months ended July 31, 2020 is presented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980" w:type="dxa"/>
            <w:vAlign w:val="bottom"/>
          </w:tcPr>
          <w:p>
            <w:pPr>
              <w:spacing w:after="0"/>
              <w:rPr>
                <w:sz w:val="11"/>
                <w:szCs w:val="11"/>
                <w:color w:val="auto"/>
              </w:rPr>
            </w:pPr>
          </w:p>
        </w:tc>
        <w:tc>
          <w:tcPr>
            <w:tcW w:w="1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Restricted Stock Awards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3"/>
        </w:trPr>
        <w:tc>
          <w:tcPr>
            <w:tcW w:w="698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Grant Date Fair Value per Share</w:t>
            </w:r>
          </w:p>
        </w:tc>
        <w:tc>
          <w:tcPr>
            <w:tcW w:w="0" w:type="dxa"/>
            <w:vAlign w:val="bottom"/>
          </w:tcPr>
          <w:p>
            <w:pPr>
              <w:spacing w:after="0"/>
              <w:rPr>
                <w:sz w:val="1"/>
                <w:szCs w:val="1"/>
                <w:color w:val="auto"/>
              </w:rPr>
            </w:pPr>
          </w:p>
        </w:tc>
      </w:tr>
      <w:tr>
        <w:trPr>
          <w:trHeight w:val="18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October 31, 2019</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230,100</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0" w:type="dxa"/>
            <w:vAlign w:val="bottom"/>
          </w:tcPr>
          <w:p>
            <w:pPr>
              <w:spacing w:after="0"/>
              <w:rPr>
                <w:sz w:val="1"/>
                <w:szCs w:val="1"/>
                <w:color w:val="auto"/>
              </w:rPr>
            </w:pPr>
          </w:p>
        </w:tc>
      </w:tr>
      <w:tr>
        <w:trPr>
          <w:trHeight w:val="191"/>
        </w:trPr>
        <w:tc>
          <w:tcPr>
            <w:tcW w:w="6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59,700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(42,800)</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0" w:type="dxa"/>
            <w:vAlign w:val="bottom"/>
          </w:tcPr>
          <w:p>
            <w:pPr>
              <w:spacing w:after="0"/>
              <w:rPr>
                <w:sz w:val="1"/>
                <w:szCs w:val="1"/>
                <w:color w:val="auto"/>
              </w:rPr>
            </w:pPr>
          </w:p>
        </w:tc>
      </w:tr>
      <w:tr>
        <w:trPr>
          <w:trHeight w:val="191"/>
        </w:trPr>
        <w:tc>
          <w:tcPr>
            <w:tcW w:w="6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Vested</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0" w:type="dxa"/>
            <w:vAlign w:val="bottom"/>
          </w:tcPr>
          <w:p>
            <w:pPr>
              <w:spacing w:after="0"/>
              <w:rPr>
                <w:sz w:val="1"/>
                <w:szCs w:val="1"/>
                <w:color w:val="auto"/>
              </w:rPr>
            </w:pPr>
          </w:p>
        </w:tc>
      </w:tr>
      <w:tr>
        <w:trPr>
          <w:trHeight w:val="22"/>
        </w:trPr>
        <w:tc>
          <w:tcPr>
            <w:tcW w:w="69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July 31, 2020</w:t>
            </w:r>
          </w:p>
        </w:tc>
        <w:tc>
          <w:tcPr>
            <w:tcW w:w="1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192,000</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total weighted average grant-date fair value of restricted stock awards that vested during each of the nine month periods ended July 31, 2020 and 2019 was $1.1 million and $1.3 million, respectively. As of July 31, 2020, total unrecognized compensation cost related to unamortized restricted stock awards was $1.4 million. We expect to recognize this expense over the remaining weighted average vesting period of 1.9 years.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Historically, stock options have been awarded to key employees, officers and non-employee directors. Effective May 2015, the director compensation structure was revised to eliminate the annual grant of stock options to non-employee directors. During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2018, October 31, 2019, or during the nine months ended July 31, 2020. Employee stock options typically vest ratably over a three-year period with service and continued employment as the vesting conditions. Our stock options may be exercised up to a maximum of ten years from the date of grant. The fair value of the stock options is determined on the grant date and expensed over the vesting period resulting in an increase in additional paid-in-capital. For employees who are nearing retirement-eligibility, we recognize stock option expense ratably over the shorter of the vesting period or the period from the grant-date to the retirement-eligibility date.</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use a Black-Scholes pricing model to estimate the fair value of stock options. A description of the methodology for the valuation assumptions was disclosed in our Annual Report on Form 10-K for the fiscal year ended October 31, 2019.</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stock option activity for the nine months ended July 31,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340" w:type="dxa"/>
            <w:vAlign w:val="bottom"/>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center"/>
              <w:ind w:right="156"/>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540" w:type="dxa"/>
            <w:vAlign w:val="bottom"/>
            <w:vMerge w:val="restart"/>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40" w:type="dxa"/>
            <w:vAlign w:val="bottom"/>
          </w:tcPr>
          <w:p>
            <w:pPr>
              <w:jc w:val="center"/>
              <w:ind w:left="143"/>
              <w:spacing w:after="0" w:line="117" w:lineRule="exact"/>
              <w:rPr>
                <w:sz w:val="20"/>
                <w:szCs w:val="20"/>
                <w:color w:val="auto"/>
              </w:rPr>
            </w:pPr>
            <w:r>
              <w:rPr>
                <w:rFonts w:ascii="Times New Roman" w:cs="Times New Roman" w:eastAsia="Times New Roman" w:hAnsi="Times New Roman"/>
                <w:sz w:val="11"/>
                <w:szCs w:val="11"/>
                <w:b w:val="1"/>
                <w:bCs w:val="1"/>
                <w:color w:val="auto"/>
              </w:rPr>
              <w:t>Remaining Contractual</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center"/>
              <w:ind w:right="156"/>
              <w:spacing w:after="0" w:line="117"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53"/>
        </w:trPr>
        <w:tc>
          <w:tcPr>
            <w:tcW w:w="478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2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1"/>
                <w:szCs w:val="11"/>
                <w:b w:val="1"/>
                <w:bCs w:val="1"/>
                <w:color w:val="auto"/>
              </w:rPr>
              <w:t>Value (000s)</w:t>
            </w:r>
          </w:p>
        </w:tc>
        <w:tc>
          <w:tcPr>
            <w:tcW w:w="0" w:type="dxa"/>
            <w:vAlign w:val="bottom"/>
          </w:tcPr>
          <w:p>
            <w:pPr>
              <w:spacing w:after="0"/>
              <w:rPr>
                <w:sz w:val="1"/>
                <w:szCs w:val="1"/>
                <w:color w:val="auto"/>
              </w:rPr>
            </w:pPr>
          </w:p>
        </w:tc>
      </w:tr>
      <w:tr>
        <w:trPr>
          <w:trHeight w:val="18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October 31, 2019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1,416,186</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(178,033)</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Forfeited/Expired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(93,734)</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July 31, 2020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1,144,419</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3.7</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or expected to vest at July 31, 2020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1,144,419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3.7</w:t>
            </w:r>
          </w:p>
        </w:tc>
        <w:tc>
          <w:tcPr>
            <w:tcW w:w="2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July 31, 2020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1,144,419</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3.7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Intrinsic value is the amount by which the market price of the common stock on the date of exercise exceeds the exercise price of the stock option. The total intrinsic value of stock options exercised during the nine months ended July 31, 2020 and 2019 was $0.5 million and $0.3 million, respectively. The weighted-average grant date fair value of stock options that vested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6" w:lineRule="exact"/>
        <w:rPr>
          <w:sz w:val="20"/>
          <w:szCs w:val="20"/>
          <w:color w:val="auto"/>
        </w:rPr>
      </w:pPr>
    </w:p>
    <w:p>
      <w:pPr>
        <w:ind w:right="500"/>
        <w:spacing w:after="0" w:line="442" w:lineRule="auto"/>
        <w:rPr>
          <w:sz w:val="20"/>
          <w:szCs w:val="20"/>
          <w:color w:val="auto"/>
        </w:rPr>
      </w:pPr>
      <w:r>
        <w:rPr>
          <w:rFonts w:ascii="Times New Roman" w:cs="Times New Roman" w:eastAsia="Times New Roman" w:hAnsi="Times New Roman"/>
          <w:sz w:val="14"/>
          <w:szCs w:val="14"/>
          <w:color w:val="auto"/>
        </w:rPr>
        <w:t xml:space="preserve">during the nine months ended July 31, 2020 and 2019 was $0.4 million and $1.1 million, respectively. As of July 31, 2020, all compensation cost related to stock options has been recognized. </w:t>
      </w:r>
      <w:r>
        <w:rPr>
          <w:rFonts w:ascii="Times New Roman" w:cs="Times New Roman" w:eastAsia="Times New Roman" w:hAnsi="Times New Roman"/>
          <w:sz w:val="14"/>
          <w:szCs w:val="14"/>
          <w:i w:val="1"/>
          <w:iCs w:val="1"/>
          <w:color w:val="auto"/>
        </w:rPr>
        <w:t>Restricted Stock Units</w:t>
      </w:r>
    </w:p>
    <w:p>
      <w:pPr>
        <w:spacing w:after="0" w:line="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0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During the nine months ended July 31, 2020 and 2019, non-employee directors received 25,326 and 29,065 restricted stock units, respectively, at a grant date fair value of $19.02 per share and $15.29 per share, respectively, which vested immediately. As of July 31, 2020, there were 26,390 non-vested restricted stock units, which were awarded in June 2019 and January 2020 to key employees at a weighted average grant date fair value of $17.01. During the nine months ended July 31, 2019, we paid approximately $0.4 million to settle previously vested restricted stock units; there were no corresponding payments to settle vested restricted stock units during the nine months ended July 31, 2020.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Share Awards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have awarded annual grants of performance shares to key employees and officers. These awards cliff vest after a three-year period. Performance share awards issued prior to fiscal 2019 vest with service and performance measures (relative total shareholder return (R-TSR) and earnings per share (EPS) growth), as vesting conditions. The number of shares earned is variable depending on the metrics achieved, and the settlement method is 50% in cash and 50% in our common stock. Performance share awards issued during fiscal 2019 and 2020 vest with return on net assets (RONA) as the vesting condition and pay out 100% in cash.</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To account for these awards, we have bifurcated the portion subject to a market condition (R-TSR) and the portion subject to an internal performance measure (EPS or RONA). We have further bifurcated these awards based on the settlement method, as the portion expected to settle in stock (equity component) and the portion expected to settle in cash (liability component).</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To value the shares subject to the market condition, we utilized a Monte Carlo simulation model to arrive at a grant-date fair value. This amount will be expensed over the three-year term of the award with a credit to additional paid-in-capital. To value the shares subject to the EPS and RONA performance measures, we used the value of our common stock on the date of grant as the grant-date fair value per share. This amount is being expensed over the three-year term of the award, with a credit to additional paid-in-capital, and could fluctuate depending on the number of shares ultimately expected to vest based on our assessment of the probability that the performance conditions will be achieved. The portion of the awards expected to settle in cash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performance share grants and the grant date fair value for the EPS, R-TSR and RONA performance metrics: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6"/>
        </w:trPr>
        <w:tc>
          <w:tcPr>
            <w:tcW w:w="54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Shares Awarded</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EPS</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R-TSR</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RONA</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Shares Forfeited</w:t>
            </w:r>
          </w:p>
        </w:tc>
      </w:tr>
      <w:tr>
        <w:trPr>
          <w:trHeight w:val="18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7, 2017</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146,500</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20.70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54,008</w:t>
            </w:r>
          </w:p>
        </w:tc>
      </w:tr>
      <w:tr>
        <w:trPr>
          <w:trHeight w:val="191"/>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5, 2018</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131,500</w:t>
            </w:r>
          </w:p>
        </w:tc>
        <w:tc>
          <w:tcPr>
            <w:tcW w:w="80" w:type="dxa"/>
            <w:vAlign w:val="bottom"/>
          </w:tcPr>
          <w:p>
            <w:pPr>
              <w:spacing w:after="0"/>
              <w:rPr>
                <w:sz w:val="16"/>
                <w:szCs w:val="16"/>
                <w:color w:val="auto"/>
              </w:rPr>
            </w:pPr>
          </w:p>
        </w:tc>
        <w:tc>
          <w:tcPr>
            <w:tcW w:w="66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40,900</w:t>
            </w:r>
          </w:p>
        </w:tc>
      </w:tr>
      <w:tr>
        <w:trPr>
          <w:trHeight w:val="22"/>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1"/>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5, 2019</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55,900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r>
      <w:tr>
        <w:trPr>
          <w:trHeight w:val="22"/>
        </w:trPr>
        <w:tc>
          <w:tcPr>
            <w:tcW w:w="5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bl>
    <w:p>
      <w:pPr>
        <w:spacing w:after="0" w:line="113"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On November 30, 2019, a total of 56,103 shares vested pursuant to the November 2016 grant, which were settled with 28,051 shares of common stock and a cash payment of $0.6 million. We recorded compensation expense of $0.1 million for the three months ended July 31, 2020 and a decrease in compensation expense of $0.3 million for the nine months ended July 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2020 related to the expected payout of our performance share awards that are outstanding as of July 31, 2020. For each of the three and nine months ended July 31, 2019, we recorded compensation expense of $0.5 million related to the expected payouts of performance share awards that were outstanding as of July 31, 2019.</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performance shares are excluded from the diluted weighted-average shares used to calculate earnings per share until the performance criteria is probable to result in the issuance of contingent shares. As of July 31, 2020, we have deemed 17,342 shares related to the December 2017 grants of performance shares as probable to vest.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Restricted Stock Units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awarded performance restricted stock units to key employees and officers beginning in December 2017.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Vesting Level</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Vesting Criteria</w:t>
            </w:r>
          </w:p>
        </w:tc>
        <w:tc>
          <w:tcPr>
            <w:tcW w:w="34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Percentage of Award Vested</w:t>
            </w:r>
          </w:p>
        </w:tc>
      </w:tr>
      <w:tr>
        <w:trPr>
          <w:trHeight w:val="22"/>
        </w:trPr>
        <w:tc>
          <w:tcPr>
            <w:tcW w:w="2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A-TSR greater than or equal to 50%</w:t>
            </w:r>
          </w:p>
        </w:tc>
        <w:tc>
          <w:tcPr>
            <w:tcW w:w="3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150%</w:t>
            </w:r>
          </w:p>
        </w:tc>
      </w:tr>
      <w:tr>
        <w:trPr>
          <w:trHeight w:val="191"/>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A-TSR less than 50% and greater than or equal to 20%</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2"/>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3</w:t>
            </w:r>
          </w:p>
        </w:tc>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A-TSR less than 20% and greater than or equal to -20%</w:t>
            </w:r>
          </w:p>
        </w:tc>
        <w:tc>
          <w:tcPr>
            <w:tcW w:w="3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r>
      <w:tr>
        <w:trPr>
          <w:trHeight w:val="191"/>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Level 4</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A-TSR less than -20%</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performance restricted stock unit grants and the grant date fair value for the A-TSR performance metric:</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80" w:type="dxa"/>
            <w:vAlign w:val="bottom"/>
            <w:vMerge w:val="restart"/>
          </w:tcPr>
          <w:p>
            <w:pPr>
              <w:ind w:left="35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vMerge w:val="restart"/>
          </w:tcPr>
          <w:p>
            <w:pPr>
              <w:spacing w:after="0"/>
              <w:rPr>
                <w:sz w:val="11"/>
                <w:szCs w:val="11"/>
                <w:color w:val="auto"/>
              </w:rPr>
            </w:pPr>
          </w:p>
        </w:tc>
        <w:tc>
          <w:tcPr>
            <w:tcW w:w="106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Shares Awarded</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Grand Date Fair</w:t>
            </w:r>
          </w:p>
        </w:tc>
        <w:tc>
          <w:tcPr>
            <w:tcW w:w="1080" w:type="dxa"/>
            <w:vAlign w:val="bottom"/>
            <w:vMerge w:val="restart"/>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Shares Forfeited</w:t>
            </w:r>
          </w:p>
        </w:tc>
        <w:tc>
          <w:tcPr>
            <w:tcW w:w="0" w:type="dxa"/>
            <w:vAlign w:val="bottom"/>
          </w:tcPr>
          <w:p>
            <w:pPr>
              <w:spacing w:after="0"/>
              <w:rPr>
                <w:sz w:val="1"/>
                <w:szCs w:val="1"/>
                <w:color w:val="auto"/>
              </w:rPr>
            </w:pPr>
          </w:p>
        </w:tc>
      </w:tr>
      <w:tr>
        <w:trPr>
          <w:trHeight w:val="153"/>
        </w:trPr>
        <w:tc>
          <w:tcPr>
            <w:tcW w:w="77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7, 2017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28,854</w:t>
            </w:r>
          </w:p>
        </w:tc>
        <w:tc>
          <w:tcPr>
            <w:tcW w:w="0" w:type="dxa"/>
            <w:vAlign w:val="bottom"/>
          </w:tcPr>
          <w:p>
            <w:pPr>
              <w:spacing w:after="0"/>
              <w:rPr>
                <w:sz w:val="1"/>
                <w:szCs w:val="1"/>
                <w:color w:val="auto"/>
              </w:rPr>
            </w:pPr>
          </w:p>
        </w:tc>
      </w:tr>
      <w:tr>
        <w:trPr>
          <w:trHeight w:val="22"/>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5, 2018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w:t>
            </w:r>
          </w:p>
        </w:tc>
        <w:tc>
          <w:tcPr>
            <w:tcW w:w="0" w:type="dxa"/>
            <w:vAlign w:val="bottom"/>
          </w:tcPr>
          <w:p>
            <w:pPr>
              <w:spacing w:after="0"/>
              <w:rPr>
                <w:sz w:val="1"/>
                <w:szCs w:val="1"/>
                <w:color w:val="auto"/>
              </w:rPr>
            </w:pPr>
          </w:p>
        </w:tc>
      </w:tr>
      <w:tr>
        <w:trPr>
          <w:trHeight w:val="191"/>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5, 2019</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and nine months ended July 31, 2020, we recorded compensation expense of approximately $0.1 million and $0.4 million, respectively, and $0.2 million and $0.6 million, respectively, for the comparable prior year period related to our performance share restricted units.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July 31, 2020, we have deemed 24,673 shares related to the December 2017 grants of performance restricted stock units as probable to vest.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Treasury Shares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gridSpan w:val="2"/>
          </w:tcPr>
          <w:p>
            <w:pPr>
              <w:ind w:left="4000"/>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tc>
        <w:tc>
          <w:tcPr>
            <w:tcW w:w="1780" w:type="dxa"/>
            <w:vAlign w:val="bottom"/>
          </w:tcPr>
          <w:p>
            <w:pPr>
              <w:spacing w:after="0"/>
              <w:rPr>
                <w:sz w:val="13"/>
                <w:szCs w:val="13"/>
                <w:color w:val="auto"/>
              </w:rPr>
            </w:pPr>
          </w:p>
        </w:tc>
      </w:tr>
      <w:tr>
        <w:trPr>
          <w:trHeight w:val="186"/>
        </w:trPr>
        <w:tc>
          <w:tcPr>
            <w:tcW w:w="950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tc>
        <w:tc>
          <w:tcPr>
            <w:tcW w:w="1780" w:type="dxa"/>
            <w:vAlign w:val="bottom"/>
          </w:tcPr>
          <w:p>
            <w:pPr>
              <w:spacing w:after="0"/>
              <w:rPr>
                <w:sz w:val="16"/>
                <w:szCs w:val="16"/>
                <w:color w:val="auto"/>
              </w:rPr>
            </w:pPr>
          </w:p>
        </w:tc>
      </w:tr>
      <w:tr>
        <w:trPr>
          <w:trHeight w:val="552"/>
        </w:trPr>
        <w:tc>
          <w:tcPr>
            <w:tcW w:w="9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the remainder recorded as a charge to retained earnings. We recorded a charge to retained earnings of $0.1 million during the nine months ended July 31, 2020.</w:t>
            </w:r>
          </w:p>
        </w:tc>
        <w:tc>
          <w:tcPr>
            <w:tcW w:w="1780" w:type="dxa"/>
            <w:vAlign w:val="bottom"/>
          </w:tcPr>
          <w:p>
            <w:pPr>
              <w:spacing w:after="0"/>
              <w:rPr>
                <w:sz w:val="24"/>
                <w:szCs w:val="24"/>
                <w:color w:val="auto"/>
              </w:rPr>
            </w:pPr>
          </w:p>
        </w:tc>
      </w:tr>
      <w:tr>
        <w:trPr>
          <w:trHeight w:val="297"/>
        </w:trPr>
        <w:tc>
          <w:tcPr>
            <w:tcW w:w="9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treasury stock activity during the nine months ended July 31, 2020:</w:t>
            </w:r>
          </w:p>
        </w:tc>
        <w:tc>
          <w:tcPr>
            <w:tcW w:w="1780" w:type="dxa"/>
            <w:vAlign w:val="bottom"/>
          </w:tcPr>
          <w:p>
            <w:pPr>
              <w:spacing w:after="0"/>
              <w:rPr>
                <w:sz w:val="24"/>
                <w:szCs w:val="24"/>
                <w:color w:val="auto"/>
              </w:rPr>
            </w:pPr>
          </w:p>
        </w:tc>
      </w:tr>
      <w:tr>
        <w:trPr>
          <w:trHeight w:val="247"/>
        </w:trPr>
        <w:tc>
          <w:tcPr>
            <w:tcW w:w="9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3"/>
        </w:trPr>
        <w:tc>
          <w:tcPr>
            <w:tcW w:w="90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1"/>
                <w:szCs w:val="11"/>
                <w:b w:val="1"/>
                <w:bCs w:val="1"/>
                <w:color w:val="auto"/>
              </w:rPr>
              <w:t>July 31, 2020</w:t>
            </w:r>
          </w:p>
        </w:tc>
      </w:tr>
      <w:tr>
        <w:trPr>
          <w:trHeight w:val="187"/>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as of November 1, 2019</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4,348,613</w:t>
            </w:r>
          </w:p>
        </w:tc>
      </w:tr>
      <w:tr>
        <w:trPr>
          <w:trHeight w:val="191"/>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awards 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(59,700)</w:t>
            </w:r>
          </w:p>
        </w:tc>
      </w:tr>
      <w:tr>
        <w:trPr>
          <w:trHeight w:val="22"/>
        </w:trPr>
        <w:tc>
          <w:tcPr>
            <w:tcW w:w="9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2"/>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share awards vested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r>
      <w:tr>
        <w:trPr>
          <w:trHeight w:val="191"/>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(178,033)</w:t>
            </w:r>
          </w:p>
        </w:tc>
      </w:tr>
      <w:tr>
        <w:trPr>
          <w:trHeight w:val="22"/>
        </w:trPr>
        <w:tc>
          <w:tcPr>
            <w:tcW w:w="9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4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419,799</w:t>
            </w:r>
          </w:p>
        </w:tc>
      </w:tr>
      <w:tr>
        <w:trPr>
          <w:trHeight w:val="203"/>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April 30, 2020</w:t>
            </w:r>
          </w:p>
        </w:tc>
        <w:tc>
          <w:tcPr>
            <w:tcW w:w="42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4,502,628</w:t>
            </w:r>
          </w:p>
        </w:tc>
      </w:tr>
      <w:tr>
        <w:trPr>
          <w:trHeight w:val="20"/>
        </w:trPr>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Other Income</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Other (loss) income, included under the caption "Other, net" on the accompanying condensed consolidated statements of income (loss), consisted of the following for the three and nine months ended July 31, 2020 and 2019: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gridSpan w:val="3"/>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20" w:type="dxa"/>
            <w:vAlign w:val="bottom"/>
          </w:tcPr>
          <w:p>
            <w:pPr>
              <w:spacing w:after="0"/>
              <w:rPr>
                <w:sz w:val="12"/>
                <w:szCs w:val="12"/>
                <w:color w:val="auto"/>
              </w:rPr>
            </w:pPr>
          </w:p>
        </w:tc>
      </w:tr>
      <w:tr>
        <w:trPr>
          <w:trHeight w:val="163"/>
        </w:trPr>
        <w:tc>
          <w:tcPr>
            <w:tcW w:w="4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874"/>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1020" w:type="dxa"/>
            <w:vAlign w:val="bottom"/>
            <w:tcBorders>
              <w:bottom w:val="single" w:sz="8" w:color="auto"/>
            </w:tcBorders>
          </w:tcPr>
          <w:p>
            <w:pPr>
              <w:spacing w:after="0"/>
              <w:rPr>
                <w:sz w:val="14"/>
                <w:szCs w:val="14"/>
                <w:color w:val="auto"/>
              </w:rPr>
            </w:pPr>
          </w:p>
        </w:tc>
      </w:tr>
      <w:tr>
        <w:trPr>
          <w:trHeight w:val="150"/>
        </w:trPr>
        <w:tc>
          <w:tcPr>
            <w:tcW w:w="4720" w:type="dxa"/>
            <w:vAlign w:val="bottom"/>
          </w:tcPr>
          <w:p>
            <w:pPr>
              <w:spacing w:after="0"/>
              <w:rPr>
                <w:sz w:val="13"/>
                <w:szCs w:val="13"/>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0"/>
        </w:trPr>
        <w:tc>
          <w:tcPr>
            <w:tcW w:w="4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(losses) gains</w:t>
            </w:r>
          </w:p>
        </w:tc>
        <w:tc>
          <w:tcPr>
            <w:tcW w:w="100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derivative gains (losses)</w:t>
            </w:r>
          </w:p>
        </w:tc>
        <w:tc>
          <w:tcPr>
            <w:tcW w:w="10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2"/>
        </w:trPr>
        <w:tc>
          <w:tcPr>
            <w:tcW w:w="4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service benefit</w:t>
            </w: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2"/>
        </w:trPr>
        <w:tc>
          <w:tcPr>
            <w:tcW w:w="4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net</w:t>
            </w: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20"/>
        </w:trPr>
        <w:tc>
          <w:tcPr>
            <w:tcW w:w="4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Segment Information</w:t>
      </w:r>
    </w:p>
    <w:p>
      <w:pPr>
        <w:spacing w:after="0" w:line="13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 xml:space="preserve">We present three reportable business segments in accordance with ASC Topic 280-10-50,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(ASC 280): (1) North American Fenestration segment (NA Fenestration), comprising three operating segments primarily focused on the fenestration market in North America including vinyl profiles, insulating glass spacers, screens &amp; other fenestration components; (2) European Fenestration segment (EU Fenestration), comprising our U.K.-based vinyl extrusion business, manufacturing vinyl profiles &amp; conservatories, and the European insulating glass business manufacturing insulating glass spacers; and (3) North American Cabinet Components segment (NA Cabinet Components), comprising our cabinet door and components operations. We maintain an Unallocated Corporate &amp; Other grouping which includes corporate office charges, and inter-segment eliminations, less an allocation of a portion of the general and administrative costs associated with the corporate office which have been allocated to the reportable business segments, based upon relative share of revenue, in order to more accurately reflect each reportable business segment's administrative cost. Certain costs are not allocated to the reportable operating segments, but remain in Unallocated Corporate &amp; Other, including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inter-segment eliminations, and executive incentive compensation and medical expense fluctuations relative to planned costs as determined during the annual planning process. The accounting policies of our operating segments are the same as those used to prepare the accompanying condensed consolidated financial statements. Corporate general and administrative expense allocated during the three and nine month period ended July 31, 2020 was $5.2 million and $15.4 million, respectively, and $4.8 million and $14.6 million for the comparable prior year periods.</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distributors will vary amongst the businesses; (5) similar regulatory environment; and (6) converging long-term economic similarities.</w:t>
      </w:r>
    </w:p>
    <w:p>
      <w:pPr>
        <w:spacing w:after="0" w:line="147" w:lineRule="exact"/>
        <w:rPr>
          <w:sz w:val="20"/>
          <w:szCs w:val="20"/>
          <w:color w:val="auto"/>
        </w:rPr>
      </w:pPr>
    </w:p>
    <w:p>
      <w:pPr>
        <w:ind w:right="640" w:firstLine="318"/>
        <w:spacing w:after="0" w:line="287" w:lineRule="auto"/>
        <w:rPr>
          <w:sz w:val="20"/>
          <w:szCs w:val="20"/>
          <w:color w:val="auto"/>
        </w:rPr>
      </w:pPr>
      <w:r>
        <w:rPr>
          <w:rFonts w:ascii="Times New Roman" w:cs="Times New Roman" w:eastAsia="Times New Roman" w:hAnsi="Times New Roman"/>
          <w:sz w:val="14"/>
          <w:szCs w:val="14"/>
          <w:color w:val="auto"/>
        </w:rPr>
        <w:t>Segment information for the three and nine months ended July 31, 2020 and 2019, and total assets as of July 31, 2020 and October 31, 2019 are summarized in the following table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NA Fenestration</w:t>
            </w: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EU Fenestration</w:t>
            </w:r>
          </w:p>
        </w:tc>
        <w:tc>
          <w:tcPr>
            <w:tcW w:w="10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 Cabinet Comp.</w:t>
            </w:r>
          </w:p>
        </w:tc>
        <w:tc>
          <w:tcPr>
            <w:tcW w:w="100" w:type="dxa"/>
            <w:vAlign w:val="bottom"/>
          </w:tcPr>
          <w:p>
            <w:pPr>
              <w:spacing w:after="0"/>
              <w:rPr>
                <w:sz w:val="11"/>
                <w:szCs w:val="11"/>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Unallocated Corp. &amp;</w:t>
            </w:r>
          </w:p>
        </w:tc>
        <w:tc>
          <w:tcPr>
            <w:tcW w:w="300" w:type="dxa"/>
            <w:vAlign w:val="bottom"/>
          </w:tcPr>
          <w:p>
            <w:pPr>
              <w:spacing w:after="0"/>
              <w:rPr>
                <w:sz w:val="11"/>
                <w:szCs w:val="11"/>
                <w:color w:val="auto"/>
              </w:rPr>
            </w:pPr>
          </w:p>
        </w:tc>
        <w:tc>
          <w:tcPr>
            <w:tcW w:w="980" w:type="dxa"/>
            <w:vAlign w:val="bottom"/>
            <w:vMerge w:val="restart"/>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20" w:type="dxa"/>
            <w:vAlign w:val="bottom"/>
            <w:gridSpan w:val="5"/>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Three Months Ended July 31, 2020</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122,386</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38,265</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51,925</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212,096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5,371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2,307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11,060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12,383</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5,365</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16,563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1,963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1,787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4,360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6"/>
              </w:rPr>
              <w:t>Three Months Ended July 31, 2019</w:t>
            </w:r>
          </w:p>
        </w:tc>
        <w:tc>
          <w:tcPr>
            <w:tcW w:w="2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sales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136,259</w:t>
            </w:r>
          </w:p>
        </w:tc>
        <w:tc>
          <w:tcPr>
            <w:tcW w:w="16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44,326</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58,689</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6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238,461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6,578</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2,213</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12,182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15,944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19,110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2,299</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485</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Nine Months Ended July 31, 2020</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341,432</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104,230</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152,634</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596,168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18,311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7,045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35,851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21,442</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9,140</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27,436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13,199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3,413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20,673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7"/>
              </w:rPr>
              <w:t>Nine Months Ended July 31, 2019</w:t>
            </w:r>
          </w:p>
        </w:tc>
        <w:tc>
          <w:tcPr>
            <w:tcW w:w="238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sales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360,654</w:t>
            </w:r>
          </w:p>
        </w:tc>
        <w:tc>
          <w:tcPr>
            <w:tcW w:w="16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121,203</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175,377</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6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653,472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20,208</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6,669</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37,158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24,048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12,951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8,672</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4,825</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As of July 31, 2020</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257,606</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220,460</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173,797</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34,928</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686,791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As of October 31, 2019</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226,243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212,239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181,416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645,110</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change in the carrying amount of goodwill by reportable business segment for the nine months ended July 31, 2020 (in thousands):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NA Fenestration</w:t>
            </w:r>
          </w:p>
        </w:tc>
        <w:tc>
          <w:tcPr>
            <w:tcW w:w="1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EU Fenestration</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NA Cabinet Comp.</w:t>
            </w:r>
          </w:p>
        </w:tc>
        <w:tc>
          <w:tcPr>
            <w:tcW w:w="1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Unallocated Corp. &amp;</w:t>
            </w:r>
          </w:p>
        </w:tc>
        <w:tc>
          <w:tcPr>
            <w:tcW w:w="300" w:type="dxa"/>
            <w:vAlign w:val="bottom"/>
          </w:tcPr>
          <w:p>
            <w:pPr>
              <w:spacing w:after="0"/>
              <w:rPr>
                <w:sz w:val="10"/>
                <w:szCs w:val="10"/>
                <w:color w:val="auto"/>
              </w:rPr>
            </w:pPr>
          </w:p>
        </w:tc>
        <w:tc>
          <w:tcPr>
            <w:tcW w:w="960" w:type="dxa"/>
            <w:vAlign w:val="bottom"/>
            <w:vMerge w:val="restart"/>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4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October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38,712</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67,704</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39,147</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145,563</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1,369</w:t>
            </w: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July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38,712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69,073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39,147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146,932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further details of Goodwill, see Note 4,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7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did not allocate non-operating loss or income tax benefit to the reportable segments. The following table reconciles operating income (loss) as reported above to net income (loss) for the three and nine months ended July 31, 2020 and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60" w:type="dxa"/>
            <w:vAlign w:val="bottom"/>
          </w:tcPr>
          <w:p>
            <w:pPr>
              <w:spacing w:after="0"/>
              <w:rPr>
                <w:sz w:val="12"/>
                <w:szCs w:val="12"/>
                <w:color w:val="auto"/>
              </w:rPr>
            </w:pPr>
          </w:p>
        </w:tc>
        <w:tc>
          <w:tcPr>
            <w:tcW w:w="1860" w:type="dxa"/>
            <w:vAlign w:val="bottom"/>
            <w:gridSpan w:val="4"/>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3"/>
        </w:trPr>
        <w:tc>
          <w:tcPr>
            <w:tcW w:w="6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780" w:type="dxa"/>
            <w:vAlign w:val="bottom"/>
            <w:tcBorders>
              <w:bottom w:val="single" w:sz="8" w:color="auto"/>
            </w:tcBorders>
          </w:tcPr>
          <w:p>
            <w:pPr>
              <w:spacing w:after="0"/>
              <w:rPr>
                <w:sz w:val="14"/>
                <w:szCs w:val="14"/>
                <w:color w:val="auto"/>
              </w:rPr>
            </w:pPr>
          </w:p>
        </w:tc>
      </w:tr>
      <w:tr>
        <w:trPr>
          <w:trHeight w:val="150"/>
        </w:trPr>
        <w:tc>
          <w:tcPr>
            <w:tcW w:w="6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0"/>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16,563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19,110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(2,570)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(7,614)</w:t>
            </w:r>
          </w:p>
        </w:tc>
      </w:tr>
      <w:tr>
        <w:trPr>
          <w:trHeight w:val="22"/>
        </w:trPr>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(5,926)</w:t>
            </w:r>
          </w:p>
        </w:tc>
      </w:tr>
      <w:tr>
        <w:trPr>
          <w:trHeight w:val="22"/>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10,833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11,841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Earnings Per Share</w:t>
      </w:r>
    </w:p>
    <w:p>
      <w:pPr>
        <w:spacing w:after="0" w:line="12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compute basic earnings (loss) per share by dividing net income (loss)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Basic and diluted earnings (loss) per share for the three and nine months ended July 31, 2020 and 2019 were calculated as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Weighted Average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137"/>
        </w:trPr>
        <w:tc>
          <w:tcPr>
            <w:tcW w:w="20" w:type="dxa"/>
            <w:vAlign w:val="bottom"/>
          </w:tcPr>
          <w:p>
            <w:pPr>
              <w:spacing w:after="0"/>
              <w:rPr>
                <w:sz w:val="11"/>
                <w:szCs w:val="11"/>
                <w:color w:val="auto"/>
              </w:rPr>
            </w:pPr>
          </w:p>
        </w:tc>
        <w:tc>
          <w:tcPr>
            <w:tcW w:w="674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Three Months Ended July 31, 2020</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center"/>
              <w:ind w:left="691"/>
              <w:spacing w:after="0"/>
              <w:rPr>
                <w:sz w:val="20"/>
                <w:szCs w:val="20"/>
                <w:color w:val="auto"/>
              </w:rPr>
            </w:pPr>
            <w:r>
              <w:rPr>
                <w:rFonts w:ascii="Times New Roman" w:cs="Times New Roman" w:eastAsia="Times New Roman" w:hAnsi="Times New Roman"/>
                <w:sz w:val="14"/>
                <w:szCs w:val="14"/>
                <w:color w:val="auto"/>
                <w:w w:val="98"/>
              </w:rPr>
              <w:t>10,833</w:t>
            </w: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32,610</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center"/>
              <w:ind w:left="431"/>
              <w:spacing w:after="0"/>
              <w:rPr>
                <w:sz w:val="20"/>
                <w:szCs w:val="20"/>
                <w:color w:val="auto"/>
              </w:rPr>
            </w:pPr>
            <w:r>
              <w:rPr>
                <w:rFonts w:ascii="Times New Roman" w:cs="Times New Roman" w:eastAsia="Times New Roman" w:hAnsi="Times New Roman"/>
                <w:sz w:val="14"/>
                <w:szCs w:val="14"/>
                <w:color w:val="auto"/>
              </w:rPr>
              <w:t>0.33</w:t>
            </w: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Effect of dilutive securities: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shares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Performance restricted stock units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center"/>
              <w:ind w:left="691"/>
              <w:spacing w:after="0"/>
              <w:rPr>
                <w:sz w:val="20"/>
                <w:szCs w:val="20"/>
                <w:color w:val="auto"/>
              </w:rPr>
            </w:pPr>
            <w:r>
              <w:rPr>
                <w:rFonts w:ascii="Times New Roman" w:cs="Times New Roman" w:eastAsia="Times New Roman" w:hAnsi="Times New Roman"/>
                <w:sz w:val="14"/>
                <w:szCs w:val="14"/>
                <w:color w:val="auto"/>
                <w:w w:val="98"/>
              </w:rPr>
              <w:t>10,833</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32,739</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center"/>
              <w:ind w:left="431"/>
              <w:spacing w:after="0"/>
              <w:rPr>
                <w:sz w:val="20"/>
                <w:szCs w:val="20"/>
                <w:color w:val="auto"/>
              </w:rPr>
            </w:pPr>
            <w:r>
              <w:rPr>
                <w:rFonts w:ascii="Times New Roman" w:cs="Times New Roman" w:eastAsia="Times New Roman" w:hAnsi="Times New Roman"/>
                <w:sz w:val="14"/>
                <w:szCs w:val="14"/>
                <w:color w:val="auto"/>
              </w:rPr>
              <w:t>0.33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6"/>
              </w:rPr>
              <w:t>Three Months Ended July 31, 2019</w:t>
            </w:r>
          </w:p>
        </w:tc>
        <w:tc>
          <w:tcPr>
            <w:tcW w:w="48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Basic loss per common share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ind w:left="691"/>
              <w:spacing w:after="0"/>
              <w:rPr>
                <w:sz w:val="20"/>
                <w:szCs w:val="20"/>
                <w:color w:val="auto"/>
              </w:rPr>
            </w:pPr>
            <w:r>
              <w:rPr>
                <w:rFonts w:ascii="Times New Roman" w:cs="Times New Roman" w:eastAsia="Times New Roman" w:hAnsi="Times New Roman"/>
                <w:sz w:val="14"/>
                <w:szCs w:val="14"/>
                <w:color w:val="auto"/>
                <w:w w:val="98"/>
              </w:rPr>
              <w:t>11,841</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431"/>
              <w:spacing w:after="0"/>
              <w:rPr>
                <w:sz w:val="20"/>
                <w:szCs w:val="20"/>
                <w:color w:val="auto"/>
              </w:rPr>
            </w:pPr>
            <w:r>
              <w:rPr>
                <w:rFonts w:ascii="Times New Roman" w:cs="Times New Roman" w:eastAsia="Times New Roman" w:hAnsi="Times New Roman"/>
                <w:sz w:val="14"/>
                <w:szCs w:val="14"/>
                <w:color w:val="auto"/>
              </w:rPr>
              <w:t>0.36</w:t>
            </w: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Effect of dilutive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Performance shares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loss per common share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center"/>
              <w:ind w:left="691"/>
              <w:spacing w:after="0"/>
              <w:rPr>
                <w:sz w:val="20"/>
                <w:szCs w:val="20"/>
                <w:color w:val="auto"/>
              </w:rPr>
            </w:pPr>
            <w:r>
              <w:rPr>
                <w:rFonts w:ascii="Times New Roman" w:cs="Times New Roman" w:eastAsia="Times New Roman" w:hAnsi="Times New Roman"/>
                <w:sz w:val="14"/>
                <w:szCs w:val="14"/>
                <w:color w:val="auto"/>
                <w:w w:val="98"/>
              </w:rPr>
              <w:t>11,841</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33,162</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center"/>
              <w:ind w:left="431"/>
              <w:spacing w:after="0"/>
              <w:rPr>
                <w:sz w:val="20"/>
                <w:szCs w:val="20"/>
                <w:color w:val="auto"/>
              </w:rPr>
            </w:pPr>
            <w:r>
              <w:rPr>
                <w:rFonts w:ascii="Times New Roman" w:cs="Times New Roman" w:eastAsia="Times New Roman" w:hAnsi="Times New Roman"/>
                <w:sz w:val="14"/>
                <w:szCs w:val="14"/>
                <w:color w:val="auto"/>
              </w:rPr>
              <w:t>0.36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7"/>
              </w:rPr>
              <w:t>Nine Months Ended July 31, 2020</w:t>
            </w:r>
          </w:p>
        </w:tc>
        <w:tc>
          <w:tcPr>
            <w:tcW w:w="490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ind w:left="691"/>
              <w:spacing w:after="0"/>
              <w:rPr>
                <w:sz w:val="20"/>
                <w:szCs w:val="20"/>
                <w:color w:val="auto"/>
              </w:rPr>
            </w:pPr>
            <w:r>
              <w:rPr>
                <w:rFonts w:ascii="Times New Roman" w:cs="Times New Roman" w:eastAsia="Times New Roman" w:hAnsi="Times New Roman"/>
                <w:sz w:val="14"/>
                <w:szCs w:val="14"/>
                <w:color w:val="auto"/>
                <w:w w:val="98"/>
              </w:rPr>
              <w:t>16,344</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431"/>
              <w:spacing w:after="0"/>
              <w:rPr>
                <w:sz w:val="20"/>
                <w:szCs w:val="20"/>
                <w:color w:val="auto"/>
              </w:rPr>
            </w:pPr>
            <w:r>
              <w:rPr>
                <w:rFonts w:ascii="Times New Roman" w:cs="Times New Roman" w:eastAsia="Times New Roman" w:hAnsi="Times New Roman"/>
                <w:sz w:val="14"/>
                <w:szCs w:val="14"/>
                <w:color w:val="auto"/>
              </w:rPr>
              <w:t>0.50</w:t>
            </w: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Effect of dilutive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Performance shares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restricted stock units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center"/>
              <w:ind w:left="691"/>
              <w:spacing w:after="0"/>
              <w:rPr>
                <w:sz w:val="20"/>
                <w:szCs w:val="20"/>
                <w:color w:val="auto"/>
              </w:rPr>
            </w:pPr>
            <w:r>
              <w:rPr>
                <w:rFonts w:ascii="Times New Roman" w:cs="Times New Roman" w:eastAsia="Times New Roman" w:hAnsi="Times New Roman"/>
                <w:sz w:val="14"/>
                <w:szCs w:val="14"/>
                <w:color w:val="auto"/>
                <w:w w:val="98"/>
              </w:rPr>
              <w:t>16,344</w:t>
            </w:r>
          </w:p>
        </w:tc>
        <w:tc>
          <w:tcPr>
            <w:tcW w:w="220" w:type="dxa"/>
            <w:vAlign w:val="bottom"/>
          </w:tcPr>
          <w:p>
            <w:pPr>
              <w:spacing w:after="0"/>
              <w:rPr>
                <w:sz w:val="15"/>
                <w:szCs w:val="15"/>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32,845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431"/>
              <w:spacing w:after="0"/>
              <w:rPr>
                <w:sz w:val="20"/>
                <w:szCs w:val="20"/>
                <w:color w:val="auto"/>
              </w:rPr>
            </w:pPr>
            <w:r>
              <w:rPr>
                <w:rFonts w:ascii="Times New Roman" w:cs="Times New Roman" w:eastAsia="Times New Roman" w:hAnsi="Times New Roman"/>
                <w:sz w:val="14"/>
                <w:szCs w:val="14"/>
                <w:color w:val="auto"/>
              </w:rPr>
              <w:t>0.50</w:t>
            </w:r>
          </w:p>
        </w:tc>
      </w:tr>
      <w:tr>
        <w:trPr>
          <w:trHeight w:val="71"/>
        </w:trPr>
        <w:tc>
          <w:tcPr>
            <w:tcW w:w="20" w:type="dxa"/>
            <w:vAlign w:val="bottom"/>
            <w:tcBorders>
              <w:bottom w:val="single" w:sz="8" w:color="CCEEFF"/>
            </w:tcBorders>
          </w:tcPr>
          <w:p>
            <w:pPr>
              <w:spacing w:after="0"/>
              <w:rPr>
                <w:sz w:val="5"/>
                <w:szCs w:val="5"/>
                <w:color w:val="auto"/>
              </w:rPr>
            </w:pPr>
          </w:p>
        </w:tc>
        <w:tc>
          <w:tcPr>
            <w:tcW w:w="18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8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67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Nine Months Ended July 31, 2019</w:t>
            </w:r>
          </w:p>
        </w:tc>
        <w:tc>
          <w:tcPr>
            <w:tcW w:w="18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5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loss per common share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center"/>
              <w:ind w:left="671"/>
              <w:spacing w:after="0"/>
              <w:rPr>
                <w:sz w:val="20"/>
                <w:szCs w:val="20"/>
                <w:color w:val="auto"/>
              </w:rPr>
            </w:pPr>
            <w:r>
              <w:rPr>
                <w:rFonts w:ascii="Times New Roman" w:cs="Times New Roman" w:eastAsia="Times New Roman" w:hAnsi="Times New Roman"/>
                <w:sz w:val="14"/>
                <w:szCs w:val="14"/>
                <w:color w:val="auto"/>
              </w:rPr>
              <w:t>(15,782)</w:t>
            </w: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rPr>
              <w:t>(0.48)</w:t>
            </w:r>
          </w:p>
        </w:tc>
      </w:tr>
      <w:tr>
        <w:trPr>
          <w:trHeight w:val="191"/>
        </w:trPr>
        <w:tc>
          <w:tcPr>
            <w:tcW w:w="20" w:type="dxa"/>
            <w:vAlign w:val="bottom"/>
          </w:tcPr>
          <w:p>
            <w:pPr>
              <w:spacing w:after="0"/>
              <w:rPr>
                <w:sz w:val="16"/>
                <w:szCs w:val="16"/>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Diluted loss per common share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ind w:left="671"/>
              <w:spacing w:after="0"/>
              <w:rPr>
                <w:sz w:val="20"/>
                <w:szCs w:val="20"/>
                <w:color w:val="auto"/>
              </w:rPr>
            </w:pPr>
            <w:r>
              <w:rPr>
                <w:rFonts w:ascii="Times New Roman" w:cs="Times New Roman" w:eastAsia="Times New Roman" w:hAnsi="Times New Roman"/>
                <w:sz w:val="14"/>
                <w:szCs w:val="14"/>
                <w:color w:val="auto"/>
              </w:rPr>
              <w:t>(15,782)</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(0.48)</w:t>
            </w: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4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i w:val="1"/>
                <w:iCs w:val="1"/>
                <w:color w:val="auto"/>
              </w:rPr>
              <w:t>Excluded effect of dilutive securities</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Stock options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Restricted stock awards</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67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Performance shares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24" w:lineRule="exact"/>
        <w:rPr>
          <w:sz w:val="20"/>
          <w:szCs w:val="20"/>
          <w:color w:val="auto"/>
        </w:rPr>
      </w:pPr>
    </w:p>
    <w:p>
      <w:pPr>
        <w:ind w:firstLine="5"/>
        <w:spacing w:after="0" w:line="254" w:lineRule="auto"/>
        <w:tabs>
          <w:tab w:leader="none" w:pos="142"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computation of diluted earnings per share excludes outstanding stock options and other common stock equivalents when their inclusion would be anti-dilutive. This is always the case when an entity incurs a net loss.</w:t>
      </w:r>
    </w:p>
    <w:p>
      <w:pPr>
        <w:spacing w:after="0" w:line="9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had common stock equivalents that were potentially dilutive in future earnings per share calculations of 1,139,419 and 1,106,891 for the three and nine months ended July 31, 2020, respectively, and 1,155,941 and 1,419,408, respectively, for the comparable prior year periods. We also had 50,700 restricted stock award equivalents that were potentially dilutive in future earnings per calculations for the three and nine months ended July 31, 2020, respectively, and no corresponding equivalents for the corresponding prior year. Such dilution will be dependent on the excess of the market price of our stock over the exercise price and other components of the treasury stock method.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New Accounting Guidance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Recently Adopted</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Effective November 1, 2019, we adopted Accounting Standards Update (ASU) 2016-02, Leases (Topic 842), using the modified retrospective approach and did not have a cumulative-effect adjustment in retained earnings as a result of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UNAUDITED CONDENSED CONSOLIDATED FINANCIAL STATEMENTS </w:t>
      </w:r>
      <w:r>
        <w:rPr>
          <w:rFonts w:ascii="Times New Roman" w:cs="Times New Roman" w:eastAsia="Times New Roman" w:hAnsi="Times New Roman"/>
          <w:sz w:val="14"/>
          <w:szCs w:val="14"/>
          <w:color w:val="auto"/>
        </w:rPr>
        <w:t>(continued)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adoption. Topic 842 significantly changes accounting for leases by requiring that lessees recognize a liability representing the obligation to make lease payments and a related right-of-use (ROU)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 for virtually all lease transactions. Upon adoption, we implemented policy elections and practical expedients which include the following:</w:t>
      </w:r>
    </w:p>
    <w:p>
      <w:pPr>
        <w:spacing w:after="0" w:line="9" w:lineRule="exact"/>
        <w:rPr>
          <w:sz w:val="20"/>
          <w:szCs w:val="20"/>
          <w:color w:val="auto"/>
        </w:rPr>
      </w:pPr>
    </w:p>
    <w:p>
      <w:pPr>
        <w:ind w:left="520" w:hanging="19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package of practical expedients which allows us to avoid reassessing contracts that commenced prior to adoption that were properly evaluated under legacy lease accounting guidance;</w:t>
      </w:r>
    </w:p>
    <w:p>
      <w:pPr>
        <w:spacing w:after="0" w:line="8"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ROU assets and lease liabilities for leases with terms that are less than one year;</w:t>
      </w:r>
    </w:p>
    <w:p>
      <w:pPr>
        <w:spacing w:after="0" w:line="8"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combining lease and non-lease components and accounting for them as a single lease (elected by asset class);</w:t>
      </w:r>
    </w:p>
    <w:p>
      <w:pPr>
        <w:spacing w:after="0" w:line="8"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land easements that existed or expired prior to adoption; and</w:t>
      </w:r>
    </w:p>
    <w:p>
      <w:pPr>
        <w:spacing w:after="0" w:line="8" w:lineRule="exact"/>
        <w:rPr>
          <w:rFonts w:ascii="Times New Roman" w:cs="Times New Roman" w:eastAsia="Times New Roman" w:hAnsi="Times New Roman"/>
          <w:sz w:val="14"/>
          <w:szCs w:val="14"/>
          <w:color w:val="auto"/>
        </w:rPr>
      </w:pPr>
    </w:p>
    <w:p>
      <w:pPr>
        <w:ind w:left="520" w:hanging="197"/>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policy election that eliminates the need for adjusting prior period comparable financial statements prepared under legacy (Accounting Standards Codification Topic 840) lease accounting guidance.</w:t>
      </w:r>
    </w:p>
    <w:p>
      <w:pPr>
        <w:spacing w:after="0" w:line="75"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a result of adopting Topic 842, we recorded additional lease liabilities of approximately $39.3 million and ROU assets of approximately $38.9 million on our consolidated balance sheet. The difference between the lease liabilities and ROU assets is due to rent holiday and lease build-out incentives that were recorded as deferred lease liabilities under legacy accounting guidance. The adoption of Topic 842 did not materially change our consolidated statements of income or consolidated statements of cash flows. See Note 2, "Leases" for further discussion.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Not Yet Adopted</w:t>
      </w:r>
    </w:p>
    <w:p>
      <w:pPr>
        <w:spacing w:after="0" w:line="12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June 2016, the Financial Accounting Standards Board issued ASU No. 2016-13, Financial Instruments - Credit Losses (Topic 326). This amendment replaces the incurred loss impairment methodology in current U.S. GAAP and requires that financial assets be 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 becomes effective for fiscal years beginning after December 15, 2019, including interim periods within that fiscal year. We expect to adopt this amendment during fiscal 2021, with no material impact on our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Unless the context indicates otherwise, references to "Quanex", the "Company", "we", "us" and "our" refer to the consolidated business operations of Quanex Building Products Corporation and its subsidiaries.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15"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4"/>
          <w:szCs w:val="14"/>
          <w:i w:val="1"/>
          <w:iCs w:val="1"/>
          <w:color w:val="auto"/>
        </w:rPr>
        <w:t>“Management’s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Condition and Results of Operations” </w:t>
      </w:r>
      <w:r>
        <w:rPr>
          <w:rFonts w:ascii="Times New Roman" w:cs="Times New Roman" w:eastAsia="Times New Roman" w:hAnsi="Times New Roman"/>
          <w:sz w:val="14"/>
          <w:szCs w:val="14"/>
          <w:color w:val="auto"/>
        </w:rPr>
        <w:t>are “forward-looking” statements as defined under the Private Securities Litigation Reform Act of 1995. Generally, the words “expect,” “believe,”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Factors that could cause actual results to differ materially from those expressed or implied by the forward-looking statements include, but are not limited to the following:</w:t>
      </w:r>
    </w:p>
    <w:p>
      <w:pPr>
        <w:spacing w:after="0" w:line="72" w:lineRule="exact"/>
        <w:rPr>
          <w:sz w:val="20"/>
          <w:szCs w:val="20"/>
          <w:color w:val="auto"/>
        </w:rPr>
      </w:pPr>
    </w:p>
    <w:p>
      <w:pPr>
        <w:ind w:left="520" w:hanging="133"/>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public health issues (including pandemics, such as the recent COVID-19 pandemic and quarantines) on the economy, demand for our products or our operations, including the responses of governmental authorities to contain such public health issues;</w:t>
      </w:r>
    </w:p>
    <w:p>
      <w:pPr>
        <w:spacing w:after="0" w:line="7"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conditions, particularly in the new home construction, and residential remodeling and replacement (R&amp;R) activity markets in the U.S., U.K. and Germany;</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non-pass-through raw material costs;</w:t>
      </w:r>
    </w:p>
    <w:p>
      <w:pPr>
        <w:spacing w:after="0" w:line="72"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international economic conditions, including impacts from public health issues, including the COVID-19 pandemic;</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purchases by our principal customers;</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w:t>
      </w:r>
    </w:p>
    <w:p>
      <w:pPr>
        <w:spacing w:after="0" w:line="72"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controls;</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our internal operating plans and acquisition strategies;</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our plans with respect to information technology (IT) systems and processes;</w:t>
      </w:r>
    </w:p>
    <w:p>
      <w:pPr>
        <w:spacing w:after="0" w:line="72"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costs and increase profitability;</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environmental laws and regulations;</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warranty obligations;</w:t>
      </w:r>
    </w:p>
    <w:p>
      <w:pPr>
        <w:spacing w:after="0" w:line="72"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energy costs;</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and interpretations thereof;</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w:t>
      </w:r>
    </w:p>
    <w:p>
      <w:pPr>
        <w:spacing w:after="0" w:line="72"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service our debt facilities and remain in good standing with our lenders;</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availability or applicability of our insurance coverage;</w:t>
      </w:r>
    </w:p>
    <w:p>
      <w:pPr>
        <w:spacing w:after="0" w:line="6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 good relationship with our suppliers, subcontractors, and key customers; and</w:t>
      </w:r>
    </w:p>
    <w:p>
      <w:pPr>
        <w:spacing w:after="0" w:line="72"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litigation and other legal proceedings.</w:t>
      </w:r>
    </w:p>
    <w:p>
      <w:pPr>
        <w:spacing w:after="0" w:line="113" w:lineRule="exact"/>
        <w:rPr>
          <w:sz w:val="20"/>
          <w:szCs w:val="20"/>
          <w:color w:val="auto"/>
        </w:rPr>
      </w:pPr>
    </w:p>
    <w:p>
      <w:pPr>
        <w:ind w:firstLine="350"/>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4"/>
          <w:szCs w:val="14"/>
          <w:i w:val="1"/>
          <w:iCs w:val="1"/>
          <w:color w:val="auto"/>
        </w:rPr>
        <w:t>“Item 1A. Risk Factors</w:t>
      </w:r>
      <w:r>
        <w:rPr>
          <w:rFonts w:ascii="Times New Roman" w:cs="Times New Roman" w:eastAsia="Times New Roman" w:hAnsi="Times New Roman"/>
          <w:sz w:val="14"/>
          <w:szCs w:val="14"/>
          <w:color w:val="auto"/>
        </w:rPr>
        <w:t>” in our Annual Report on Form 10-K for the fiscal year ended October 31, 2019.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Third-Party Information</w:t>
      </w:r>
    </w:p>
    <w:p>
      <w:pPr>
        <w:spacing w:after="0" w:line="12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In this report, we rely on and refer to information regarding industry data obtained from market research, publicly available information, industry publications, U.S. government sources and other third parties. Although we believe this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2. Management’s Discussion and Analysis of Financial Condition and Results of Operations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should be read in conjunction with the accompanying unaudited condensed consolidated financial statements and related notes as of July 31, 2020, and for the three and nine months ended July 31, 2020 and 2019, included elsewhere herein. For additional information pertaining to our business, including risk factors which should be considered before investing in our common stock, refer to our Annual Report on Form 10-K for the fiscal year ended October 31, 2019.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04"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We currently have three reportable business segments: (1) North American Fenestration segment (NA Fenestration), comprising three operating segments primarily focused on the fenestration market in North America manufacturing vinyl profiles, insulating glass spacers, screens &amp; other fenestration components; (2) European Fenestration segment (EU Fenestration), comprising our U.K.-based vinyl extrusion business, manufacturing vinyl profiles and conservatories, and the European insulating glass business manufacturing insulating glass spacers; and (3) North American Cabinet Components segment (NA Cabinet Components), comprising our cabinet door and components operations. We maintain a grouping called Unallocated Corporate &amp; Other, which includes transaction expenses, stock-based compensation, long-term incentive awards based on performance of our common stock and other factors, certain severance and legal costs not allocable to our operating segments, depreciation of corporate assets, interest expense, other, net, income taxes,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The accounting policies of our operating segments are the same as those used to prepare our accompanying condensed consolidated financial statements.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continue to invest in organic growth initiatives, enhance our product offerings, provide new complementary technology, enhance our leadership position within the markets we serve, expand into new markets or service lines, and explore strategic acquisitions. We have disposed of non-core businesses in the past, and continue to evaluate our business portfolio to ensure that we are investing in markets where we believe there is potential future growth.</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Transactions and Events</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On March 11, 2020, the 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important role the construction industry plays in providing housing and necessary infrastructure.</w:t>
      </w:r>
    </w:p>
    <w:p>
      <w:pPr>
        <w:spacing w:after="0" w:line="26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federal, state and local governments react to the public health crisis, significant uncertainties have been created in the economy. The COVID-19 pandemic and actions taken in response thereto are continuing to have a significant adverse effect on many sectors of the economy, including new home building and remodeling activity and we may be further impacted by our role in that supply chain.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part of our response to the COVID-19 pandemic, we have taken the following measures:</w:t>
      </w:r>
    </w:p>
    <w:p>
      <w:pPr>
        <w:spacing w:after="0" w:line="136" w:lineRule="exact"/>
        <w:rPr>
          <w:sz w:val="20"/>
          <w:szCs w:val="20"/>
          <w:color w:val="auto"/>
        </w:rPr>
      </w:pPr>
    </w:p>
    <w:p>
      <w:pPr>
        <w:jc w:val="both"/>
        <w:ind w:left="460" w:hanging="137"/>
        <w:spacing w:after="0" w:line="270" w:lineRule="auto"/>
        <w:tabs>
          <w:tab w:leader="none" w:pos="4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continuing to provide our products to support critical infrastructure needs while following national, state, and local guidelines required to continue operations during the existence of the pandemic and related local declarations of emergency. All manufacturing facilities in the United States and Germany remained operational for the duration of the pandemic and both U.K. plants became operational again during May 2020. However, local or regional hotspots of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pandemic could result in other locations being temporarily idled due to the need to deep clean areas where an employee who has tested positive for COVID-19 worked.</w:t>
      </w:r>
    </w:p>
    <w:p>
      <w:pPr>
        <w:spacing w:after="0" w:line="136" w:lineRule="exact"/>
        <w:rPr>
          <w:sz w:val="20"/>
          <w:szCs w:val="20"/>
          <w:color w:val="auto"/>
        </w:rPr>
      </w:pPr>
    </w:p>
    <w:p>
      <w:pPr>
        <w:ind w:left="460" w:hanging="137"/>
        <w:spacing w:after="0" w:line="287"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currently expect any negative impact on sales to be temporary, the duration of the COVID-19 pandemic, the actions to contain the pandemic and treat its impacts, and the effects on our operations are highly uncertain and cannot be predicted at this time.</w:t>
      </w:r>
    </w:p>
    <w:p>
      <w:pPr>
        <w:spacing w:after="0" w:line="8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taking precautionary measures and adjusting our operational needs, including a reduction of our 2020 capital expenditure plans by approximately 25% to 30%.</w:t>
      </w:r>
    </w:p>
    <w:p>
      <w:pPr>
        <w:spacing w:after="0" w:line="1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During the year ended October 31, 2019, our North American Cabinet Components segment experienced declines in current and forecasted demand as a result of an industry-wide shift from semi-custom cabinets to stock cabinets, and received notice about a change in strategy at one of our large customers that may result in lower sales volumes in the future. As a result, during the first quarter of fiscal 2020, we began to restructure our operations within that segment by announcing the closure of one of our plants. We incurred expenses for severance, equipment moves, and other exit activities of $0.3 million related to this plant closure during the nine months ended July 31, 2020 and we may incur costs related to additional restructuring activities in future periods.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 Overview and Outlook</w:t>
      </w:r>
    </w:p>
    <w:p>
      <w:pPr>
        <w:spacing w:after="0" w:line="12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July 2020, the NAHB forecasted calendar-year housing starts (excluding manufactured units) to be 1.1 million in 2020, 1.2 million in 2021, and 1.4 million in 2022. The August 2020, Ducker forecast indicated that window shipments in the R&amp;R market are expected to decrease approximately 5% during the calendar year ended 2020 and increase 2% and 4% in 2021 and 2022, respectively. Derived from reports published by Ducker, the overall decrease in window shipments for the trailing twelve months ended June 30, 2020 was 9.2%. During this period, new construction and R&amp;R activities decreased 11.2% and 7.8%, respectively. In August 2020, Catalina Research estimated that residential semi-custom cabinet demand in the U.S. will decline approximately 10% in 2020 and rebound approximately 2% in 2021. In line with market forecasts, we expect that some sales originally planned for the year ended October 31, 2020 may be realized during the years ended October 31, 2021 and 2022.</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utilize several commodities in our business for which pricing can fluctuate,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 Thus far we have not experienced any supply or logistics disruptions as lower demand has not required us to source the same level of supply.</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June 23, 2016, voters in the U.K. voted for the U.K. to exit the European Union (E.U.) (referred to as Brexit). In October 2019, the U.K. and E.U. ratified a withdrawal agreement, and subsequently the U.K. left the E.U. on January 31, 2020. A transition period is in place until December 31, 2020 while the U.K. and E.U. negotiate additional arrangements. The current rules for trade, travel, and business for the U.K. and E.U. will continue to apply during the transition period and any new rules will take effect January 1, 2021. Since the 2016 vote, the primary impact on Quanex’s financial performance has been related to foreign currency fluctuations of the British Pound Sterling. This fluctuation has driven foreign currency translation impacts, as well as raw material cost increases from upstream suppliers located outside of the U.K.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Given the lack of comparable precedent, it is difficult for us to predict the future impacts on our U.K. based operations, which accounted for approximately 15% of our total sales for the year ended October 31, 2019. Due to the fact that we manufacture and sell a majority of our U.K. products within the U.K., there is minimal risk to our ability to physically deliver goods and complete sales. As such, we believe we are well positioned within the U.K. to respond to potential changes to underlying demand as a result of the final Brexit outcome. The primary focus for our U.K. operations centers on the availability and pricing of raw materials. While we source the majority of our raw materials from within the U.K., many of the primary upstream raw materials our vendors utilize are being sourced from outside of the U.K., which could expose us to cross-border issues and raw material price impacts due to foreign currency volatility. In February 2020, the U.K. announced its intention to introduce border controls and our U.K. businesses have positioned themselves well to cope with additional demands that this will bring in order to comply and facilitate the flow of goods in and out of the U.K.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July 31, 2020 Compared to Three Months Ended July 31, 2019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Three Months Ended July 31,</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6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8"/>
        </w:trPr>
        <w:tc>
          <w:tcPr>
            <w:tcW w:w="64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11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 Variance</w:t>
            </w:r>
          </w:p>
        </w:tc>
        <w:tc>
          <w:tcPr>
            <w:tcW w:w="160" w:type="dxa"/>
            <w:vAlign w:val="bottom"/>
            <w:tcBorders>
              <w:bottom w:val="single" w:sz="8" w:color="auto"/>
            </w:tcBorders>
          </w:tcPr>
          <w:p>
            <w:pPr>
              <w:spacing w:after="0"/>
              <w:rPr>
                <w:sz w:val="16"/>
                <w:szCs w:val="16"/>
                <w:color w:val="auto"/>
              </w:rPr>
            </w:pPr>
          </w:p>
        </w:tc>
      </w:tr>
      <w:tr>
        <w:trPr>
          <w:trHeight w:val="192"/>
        </w:trPr>
        <w:tc>
          <w:tcPr>
            <w:tcW w:w="6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0" w:type="dxa"/>
            <w:vAlign w:val="bottom"/>
            <w:gridSpan w:val="4"/>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00" w:type="dxa"/>
            <w:vAlign w:val="bottom"/>
            <w:tcBorders>
              <w:bottom w:val="single" w:sz="8" w:color="CCEEFF"/>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1"/>
        </w:trPr>
        <w:tc>
          <w:tcPr>
            <w:tcW w:w="6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Restructuring charges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6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6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70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70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6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2"/>
        </w:trPr>
        <w:tc>
          <w:tcPr>
            <w:tcW w:w="6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7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6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Related to Operating Income by Reportable Segment: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NA Fenestration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Three Months Ended July 31,</w:t>
            </w:r>
          </w:p>
        </w:tc>
        <w:tc>
          <w:tcPr>
            <w:tcW w:w="1180" w:type="dxa"/>
            <w:vAlign w:val="bottom"/>
          </w:tcPr>
          <w:p>
            <w:pPr>
              <w:spacing w:after="0"/>
              <w:rPr>
                <w:sz w:val="14"/>
                <w:szCs w:val="14"/>
                <w:color w:val="auto"/>
              </w:rPr>
            </w:pPr>
          </w:p>
        </w:tc>
      </w:tr>
      <w:tr>
        <w:trPr>
          <w:trHeight w:val="26"/>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 Variance</w:t>
            </w:r>
          </w:p>
        </w:tc>
      </w:tr>
      <w:tr>
        <w:trPr>
          <w:trHeight w:val="131"/>
        </w:trPr>
        <w:tc>
          <w:tcPr>
            <w:tcW w:w="6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122.4</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1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18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18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18%</w:t>
            </w:r>
          </w:p>
        </w:tc>
      </w:tr>
      <w:tr>
        <w:trPr>
          <w:trHeight w:val="22"/>
        </w:trPr>
        <w:tc>
          <w:tcPr>
            <w:tcW w:w="6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2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18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53"/>
        </w:trPr>
        <w:tc>
          <w:tcPr>
            <w:tcW w:w="64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Operating income margin</w:t>
            </w:r>
          </w:p>
        </w:tc>
        <w:tc>
          <w:tcPr>
            <w:tcW w:w="28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122"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Net sales decreased $13.9 million, or 10%, for the three months ended July 31, 2020 compared to the same period in 2019, which was driven by a decrease in volumes including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impacts of COVID-19.</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Cost of Sales. </w:t>
      </w:r>
      <w:r>
        <w:rPr>
          <w:rFonts w:ascii="Times New Roman" w:cs="Times New Roman" w:eastAsia="Times New Roman" w:hAnsi="Times New Roman"/>
          <w:sz w:val="14"/>
          <w:szCs w:val="14"/>
          <w:color w:val="auto"/>
        </w:rPr>
        <w:t>The cost of sales decreased $9.1 million when comparing the three months ended July 31, 2020 to the same period in 2019. Cost of sales decreased due to lower volumes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period, including a corresponding decrease in selling expenses as a result of the impacts of COVID-19 as mentioned above.</w:t>
      </w:r>
    </w:p>
    <w:p>
      <w:pPr>
        <w:spacing w:after="0" w:line="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S</w:t>
      </w:r>
      <w:r>
        <w:rPr>
          <w:rFonts w:ascii="Times New Roman" w:cs="Times New Roman" w:eastAsia="Times New Roman" w:hAnsi="Times New Roman"/>
          <w:sz w:val="14"/>
          <w:szCs w:val="14"/>
          <w:color w:val="auto"/>
        </w:rPr>
        <w:t>elling, general and administrative expenses remained flat when comparing the three months ended July 31, 2020 to the same period in 2019.</w:t>
      </w:r>
    </w:p>
    <w:p>
      <w:pPr>
        <w:spacing w:after="0" w:line="125"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Restructuring Charges. </w:t>
      </w:r>
      <w:r>
        <w:rPr>
          <w:rFonts w:ascii="Times New Roman" w:cs="Times New Roman" w:eastAsia="Times New Roman" w:hAnsi="Times New Roman"/>
          <w:sz w:val="14"/>
          <w:szCs w:val="14"/>
          <w:color w:val="auto"/>
        </w:rPr>
        <w:t>Restructuring charges for each of the three month periods ended July 31, 2020 and 2019 of $0.1 million relate to facility lease expense for a vinyl extrusion plant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closed in January 2017 in the U.S. that has not been sublet or otherwise exited as of July 31, 2020.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EU Fenestration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Three Months Ended July 31,</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6"/>
        </w:trPr>
        <w:tc>
          <w:tcPr>
            <w:tcW w:w="6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64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 Variance</w:t>
            </w:r>
          </w:p>
        </w:tc>
      </w:tr>
      <w:tr>
        <w:trPr>
          <w:trHeight w:val="131"/>
        </w:trPr>
        <w:tc>
          <w:tcPr>
            <w:tcW w:w="6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4"/>
          </w:tcPr>
          <w:p>
            <w:pPr>
              <w:jc w:val="right"/>
              <w:ind w:right="454"/>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7"/>
                <w:szCs w:val="17"/>
                <w:color w:val="auto"/>
              </w:rPr>
            </w:pP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7"/>
              </w:rPr>
              <w:t>44.3</w:t>
            </w:r>
          </w:p>
        </w:tc>
        <w:tc>
          <w:tcPr>
            <w:tcW w:w="100" w:type="dxa"/>
            <w:vAlign w:val="bottom"/>
          </w:tcPr>
          <w:p>
            <w:pPr>
              <w:spacing w:after="0"/>
              <w:rPr>
                <w:sz w:val="17"/>
                <w:szCs w:val="17"/>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(6.1)</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(14)%</w:t>
            </w:r>
          </w:p>
        </w:tc>
      </w:tr>
      <w:tr>
        <w:trPr>
          <w:trHeight w:val="22"/>
        </w:trPr>
        <w:tc>
          <w:tcPr>
            <w:tcW w:w="6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7"/>
              </w:rPr>
              <w:t>30.7</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(4.9)</w:t>
            </w:r>
          </w:p>
        </w:tc>
        <w:tc>
          <w:tcPr>
            <w:tcW w:w="118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tcPr>
          <w:p>
            <w:pPr>
              <w:spacing w:after="0"/>
              <w:rPr>
                <w:sz w:val="16"/>
                <w:szCs w:val="16"/>
                <w:color w:val="auto"/>
              </w:rPr>
            </w:pP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(1.2)</w:t>
            </w:r>
          </w:p>
        </w:tc>
        <w:tc>
          <w:tcPr>
            <w:tcW w:w="118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rPr>
              <w:t>20%</w:t>
            </w:r>
          </w:p>
        </w:tc>
      </w:tr>
      <w:tr>
        <w:trPr>
          <w:trHeight w:val="22"/>
        </w:trPr>
        <w:tc>
          <w:tcPr>
            <w:tcW w:w="6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0.1</w:t>
            </w:r>
          </w:p>
        </w:tc>
        <w:tc>
          <w:tcPr>
            <w:tcW w:w="118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w w:val="99"/>
              </w:rPr>
              <w:t>(5)%</w:t>
            </w: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7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(0.1)</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w w:val="99"/>
              </w:rPr>
              <w:t>(2)%</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margin</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
        </w:trPr>
        <w:tc>
          <w:tcPr>
            <w:tcW w:w="6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bl>
    <w:p>
      <w:pPr>
        <w:spacing w:after="0" w:line="100" w:lineRule="exact"/>
        <w:rPr>
          <w:sz w:val="20"/>
          <w:szCs w:val="20"/>
          <w:color w:val="auto"/>
        </w:rPr>
      </w:pPr>
    </w:p>
    <w:p>
      <w:pPr>
        <w:jc w:val="both"/>
        <w:ind w:firstLine="350"/>
        <w:spacing w:after="0" w:line="282" w:lineRule="auto"/>
        <w:rPr>
          <w:sz w:val="20"/>
          <w:szCs w:val="20"/>
          <w:color w:val="auto"/>
        </w:rPr>
      </w:pP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Net sales decreased $6.1 million, or 14%, when comparing the three months ended July 31, 2020 to the same period in 2019. Net sales decreased $5.8 million year-over-year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 of lower volumes, including the impacts of COVID-19, and $0.4 million due to unfavorable foreign currency rate changes. These decreases were slightly offset by $0.1 million of base price increases.</w:t>
      </w:r>
    </w:p>
    <w:p>
      <w:pPr>
        <w:spacing w:after="0" w:line="23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Cost of Sales. </w:t>
      </w:r>
      <w:r>
        <w:rPr>
          <w:rFonts w:ascii="Times New Roman" w:cs="Times New Roman" w:eastAsia="Times New Roman" w:hAnsi="Times New Roman"/>
          <w:sz w:val="14"/>
          <w:szCs w:val="14"/>
          <w:color w:val="auto"/>
        </w:rPr>
        <w:t>The cost of sales decreased $4.9 million for the three months ended July 31, 2020 compared to the same period in 2019. Cost of sales decreased due to lower volumes during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primarily resulting from the impacts of COVID-19 as mentioned above.</w:t>
      </w:r>
    </w:p>
    <w:p>
      <w:pPr>
        <w:spacing w:after="0" w:line="67"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w:t>
      </w:r>
      <w:r>
        <w:rPr>
          <w:rFonts w:ascii="Times New Roman" w:cs="Times New Roman" w:eastAsia="Times New Roman" w:hAnsi="Times New Roman"/>
          <w:sz w:val="14"/>
          <w:szCs w:val="14"/>
          <w:color w:val="auto"/>
        </w:rPr>
        <w:t>Selling, general and administrative expense decreased $1.2 million, or 20%, for the three months ended July 31, 2020 compared to the same period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2019. The decrease is due to savings incurred from reduced marketing and other general expenses as a result of COVID-19 restrictions, reimbursements for labor costs in the UK from government aid for COVID-19 furloughs, and lower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NA Cabinet Components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Three Months Ended July 31,</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6"/>
        </w:trPr>
        <w:tc>
          <w:tcPr>
            <w:tcW w:w="6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64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31"/>
        </w:trPr>
        <w:tc>
          <w:tcPr>
            <w:tcW w:w="6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4"/>
          </w:tcPr>
          <w:p>
            <w:pPr>
              <w:jc w:val="right"/>
              <w:ind w:right="454"/>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7"/>
                <w:szCs w:val="17"/>
                <w:color w:val="auto"/>
              </w:rPr>
            </w:pP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7"/>
              </w:rPr>
              <w:t>58.7</w:t>
            </w:r>
          </w:p>
        </w:tc>
        <w:tc>
          <w:tcPr>
            <w:tcW w:w="100" w:type="dxa"/>
            <w:vAlign w:val="bottom"/>
          </w:tcPr>
          <w:p>
            <w:pPr>
              <w:spacing w:after="0"/>
              <w:rPr>
                <w:sz w:val="17"/>
                <w:szCs w:val="17"/>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(6.8)</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(12)%</w:t>
            </w:r>
          </w:p>
        </w:tc>
      </w:tr>
      <w:tr>
        <w:trPr>
          <w:trHeight w:val="22"/>
        </w:trPr>
        <w:tc>
          <w:tcPr>
            <w:tcW w:w="6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7"/>
              </w:rPr>
              <w:t>49.4</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(5.2)</w:t>
            </w:r>
          </w:p>
        </w:tc>
        <w:tc>
          <w:tcPr>
            <w:tcW w:w="118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4"/>
                <w:szCs w:val="14"/>
                <w:color w:val="auto"/>
              </w:rPr>
              <w:t>11%</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tcPr>
          <w:p>
            <w:pPr>
              <w:spacing w:after="0"/>
              <w:rPr>
                <w:sz w:val="16"/>
                <w:szCs w:val="16"/>
                <w:color w:val="auto"/>
              </w:rPr>
            </w:pP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0.1</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w w:val="99"/>
              </w:rPr>
              <w:t>(2)%</w:t>
            </w:r>
          </w:p>
        </w:tc>
      </w:tr>
      <w:tr>
        <w:trPr>
          <w:trHeight w:val="22"/>
        </w:trPr>
        <w:tc>
          <w:tcPr>
            <w:tcW w:w="6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(0.1)</w:t>
            </w:r>
          </w:p>
        </w:tc>
        <w:tc>
          <w:tcPr>
            <w:tcW w:w="118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7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(1.6)</w:t>
            </w:r>
          </w:p>
        </w:tc>
        <w:tc>
          <w:tcPr>
            <w:tcW w:w="118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9"/>
              </w:rPr>
              <w:t>(107)%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margin</w:t>
            </w:r>
          </w:p>
        </w:tc>
        <w:tc>
          <w:tcPr>
            <w:tcW w:w="7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
        </w:trPr>
        <w:tc>
          <w:tcPr>
            <w:tcW w:w="6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bl>
    <w:p>
      <w:pPr>
        <w:spacing w:after="0" w:line="100"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Net sales decreased $6.8 million for the three months ended July 31, 2020 compared to the same period in 2019. Approximately $5.0 million of the decrease in sales was due to lower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volume related to customer strategic shifts and the impacts of COVID-19. Raw materials surcharges and price declines reduced sales by an additional $1.8 million.</w:t>
      </w:r>
    </w:p>
    <w:p>
      <w:pPr>
        <w:spacing w:after="0" w:line="5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Cost of sales decreased $5.2 million, or 11%, for the three months ended July 31, 2020 compared with the same period in 2019 primarily as a result of lower volume, including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corresponding decrease in selling expenses as a result of the impacts of COVID-19 as mentioned above.</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w:t>
      </w:r>
      <w:r>
        <w:rPr>
          <w:rFonts w:ascii="Times New Roman" w:cs="Times New Roman" w:eastAsia="Times New Roman" w:hAnsi="Times New Roman"/>
          <w:sz w:val="14"/>
          <w:szCs w:val="14"/>
          <w:color w:val="auto"/>
        </w:rPr>
        <w:t>. Selling, general and administrative expense remained relatively flat for the three months ended July 31, 2020 compared to the same period in 2019.</w:t>
      </w:r>
    </w:p>
    <w:p>
      <w:pPr>
        <w:spacing w:after="0" w:line="125"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Restructuring Charges</w:t>
      </w:r>
      <w:r>
        <w:rPr>
          <w:rFonts w:ascii="Times New Roman" w:cs="Times New Roman" w:eastAsia="Times New Roman" w:hAnsi="Times New Roman"/>
          <w:sz w:val="14"/>
          <w:szCs w:val="14"/>
          <w:color w:val="auto"/>
        </w:rPr>
        <w:t>. Restructuring charges incurred during the three months ended July 31, 2020 related to severance, equipment moving and other charges incurred for a plant closure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further described in Note 1, "Nature of Operations and Basis of Presentation </w:t>
      </w:r>
      <w:r>
        <w:rPr>
          <w:rFonts w:ascii="Times New Roman" w:cs="Times New Roman" w:eastAsia="Times New Roman" w:hAnsi="Times New Roman"/>
          <w:sz w:val="14"/>
          <w:szCs w:val="14"/>
          <w:i w:val="1"/>
          <w:iCs w:val="1"/>
          <w:color w:val="auto"/>
        </w:rPr>
        <w:t>- Restructuring</w:t>
      </w:r>
      <w:r>
        <w:rPr>
          <w:rFonts w:ascii="Times New Roman" w:cs="Times New Roman" w:eastAsia="Times New Roman" w:hAnsi="Times New Roman"/>
          <w:sz w:val="14"/>
          <w:szCs w:val="14"/>
          <w:color w:val="auto"/>
        </w:rPr>
        <w:t>" to the accompanying unaudited condensed consolidated financial statements contained elsewhere 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Unallocated Corporate &amp; Other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July 31,</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6"/>
        </w:trPr>
        <w:tc>
          <w:tcPr>
            <w:tcW w:w="6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65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31"/>
        </w:trPr>
        <w:tc>
          <w:tcPr>
            <w:tcW w:w="6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jc w:val="right"/>
              <w:ind w:right="354"/>
              <w:spacing w:after="0"/>
              <w:rPr>
                <w:sz w:val="20"/>
                <w:szCs w:val="20"/>
                <w:color w:val="auto"/>
              </w:rPr>
            </w:pPr>
            <w:r>
              <w:rPr>
                <w:rFonts w:ascii="Times New Roman" w:cs="Times New Roman" w:eastAsia="Times New Roman" w:hAnsi="Times New Roman"/>
                <w:sz w:val="10"/>
                <w:szCs w:val="10"/>
                <w:b w:val="1"/>
                <w:bCs w:val="1"/>
                <w:color w:val="auto"/>
                <w:w w:val="98"/>
              </w:rPr>
              <w:t>(Dollars in millions)</w:t>
            </w: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720" w:type="dxa"/>
            <w:vAlign w:val="bottom"/>
          </w:tcPr>
          <w:p>
            <w:pPr>
              <w:jc w:val="right"/>
              <w:ind w:right="57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(0.8)</w:t>
            </w:r>
          </w:p>
        </w:tc>
        <w:tc>
          <w:tcPr>
            <w:tcW w:w="100" w:type="dxa"/>
            <w:vAlign w:val="bottom"/>
          </w:tcPr>
          <w:p>
            <w:pPr>
              <w:spacing w:after="0"/>
              <w:rPr>
                <w:sz w:val="17"/>
                <w:szCs w:val="17"/>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50%</w:t>
            </w:r>
          </w:p>
        </w:tc>
      </w:tr>
      <w:tr>
        <w:trPr>
          <w:trHeight w:val="22"/>
        </w:trPr>
        <w:tc>
          <w:tcPr>
            <w:tcW w:w="6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(0.4)</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w w:val="97"/>
              </w:rPr>
              <w:t>(50)%</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jc w:val="center"/>
              <w:ind w:left="13"/>
              <w:spacing w:after="0"/>
              <w:rPr>
                <w:sz w:val="20"/>
                <w:szCs w:val="20"/>
                <w:color w:val="auto"/>
              </w:rPr>
            </w:pPr>
            <w:r>
              <w:rPr>
                <w:rFonts w:ascii="Times New Roman" w:cs="Times New Roman" w:eastAsia="Times New Roman" w:hAnsi="Times New Roman"/>
                <w:sz w:val="14"/>
                <w:szCs w:val="14"/>
                <w:color w:val="auto"/>
                <w:w w:val="91"/>
              </w:rPr>
              <w:t>3.3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79%</w:t>
            </w:r>
          </w:p>
        </w:tc>
      </w:tr>
      <w:tr>
        <w:trPr>
          <w:trHeight w:val="22"/>
        </w:trPr>
        <w:tc>
          <w:tcPr>
            <w:tcW w:w="6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w w:val="91"/>
              </w:rPr>
              <w:t>0.1</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7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(3.8)</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w w:val="97"/>
              </w:rPr>
              <w:t>(74)%</w:t>
            </w:r>
          </w:p>
        </w:tc>
      </w:tr>
      <w:tr>
        <w:trPr>
          <w:trHeight w:val="20"/>
        </w:trPr>
        <w:tc>
          <w:tcPr>
            <w:tcW w:w="6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Net sales for Unallocated Corporate &amp; Other represents the elimination of inter-segment sales for the three months ended July 31, 2020 and 2019.</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Cost of sales for Unallocated Corporate &amp; Other consists of the elimination of inter-segment sales, profit in inventory, and other costs.</w:t>
      </w:r>
    </w:p>
    <w:p>
      <w:pPr>
        <w:spacing w:after="0" w:line="136"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Selling, General and Administrative</w:t>
      </w:r>
      <w:r>
        <w:rPr>
          <w:rFonts w:ascii="Times New Roman" w:cs="Times New Roman" w:eastAsia="Times New Roman" w:hAnsi="Times New Roman"/>
          <w:sz w:val="14"/>
          <w:szCs w:val="14"/>
          <w:color w:val="auto"/>
        </w:rPr>
        <w:t>. Selling, general and administrative expenses decreased $2.6 million for the three months ended July 31, 2020 compared to the same period in 2019.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is attributable to $2.5 million of lower medical expenses due to a lower claims experience during the three months ended July 31, 2020 as compared to the prior year period and $1.2 million of lower executive severance expense year-over-year. The overall decrease was partially offset by $1.0 million of higher incentive accruals.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related to Non-Operating Items: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Interest Expense</w:t>
      </w:r>
      <w:r>
        <w:rPr>
          <w:rFonts w:ascii="Times New Roman" w:cs="Times New Roman" w:eastAsia="Times New Roman" w:hAnsi="Times New Roman"/>
          <w:sz w:val="14"/>
          <w:szCs w:val="14"/>
          <w:color w:val="auto"/>
        </w:rPr>
        <w:t>. Interest expense decreased $1.4 million for the three months ended July 31, 2020 compared to the same period in 2019 as a result of lower interest rates during the period.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Other, net</w:t>
      </w:r>
      <w:r>
        <w:rPr>
          <w:rFonts w:ascii="Times New Roman" w:cs="Times New Roman" w:eastAsia="Times New Roman" w:hAnsi="Times New Roman"/>
          <w:sz w:val="14"/>
          <w:szCs w:val="14"/>
          <w:color w:val="auto"/>
        </w:rPr>
        <w:t>. The decrease in other, net of $0.5 million for the three months ended July 31, 2020 compared to the same period in 2019 relates to foreign currency translation losses, which were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partially offset by an increase in the pension service benefit.</w:t>
      </w:r>
    </w:p>
    <w:p>
      <w:pPr>
        <w:spacing w:after="0" w:line="78"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We recorded income tax expense of $4.4 million on pre-tax income of $15.1 million for the three months ended July 31, 2020, an effective rate of 28.6% and income tax expense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$5.0 million on a pre-tax income of $16.8 million for the three months ended July 31, 2019, an effective rate of 29.5%. The $0.6 million decrease in income tax expense year-over-year corresponds with the decline in pre-tax income.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July 31, 2020 Compared to Nine Months Ended July 31, 2019</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Nine Months Ended July 31,</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6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8"/>
        </w:trPr>
        <w:tc>
          <w:tcPr>
            <w:tcW w:w="64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 Variance</w:t>
            </w:r>
          </w:p>
        </w:tc>
        <w:tc>
          <w:tcPr>
            <w:tcW w:w="160" w:type="dxa"/>
            <w:vAlign w:val="bottom"/>
            <w:tcBorders>
              <w:bottom w:val="single" w:sz="8" w:color="auto"/>
            </w:tcBorders>
          </w:tcPr>
          <w:p>
            <w:pPr>
              <w:spacing w:after="0"/>
              <w:rPr>
                <w:sz w:val="16"/>
                <w:szCs w:val="16"/>
                <w:color w:val="auto"/>
              </w:rPr>
            </w:pPr>
          </w:p>
        </w:tc>
      </w:tr>
      <w:tr>
        <w:trPr>
          <w:trHeight w:val="192"/>
        </w:trPr>
        <w:tc>
          <w:tcPr>
            <w:tcW w:w="6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0" w:type="dxa"/>
            <w:vAlign w:val="bottom"/>
            <w:gridSpan w:val="4"/>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0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6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Restructuring charges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2"/>
        </w:trPr>
        <w:tc>
          <w:tcPr>
            <w:tcW w:w="6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impairment charges</w:t>
            </w:r>
          </w:p>
        </w:tc>
        <w:tc>
          <w:tcPr>
            <w:tcW w:w="7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83"/>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70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92"/>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2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0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Related to Operating Income by Reportable Segment: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NA Fenestration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Nine Months Ended July 31,</w:t>
            </w:r>
          </w:p>
        </w:tc>
        <w:tc>
          <w:tcPr>
            <w:tcW w:w="1180" w:type="dxa"/>
            <w:vAlign w:val="bottom"/>
          </w:tcPr>
          <w:p>
            <w:pPr>
              <w:spacing w:after="0"/>
              <w:rPr>
                <w:sz w:val="14"/>
                <w:szCs w:val="14"/>
                <w:color w:val="auto"/>
              </w:rPr>
            </w:pPr>
          </w:p>
        </w:tc>
      </w:tr>
      <w:tr>
        <w:trPr>
          <w:trHeight w:val="26"/>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6"/>
        </w:trPr>
        <w:tc>
          <w:tcPr>
            <w:tcW w:w="6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w w:val="99"/>
              </w:rPr>
              <w:t>$ Change</w:t>
            </w: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 Variance</w:t>
            </w:r>
          </w:p>
        </w:tc>
      </w:tr>
      <w:tr>
        <w:trPr>
          <w:trHeight w:val="131"/>
        </w:trPr>
        <w:tc>
          <w:tcPr>
            <w:tcW w:w="6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341.4</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360.6</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w w:val="99"/>
              </w:rPr>
              <w:t>(5)%</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278.9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18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6%</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18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4"/>
                <w:szCs w:val="14"/>
                <w:color w:val="auto"/>
              </w:rPr>
              <w:t>33%</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9%</w:t>
            </w:r>
          </w:p>
        </w:tc>
      </w:tr>
      <w:tr>
        <w:trPr>
          <w:trHeight w:val="22"/>
        </w:trPr>
        <w:tc>
          <w:tcPr>
            <w:tcW w:w="6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2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18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53"/>
        </w:trPr>
        <w:tc>
          <w:tcPr>
            <w:tcW w:w="64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Operating income margin</w:t>
            </w:r>
          </w:p>
        </w:tc>
        <w:tc>
          <w:tcPr>
            <w:tcW w:w="28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122"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Net sales decreased $19.2 million, or 5%, for the nine months ended July 31, 2020 compared to the same period in 2019, which was primarily driven by a decrease in volumes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$20.6 million, which includes the impacts of COVID-19. The decrease in volume was partially offset by increases in prices and surcharges of $1.4 million.</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Cost of Sales. </w:t>
      </w:r>
      <w:r>
        <w:rPr>
          <w:rFonts w:ascii="Times New Roman" w:cs="Times New Roman" w:eastAsia="Times New Roman" w:hAnsi="Times New Roman"/>
          <w:sz w:val="14"/>
          <w:szCs w:val="14"/>
          <w:color w:val="auto"/>
        </w:rPr>
        <w:t>The cost of sales decreased $12.4 million, or 4%, when comparing the nine months ended July 31, 2020 to the same period in 2019. Cost of sales decreased due to lower volumes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period, including a corresponding decrease in selling expenses as a result of the impacts of COVID-19 as mentioned above.</w:t>
      </w:r>
    </w:p>
    <w:p>
      <w:pPr>
        <w:spacing w:after="0" w:line="57" w:lineRule="exact"/>
        <w:rPr>
          <w:sz w:val="20"/>
          <w:szCs w:val="20"/>
          <w:color w:val="auto"/>
        </w:rPr>
      </w:pPr>
    </w:p>
    <w:p>
      <w:pPr>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Selling, General and Administrative. S</w:t>
      </w:r>
      <w:r>
        <w:rPr>
          <w:rFonts w:ascii="Times New Roman" w:cs="Times New Roman" w:eastAsia="Times New Roman" w:hAnsi="Times New Roman"/>
          <w:sz w:val="14"/>
          <w:szCs w:val="14"/>
          <w:color w:val="auto"/>
        </w:rPr>
        <w:t>elling, general and administrative expenses decreased $2.2 million, or 6%, when comparing the nine months ended July 31, 2020 to the same period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2019. This decrease was due primarily to lower general expenses due to COVID-19 restrictions and lower compensation and benefits year-over-year.</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Restructuring Charges. </w:t>
      </w:r>
      <w:r>
        <w:rPr>
          <w:rFonts w:ascii="Times New Roman" w:cs="Times New Roman" w:eastAsia="Times New Roman" w:hAnsi="Times New Roman"/>
          <w:sz w:val="14"/>
          <w:szCs w:val="14"/>
          <w:color w:val="auto"/>
        </w:rPr>
        <w:t>Restructuring charges for each of the nine month periods ended July 31, 2020 and 2019 relate to facility lease expense for a vinyl extrusion plant which was closed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January 2017 in the U.S. that has not been sublet or otherwise exited as of July 31, 2020.</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Depreciation and amortization expense decreased $1.9 million when comparing the nine months ended July 31, 2020 and 2019, reflecting the run-off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expense related to existing assets and disposals during the period.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EU Fenestration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Nine Months Ended July 31,</w:t>
            </w:r>
          </w:p>
        </w:tc>
        <w:tc>
          <w:tcPr>
            <w:tcW w:w="1180" w:type="dxa"/>
            <w:vAlign w:val="bottom"/>
          </w:tcPr>
          <w:p>
            <w:pPr>
              <w:spacing w:after="0"/>
              <w:rPr>
                <w:sz w:val="14"/>
                <w:szCs w:val="14"/>
                <w:color w:val="auto"/>
              </w:rPr>
            </w:pPr>
          </w:p>
        </w:tc>
      </w:tr>
      <w:tr>
        <w:trPr>
          <w:trHeight w:val="26"/>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6"/>
        </w:trPr>
        <w:tc>
          <w:tcPr>
            <w:tcW w:w="6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w w:val="99"/>
              </w:rPr>
              <w:t>$ Change</w:t>
            </w: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31"/>
        </w:trPr>
        <w:tc>
          <w:tcPr>
            <w:tcW w:w="6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(14)%</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18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4"/>
                <w:szCs w:val="14"/>
                <w:color w:val="auto"/>
              </w:rPr>
              <w:t>14%</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8%</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0.3</w:t>
            </w:r>
          </w:p>
        </w:tc>
        <w:tc>
          <w:tcPr>
            <w:tcW w:w="118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w w:val="99"/>
              </w:rPr>
              <w:t>(4)%</w:t>
            </w: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18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margin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
        </w:trPr>
        <w:tc>
          <w:tcPr>
            <w:tcW w:w="6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bl>
    <w:p>
      <w:pPr>
        <w:spacing w:after="0" w:line="89"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Net sales decreased $17.0 million, or 14%, when comparing the nine months ended July 31, 2020 to the same period in 2019. Net sales volumes decreased $16.4 million year-over-year, which includes of the impacts of COVID-19, and $1.6 million due to unfavorable foreign currency rate changes. These decreases were slightly offset by $1.0 million of base price increases.</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Cost of Sales. </w:t>
      </w:r>
      <w:r>
        <w:rPr>
          <w:rFonts w:ascii="Times New Roman" w:cs="Times New Roman" w:eastAsia="Times New Roman" w:hAnsi="Times New Roman"/>
          <w:sz w:val="14"/>
          <w:szCs w:val="14"/>
          <w:color w:val="auto"/>
        </w:rPr>
        <w:t>The cost of sales increased $12.0 million, or 14%, for the nine months ended July 31, 2020 compared to the same period in 2019. Cost of sales decreased due to lower volumes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period, including a corresponding decrease in selling expenses as a result of the impacts of COVID-19 as mentioned above.</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w:t>
      </w:r>
      <w:r>
        <w:rPr>
          <w:rFonts w:ascii="Times New Roman" w:cs="Times New Roman" w:eastAsia="Times New Roman" w:hAnsi="Times New Roman"/>
          <w:sz w:val="14"/>
          <w:szCs w:val="14"/>
          <w:color w:val="auto"/>
        </w:rPr>
        <w:t>Selling, general and administrative expense remained flat for the nine months ended July 31, 2020 compared to the same period in 2019. The decrease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savings incurred from reduced marketing and other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1100"/>
        <w:spacing w:after="0" w:line="445" w:lineRule="auto"/>
        <w:rPr>
          <w:sz w:val="20"/>
          <w:szCs w:val="20"/>
          <w:color w:val="auto"/>
        </w:rPr>
      </w:pPr>
      <w:r>
        <w:rPr>
          <w:rFonts w:ascii="Times New Roman" w:cs="Times New Roman" w:eastAsia="Times New Roman" w:hAnsi="Times New Roman"/>
          <w:sz w:val="14"/>
          <w:szCs w:val="14"/>
          <w:color w:val="auto"/>
        </w:rPr>
        <w:t xml:space="preserve">general expenses as a result of COVID-19 restrictions, reimbursements for labor costs in the UK from government aid for COVID-19 furloughs, and lower incentive compensation. </w:t>
      </w:r>
      <w:r>
        <w:rPr>
          <w:rFonts w:ascii="Times New Roman" w:cs="Times New Roman" w:eastAsia="Times New Roman" w:hAnsi="Times New Roman"/>
          <w:sz w:val="14"/>
          <w:szCs w:val="14"/>
          <w:i w:val="1"/>
          <w:iCs w:val="1"/>
          <w:u w:val="single" w:color="auto"/>
          <w:color w:val="auto"/>
        </w:rPr>
        <w:t>NA Cabinet Components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Nine Months Ended July 31,</w:t>
            </w:r>
          </w:p>
        </w:tc>
        <w:tc>
          <w:tcPr>
            <w:tcW w:w="1180" w:type="dxa"/>
            <w:vAlign w:val="bottom"/>
          </w:tcPr>
          <w:p>
            <w:pPr>
              <w:spacing w:after="0"/>
              <w:rPr>
                <w:sz w:val="14"/>
                <w:szCs w:val="14"/>
                <w:color w:val="auto"/>
              </w:rPr>
            </w:pPr>
          </w:p>
        </w:tc>
      </w:tr>
      <w:tr>
        <w:trPr>
          <w:trHeight w:val="26"/>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6"/>
        </w:trPr>
        <w:tc>
          <w:tcPr>
            <w:tcW w:w="6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w w:val="99"/>
              </w:rPr>
              <w:t>$ Change</w:t>
            </w: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31"/>
        </w:trPr>
        <w:tc>
          <w:tcPr>
            <w:tcW w:w="6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1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18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12%</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1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0.3</w:t>
            </w:r>
          </w:p>
        </w:tc>
        <w:tc>
          <w:tcPr>
            <w:tcW w:w="118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9"/>
              </w:rPr>
              <w:t>(100)%</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0.2</w:t>
            </w:r>
          </w:p>
        </w:tc>
        <w:tc>
          <w:tcPr>
            <w:tcW w:w="11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9"/>
              </w:rPr>
              <w:t>(2)%</w:t>
            </w:r>
          </w:p>
        </w:tc>
      </w:tr>
      <w:tr>
        <w:trPr>
          <w:trHeight w:val="22"/>
        </w:trPr>
        <w:tc>
          <w:tcPr>
            <w:tcW w:w="6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 charges</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18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25.9</w:t>
            </w:r>
          </w:p>
        </w:tc>
        <w:tc>
          <w:tcPr>
            <w:tcW w:w="118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88%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margin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
        </w:trPr>
        <w:tc>
          <w:tcPr>
            <w:tcW w:w="6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bl>
    <w:p>
      <w:pPr>
        <w:spacing w:after="0" w:line="89"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Net sales decreased $22.8 million, or 13%, for the nine months ended July 31, 2020 compared to the same period in 2019. Approximately $18.4 million of the decrease in sales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lower volume related to customer strategic shifts and the impacts of COVID-19. Raw materials surcharges and price declines reduced sales by an additional $4.3 million.</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Cost of sales decreased $18.7 million, or 12%, for the nine months ended July 31, 2020 compared with the same period in 2019 as a result of lower volume, including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corresponding decrease in selling expenses as a result of the impacts of COVID-19 as mentioned above.</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Selling, General and Administrative</w:t>
      </w:r>
      <w:r>
        <w:rPr>
          <w:rFonts w:ascii="Times New Roman" w:cs="Times New Roman" w:eastAsia="Times New Roman" w:hAnsi="Times New Roman"/>
          <w:sz w:val="14"/>
          <w:szCs w:val="14"/>
          <w:color w:val="auto"/>
        </w:rPr>
        <w:t>. Selling, general and administrative expense decreased $0.5 million, or 4%, for the nine months ended July 31, 2020 compared to the same period in 2019,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largely driven by lower compensation.</w:t>
      </w:r>
    </w:p>
    <w:p>
      <w:pPr>
        <w:spacing w:after="0" w:line="5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Restructuring Charges</w:t>
      </w:r>
      <w:r>
        <w:rPr>
          <w:rFonts w:ascii="Times New Roman" w:cs="Times New Roman" w:eastAsia="Times New Roman" w:hAnsi="Times New Roman"/>
          <w:sz w:val="14"/>
          <w:szCs w:val="14"/>
          <w:color w:val="auto"/>
        </w:rPr>
        <w:t>. Restructuring charges of $0.3 million in the nine months ended July 31, 2020 related to severance, equipment moving and other charges incurred for a plant closure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further described in Note 1, "Nature of Operations and Basis of Presentation </w:t>
      </w:r>
      <w:r>
        <w:rPr>
          <w:rFonts w:ascii="Times New Roman" w:cs="Times New Roman" w:eastAsia="Times New Roman" w:hAnsi="Times New Roman"/>
          <w:sz w:val="14"/>
          <w:szCs w:val="14"/>
          <w:i w:val="1"/>
          <w:iCs w:val="1"/>
          <w:color w:val="auto"/>
        </w:rPr>
        <w:t>- Restructuring</w:t>
      </w:r>
      <w:r>
        <w:rPr>
          <w:rFonts w:ascii="Times New Roman" w:cs="Times New Roman" w:eastAsia="Times New Roman" w:hAnsi="Times New Roman"/>
          <w:sz w:val="14"/>
          <w:szCs w:val="14"/>
          <w:color w:val="auto"/>
        </w:rPr>
        <w:t>" to the accompanying unaudited condensed consolidated financial statements contained elsewhere herein.</w:t>
      </w:r>
    </w:p>
    <w:p>
      <w:pPr>
        <w:spacing w:after="0" w:line="67"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Asset impairment charges. </w:t>
      </w:r>
      <w:r>
        <w:rPr>
          <w:rFonts w:ascii="Times New Roman" w:cs="Times New Roman" w:eastAsia="Times New Roman" w:hAnsi="Times New Roman"/>
          <w:sz w:val="14"/>
          <w:szCs w:val="14"/>
          <w:color w:val="auto"/>
        </w:rPr>
        <w:t>Asset impairment charges of $30.0 million for the nine months ended July 31, 2019 represent a goodwill impairment which was recorded as a result of an industry-wide shift from custom cabinets to stock cabinets.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Unallocated Corporate &amp; Other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July 31,</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6"/>
        </w:trPr>
        <w:tc>
          <w:tcPr>
            <w:tcW w:w="6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6"/>
        </w:trPr>
        <w:tc>
          <w:tcPr>
            <w:tcW w:w="6560" w:type="dxa"/>
            <w:vAlign w:val="bottom"/>
          </w:tcPr>
          <w:p>
            <w:pPr>
              <w:spacing w:after="0"/>
              <w:rPr>
                <w:sz w:val="12"/>
                <w:szCs w:val="12"/>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2020</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2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Variance %</w:t>
            </w:r>
          </w:p>
        </w:tc>
      </w:tr>
      <w:tr>
        <w:trPr>
          <w:trHeight w:val="131"/>
        </w:trPr>
        <w:tc>
          <w:tcPr>
            <w:tcW w:w="6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jc w:val="right"/>
              <w:ind w:right="295"/>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4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700" w:type="dxa"/>
            <w:vAlign w:val="bottom"/>
          </w:tcPr>
          <w:p>
            <w:pPr>
              <w:jc w:val="right"/>
              <w:ind w:right="55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720" w:type="dxa"/>
            <w:vAlign w:val="bottom"/>
          </w:tcPr>
          <w:p>
            <w:pPr>
              <w:jc w:val="right"/>
              <w:ind w:right="575"/>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45%</w:t>
            </w:r>
          </w:p>
        </w:tc>
      </w:tr>
      <w:tr>
        <w:trPr>
          <w:trHeight w:val="22"/>
        </w:trPr>
        <w:tc>
          <w:tcPr>
            <w:tcW w:w="6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(excluding depreciation and amortization)</w:t>
            </w:r>
          </w:p>
        </w:tc>
        <w:tc>
          <w:tcPr>
            <w:tcW w:w="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w w:val="97"/>
              </w:rPr>
              <w:t>(54)%</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118%</w:t>
            </w:r>
          </w:p>
        </w:tc>
      </w:tr>
      <w:tr>
        <w:trPr>
          <w:trHeight w:val="22"/>
        </w:trPr>
        <w:tc>
          <w:tcPr>
            <w:tcW w:w="6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w w:val="97"/>
              </w:rPr>
              <w:t>(33)%</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7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6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Net sales for Unallocated Corporate &amp; Other represents the elimination of inter-segment sales for the nine months ended July 31, 2020 and 2019.</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Cost of sales for Unallocated Corporate &amp; Other consists of the elimination of inter-segment sales, profit in inventory, and other costs.</w:t>
      </w:r>
    </w:p>
    <w:p>
      <w:pPr>
        <w:spacing w:after="0" w:line="136"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Selling, General and Administrative</w:t>
      </w:r>
      <w:r>
        <w:rPr>
          <w:rFonts w:ascii="Times New Roman" w:cs="Times New Roman" w:eastAsia="Times New Roman" w:hAnsi="Times New Roman"/>
          <w:sz w:val="14"/>
          <w:szCs w:val="14"/>
          <w:color w:val="auto"/>
        </w:rPr>
        <w:t>. Selling, general and administrative expenses decreased $10.5 million for the nine months ended July 31, 2020 compared to the same period in 2019.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is attributable to (i) $6.5 million of lower medical expenses due to a lower claims experience during the nine months ended July 31, 2020 as compared to the prior year period, (ii) $1.9 million of lower compensation expense related to the valuations of our stock based compensation awards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reductions in incentive accruals, (iii) lower transaction costs of $1.2 million, and (iv) lower executive severance expense of $1.0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related to Non-Operating Items: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Interest Expense</w:t>
      </w:r>
      <w:r>
        <w:rPr>
          <w:rFonts w:ascii="Times New Roman" w:cs="Times New Roman" w:eastAsia="Times New Roman" w:hAnsi="Times New Roman"/>
          <w:sz w:val="14"/>
          <w:szCs w:val="14"/>
          <w:color w:val="auto"/>
        </w:rPr>
        <w:t>. Interest expense decreased $3.3 million for the nine months ended July 31, 2020 compared to the same period in 2019 as a result of lower interest rates.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Other, net</w:t>
      </w:r>
      <w:r>
        <w:rPr>
          <w:rFonts w:ascii="Times New Roman" w:cs="Times New Roman" w:eastAsia="Times New Roman" w:hAnsi="Times New Roman"/>
          <w:sz w:val="14"/>
          <w:szCs w:val="14"/>
          <w:color w:val="auto"/>
        </w:rPr>
        <w:t>. The decrease in other, net of $0.3 million at July 31, 2020 compared to the same period in 2019 relates primarily to foreign currency translation losses.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We recorded income tax expense of $6.9 million on pre-tax income of $23.2 million for the nine months ended July 31, 2020, an effective rate of 29.7% and income tax expense</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$5.9 million on a pre-tax loss of $9.9 million for the nine months ended July 31, 2019, an effective rate of 60.1%. The difference in the effective rates between these periods is primarily due to the fact that a majority of the asset impairment charge in the North American Cabinet Components segment recorded during the nine months ended July 31, 2019 did not generate a tax benefit.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Historically, our principal sources of funds have been cash on hand, cash flow from operations, and borrowings under our credit facilities.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maintain a $325.0 million revolving credit facility (the Credit Facility) that matures in 2023 (5-year term) and requires interest payments calculated at a variable market rate depending upon our Consolidated Leverage Ratio. The applicable rate during the nine months ended July 31, 2020 ranged from LIBOR + 1.50% to LIBOR + 1.75%. Our cost of capital could increase depending upon the Consolidated Leverage Ratio at the end of any given quarter.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$1.0 million straight-line over the remaining term of the facility. For further details of the Credit Facility, refer to Note 5, "Debt and Finance Lease Obligations" to the accompanying unaudited condensed consolidated financial statements contained elsewhere herein.</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July 31, 2020, we had $41.1 million of cash and equivalents, $138.0 million outstanding under the Credit Facility, $4.8 million of outstanding letters of credit and $15.7 million outstanding under finance leases and other debt. We had $182.2 million available for use under the Credit Facility at July 31, 2020.</w:t>
      </w:r>
    </w:p>
    <w:p>
      <w:pPr>
        <w:spacing w:after="0" w:line="7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repatriated $12.6 million and $13.9 million of foreign cash during the nine months ended July 31, 2020 and 2019, respectively. We expect to repatriate excess cash moving forward and utilize the funds to retire debt or meet current working capital needs. Funds from operations may be impacted by softer demand and liquidity concerns of our customers as a result of COVID-19. In the U.K., we insure against a portion of our credit losses. In light of the COVID-19 pandemic, the Company has implemented a range of actions aimed at reducing costs and preserving liquidity. We believe our business model, our current cash reserves and the recent steps we have taken to strengthen our balance sheet leave us well-positioned to manage our business as a going concern and remain in compliance with our debt covenants through the COVID-19 crisis as it continues to unfold.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Analysis of Cash Flow</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cash flow results for the nine months ended July 31, 2020 and 2019:</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40" w:type="dxa"/>
            <w:vAlign w:val="bottom"/>
          </w:tcPr>
          <w:p>
            <w:pPr>
              <w:spacing w:after="0"/>
              <w:rPr>
                <w:sz w:val="12"/>
                <w:szCs w:val="12"/>
                <w:color w:val="auto"/>
              </w:rPr>
            </w:pPr>
          </w:p>
        </w:tc>
      </w:tr>
      <w:tr>
        <w:trPr>
          <w:trHeight w:val="163"/>
        </w:trPr>
        <w:tc>
          <w:tcPr>
            <w:tcW w:w="7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left="577"/>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1040" w:type="dxa"/>
            <w:vAlign w:val="bottom"/>
            <w:tcBorders>
              <w:bottom w:val="single" w:sz="8" w:color="auto"/>
            </w:tcBorders>
          </w:tcPr>
          <w:p>
            <w:pPr>
              <w:spacing w:after="0"/>
              <w:rPr>
                <w:sz w:val="14"/>
                <w:szCs w:val="14"/>
                <w:color w:val="auto"/>
              </w:rPr>
            </w:pPr>
          </w:p>
        </w:tc>
      </w:tr>
      <w:tr>
        <w:trPr>
          <w:trHeight w:val="150"/>
        </w:trPr>
        <w:tc>
          <w:tcPr>
            <w:tcW w:w="7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1"/>
                <w:szCs w:val="11"/>
                <w:b w:val="1"/>
                <w:bCs w:val="1"/>
                <w:color w:val="auto"/>
              </w:rPr>
              <w:t>2020</w:t>
            </w: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50"/>
        </w:trPr>
        <w:tc>
          <w:tcPr>
            <w:tcW w:w="7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2"/>
          </w:tcPr>
          <w:p>
            <w:pPr>
              <w:jc w:val="center"/>
              <w:ind w:left="59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tcPr>
          <w:p>
            <w:pPr>
              <w:spacing w:after="0"/>
              <w:rPr>
                <w:sz w:val="13"/>
                <w:szCs w:val="13"/>
                <w:color w:val="auto"/>
              </w:rPr>
            </w:pPr>
          </w:p>
        </w:tc>
      </w:tr>
      <w:tr>
        <w:trPr>
          <w:trHeight w:val="196"/>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47.6</w:t>
            </w:r>
          </w:p>
        </w:tc>
        <w:tc>
          <w:tcPr>
            <w:tcW w:w="64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4"/>
                <w:szCs w:val="14"/>
                <w:color w:val="auto"/>
                <w:w w:val="97"/>
              </w:rPr>
              <w:t>30.0</w:t>
            </w:r>
          </w:p>
        </w:tc>
      </w:tr>
      <w:tr>
        <w:trPr>
          <w:trHeight w:val="191"/>
        </w:trPr>
        <w:tc>
          <w:tcPr>
            <w:tcW w:w="7940" w:type="dxa"/>
            <w:vAlign w:val="bottom"/>
          </w:tcPr>
          <w:p>
            <w:pPr>
              <w:spacing w:after="0"/>
              <w:rPr>
                <w:sz w:val="20"/>
                <w:szCs w:val="20"/>
                <w:color w:val="auto"/>
              </w:rPr>
            </w:pPr>
            <w:r>
              <w:rPr>
                <w:rFonts w:ascii="Times New Roman" w:cs="Times New Roman" w:eastAsia="Times New Roman" w:hAnsi="Times New Roman"/>
                <w:sz w:val="14"/>
                <w:szCs w:val="14"/>
                <w:color w:val="auto"/>
              </w:rPr>
              <w:t>Cash used for investing activities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(20.5)</w:t>
            </w: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ind w:left="553"/>
              <w:spacing w:after="0"/>
              <w:rPr>
                <w:sz w:val="20"/>
                <w:szCs w:val="20"/>
                <w:color w:val="auto"/>
              </w:rPr>
            </w:pPr>
            <w:r>
              <w:rPr>
                <w:rFonts w:ascii="Times New Roman" w:cs="Times New Roman" w:eastAsia="Times New Roman" w:hAnsi="Times New Roman"/>
                <w:sz w:val="14"/>
                <w:szCs w:val="14"/>
                <w:color w:val="auto"/>
              </w:rPr>
              <w:t>(16.7)</w:t>
            </w:r>
          </w:p>
        </w:tc>
      </w:tr>
      <w:tr>
        <w:trPr>
          <w:trHeight w:val="22"/>
        </w:trPr>
        <w:tc>
          <w:tcPr>
            <w:tcW w:w="7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1"/>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used for financing activities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(17.4)</w:t>
            </w:r>
          </w:p>
        </w:tc>
        <w:tc>
          <w:tcPr>
            <w:tcW w:w="6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ind w:left="553"/>
              <w:spacing w:after="0"/>
              <w:rPr>
                <w:sz w:val="20"/>
                <w:szCs w:val="20"/>
                <w:color w:val="auto"/>
              </w:rPr>
            </w:pPr>
            <w:r>
              <w:rPr>
                <w:rFonts w:ascii="Times New Roman" w:cs="Times New Roman" w:eastAsia="Times New Roman" w:hAnsi="Times New Roman"/>
                <w:sz w:val="14"/>
                <w:szCs w:val="14"/>
                <w:color w:val="auto"/>
              </w:rPr>
              <w:t>(30.5)</w:t>
            </w:r>
          </w:p>
        </w:tc>
      </w:tr>
      <w:tr>
        <w:trPr>
          <w:trHeight w:val="22"/>
        </w:trPr>
        <w:tc>
          <w:tcPr>
            <w:tcW w:w="79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10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Operating Activities</w:t>
      </w:r>
      <w:r>
        <w:rPr>
          <w:rFonts w:ascii="Times New Roman" w:cs="Times New Roman" w:eastAsia="Times New Roman" w:hAnsi="Times New Roman"/>
          <w:sz w:val="14"/>
          <w:szCs w:val="14"/>
          <w:color w:val="auto"/>
        </w:rPr>
        <w:t>. Cash provided by operating activities for the nine months ended July 31, 2020 increased approximately $17.6 million compared to the nine months ended July 31, 2019.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receipts were favorably impacted by improved working capital, particularly related to inventory. Our ability to continue operations and deliver orders as an essential service provider mitigated some of the effects of COVID-19. Our efforts to maintain operating levels in accordance with demand allowed us to remain efficient with our working capital and utilize inventory effectively. To date, slower paying customers as a result of COVID-19 have not significantly impacted our liquidity, but this could become a concern in the future.</w:t>
      </w:r>
    </w:p>
    <w:p>
      <w:pPr>
        <w:spacing w:after="0" w:line="85"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Cash used for investing activities increased $3.8 million when comparing the nine months ended July 31, 2020 to the same period in 2019 as a result of higher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expenditures.</w:t>
      </w:r>
    </w:p>
    <w:p>
      <w:pPr>
        <w:spacing w:after="0" w:line="14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a result of the outbreak of the COVID-19 pandemic, we reduced capital expenditure plans by approximately 25% to 30% for the year ended October 31, 2020. We expect to fund our capital expenditures through cash on hand, cash generated from operations, and cash borrowed under our Credit Facility, as necessary.</w:t>
      </w:r>
    </w:p>
    <w:p>
      <w:pPr>
        <w:spacing w:after="0" w:line="59"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Cash used for financing activities was $17.4 million for the nine months ended July 31, 2020, which included $7.9 million of dividends paid to our shareholders, $6.7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of treasury stock repurchases, and $5.3 million of net debt repayments. Our use of cash was partially offset by $3.0 million of proceeds from stock option exercises.</w:t>
      </w:r>
    </w:p>
    <w:p>
      <w:pPr>
        <w:spacing w:after="0" w:line="6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net debt repayments of $5.3 million include the borrowing and subsequent repayment of $50.0 million of funds under our credit facility as a precautionary measure to ensure funds were available to meet our obligations during the COVID-19 pandemic. In the future, we may be required to borrow additional funds in order to be prepared for any unforeseen impacts of the COVID-19 pandemic.</w:t>
      </w:r>
    </w:p>
    <w:p>
      <w:pPr>
        <w:spacing w:after="0" w:line="8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nine months ended July 31, 2019, cash used for financing activities was $30.5 million, primarily attributable to $18.6 million of net repayments of debt, $8.0 million of dividends paid to our shareholders, and $6.3 million related to the purchase of treasury stock, partially offset by $2.7 million of proceeds received from stock option exercises.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Requirements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nine months ended July 31, 2020 and 2019, we repatriated $12.6 million and $13.9 million, respectively, of foreign earnings from our foreign locations. We maintain cash balances in foreign countries which total $13.4 million as of July 31, 2020.</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a description of our critical accounting policies and estimates, see our Annual Report on Form 10-K for the fiscal year ended October 31, 2019. During the nine months ended July 31, 2020, we adopted new lease accounting guidance. For further details of this change, refer to "Part I, Financial Information" of this Quarterly Report on Form 10-Q.</w:t>
      </w:r>
    </w:p>
    <w:p>
      <w:pPr>
        <w:spacing w:after="0" w:line="145"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11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consolidated financial statements upon adoption.</w:t>
      </w:r>
    </w:p>
    <w:p>
      <w:pPr>
        <w:spacing w:after="0" w:line="83"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June 2016, the FASB issued Accounting Standards Update No. 2016-13, Financial Instruments - Credit Losses (Topic 326). This amendment replaces the incurred loss impairment methodology in current U.S. GAAP and requires that financial assets be 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 becomes effective for fiscal years beginning after December 15, 2019, including interim periods within that fiscal year. We expect to adopt this amendment during fiscal 2021, with no material impact on our consolidated financial statements.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Refer to our Annual Report on Form 10-K for the year ended October 31, 2019 for additional standards we are currently evaluating.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3. Quantitative and Qualitative Disclosures About Market Risk</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outstanding debt bears interest at variable rates and accordingly is sensitive to changes in interest rates. Based upon the balances of the variable rate debt at July 31, 2020, a hypothetical 1.0% increase or decrease in interest rates could result in approximately $1.4 million of additional pretax charges or credit to our operating results per year. This sensitivity is impacted by the amount of borrowings under our credit facilities, and amounts outstanding under finance leases.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Rate Risk</w:t>
      </w:r>
    </w:p>
    <w:p>
      <w:pPr>
        <w:spacing w:after="0" w:line="12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Less than $0.1 million of foreign currency derivatives were included in total assets as of October 31, 2019. There were no corresponding foreign currency derivatives recorded on the Condensed Consolidated Balance Sheet as of July 31, 2020.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(loss). To the extent the gain or loss on the derivative instrument offsets the gain or loss from the re-measurement of the underlying foreign currency balance, changes in exchange rates should have no effect.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11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purchase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the one month lag.</w:t>
      </w:r>
    </w:p>
    <w:p>
      <w:pPr>
        <w:spacing w:after="0" w:line="8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have historically charged certain customers a surcharge related to petroleum-based raw materials. The surcharge was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increases in oil-based raw material prices is significantly reduced under this surcharge program, but given the recent disruptions in the oil and gas market, we bear an obligation to repay customers for the fall in commodity price that is not reflected in the pricing of products sold to them.</w:t>
      </w:r>
    </w:p>
    <w:p>
      <w:pPr>
        <w:spacing w:after="0" w:line="9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Similarly, our NA Cabinet Components business includes a surcharge provision in the majority of its customer arrangements to insulate against significant fluctuations in the price for various hardwood products used as the primary raw material for kitchen and bathroom cabinet doors. We are exposed to short-term volatility in wood prices due to a lag in the timing of price updates which generally could extend for up to three months.</w:t>
      </w:r>
    </w:p>
    <w:p>
      <w:pPr>
        <w:spacing w:after="0" w:line="7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While we maintain surcharges and other adjusters to manage our exposure to changes in the prices of our critical raw materials, we utilize several commodities in our business that are not covered by contractual surcharges or adjusters for which pricing can fluctuate, including titanium dioxide (TiO2), silicone and other inputs. Further discussion of our industry risks is included within our Annual Report on Form 10-K for the year ended October 31, 2019.</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1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July 31, 2020. Based on that evaluation, the Chief Executive Officer and Chief Financial Officer concluded that, as of July 31, 2020, the disclosure controls and procedures are effective.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1A.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Company Risks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Epidemics, pandemics or other disease outbreaks could significantly disrupt our operations or those of our customers or suppliers.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Our business could be materially and adversely affected by the occurrence of a widespread health epidemic or pandemic. In particular, any outbreak or resurgence of COVID-19, or any governmental imposition of mandatory or voluntary closures in areas where our manufacturing facilities, suppliers or customers are located, could severely disrupt our operations and result in (a) plant slowdowns or shutdowns, (b) difficulty obtaining necessary supplies, and (c) reduced customer orders and revenues. In addition to this potential direct impact on our facilities and operations, continuing outbreaks of the virus could negatively impact our industry and end markets as a whole, or result in a longer-term economic recession. Any of these factors could negatively affect our business, financial condition, cash flows, profitability, and results of operations.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COVID-19 pandemic could also create inefficiencies or interruptions in the supply chain as our suppliers may be forced to close their own plants or prove unable to obtain their own raw materials. If our suppliers are unable to timely meet our supply needs, it could impact our ability to provide our customers with high quality products on a timely basis, which could result in order cancellations, delivery refusals, price concessions, or other negative customer outcomes, any of which could negatively impact our business, revenues, financial condition, results of operations and liquidity. We could also be forced to pay higher prices for the supplies we purchase, which could negatively impact our results of operations and profitability.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6. Exhibits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QUANEX BUILDING PRODUCTS CORPORATION</w:t>
      </w:r>
    </w:p>
    <w:p>
      <w:pPr>
        <w:spacing w:after="0" w:line="96" w:lineRule="exact"/>
        <w:rPr>
          <w:sz w:val="20"/>
          <w:szCs w:val="20"/>
          <w:color w:val="auto"/>
        </w:rPr>
      </w:pPr>
    </w:p>
    <w:p>
      <w:pPr>
        <w:ind w:left="340"/>
        <w:spacing w:after="0"/>
        <w:tabs>
          <w:tab w:leader="none" w:pos="4560" w:val="left"/>
        </w:tabs>
        <w:rPr>
          <w:sz w:val="20"/>
          <w:szCs w:val="20"/>
          <w:color w:val="auto"/>
        </w:rPr>
      </w:pPr>
      <w:r>
        <w:rPr>
          <w:rFonts w:ascii="Times New Roman" w:cs="Times New Roman" w:eastAsia="Times New Roman" w:hAnsi="Times New Roman"/>
          <w:sz w:val="14"/>
          <w:szCs w:val="14"/>
          <w:color w:val="auto"/>
        </w:rPr>
        <w:t>Date: September 4, 2020</w:t>
      </w:r>
      <w:r>
        <w:rPr>
          <w:sz w:val="20"/>
          <w:szCs w:val="20"/>
          <w:color w:val="auto"/>
        </w:rPr>
        <w:tab/>
      </w:r>
      <w:r>
        <w:rPr>
          <w:rFonts w:ascii="Times New Roman" w:cs="Times New Roman" w:eastAsia="Times New Roman" w:hAnsi="Times New Roman"/>
          <w:sz w:val="13"/>
          <w:szCs w:val="13"/>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28575</wp:posOffset>
            </wp:positionV>
            <wp:extent cx="425767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57675" cy="6985"/>
                    </a:xfrm>
                    <a:prstGeom prst="rect">
                      <a:avLst/>
                    </a:prstGeom>
                    <a:noFill/>
                  </pic:spPr>
                </pic:pic>
              </a:graphicData>
            </a:graphic>
          </wp:anchor>
        </w:drawing>
      </w:r>
    </w:p>
    <w:p>
      <w:pPr>
        <w:spacing w:after="0" w:line="4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Scott M. Zuehlke</w:t>
      </w:r>
    </w:p>
    <w:p>
      <w:pPr>
        <w:spacing w:after="0" w:line="5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Senior Vice President - Chief Financial Officer &amp; Treasurer</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680"/>
          </w:cols>
          <w:pgMar w:left="300" w:top="125" w:right="91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Description of Exhibits</w:t>
      </w:r>
    </w:p>
    <w:p>
      <w:pPr>
        <w:spacing w:after="0" w:line="200" w:lineRule="exact"/>
        <w:rPr>
          <w:sz w:val="20"/>
          <w:szCs w:val="20"/>
          <w:color w:val="auto"/>
        </w:rPr>
      </w:pP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60" w:type="dxa"/>
            <w:vAlign w:val="bottom"/>
          </w:tcPr>
          <w:p>
            <w:pPr>
              <w:jc w:val="center"/>
              <w:ind w:right="609"/>
              <w:spacing w:after="0"/>
              <w:rPr>
                <w:rFonts w:ascii="Times New Roman" w:cs="Times New Roman" w:eastAsia="Times New Roman" w:hAnsi="Times New Roman"/>
                <w:sz w:val="14"/>
                <w:szCs w:val="14"/>
                <w:u w:val="single" w:color="auto"/>
                <w:color w:val="0000FF"/>
              </w:rPr>
            </w:pPr>
            <w:hyperlink r:id="rId72">
              <w:r>
                <w:rPr>
                  <w:rFonts w:ascii="Times New Roman" w:cs="Times New Roman" w:eastAsia="Times New Roman" w:hAnsi="Times New Roman"/>
                  <w:sz w:val="14"/>
                  <w:szCs w:val="14"/>
                  <w:u w:val="single" w:color="auto"/>
                  <w:color w:val="0000FF"/>
                </w:rPr>
                <w:t>3.1</w:t>
              </w:r>
            </w:hyperlink>
          </w:p>
        </w:tc>
        <w:tc>
          <w:tcPr>
            <w:tcW w:w="9520" w:type="dxa"/>
            <w:vAlign w:val="bottom"/>
            <w:gridSpan w:val="12"/>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Restated Certificate of Incorporation of the Registrant dated as of March 4, 2016, filed as Exhibit 3.1 of the Registrant’s Current Report on Form 8-K (Reg. No. 001-</w:t>
              </w:r>
            </w:hyperlink>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67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72">
              <w:r>
                <w:rPr>
                  <w:rFonts w:ascii="Times New Roman" w:cs="Times New Roman" w:eastAsia="Times New Roman" w:hAnsi="Times New Roman"/>
                  <w:sz w:val="13"/>
                  <w:szCs w:val="13"/>
                  <w:color w:val="0000FF"/>
                </w:rPr>
                <w:t>33913) as filed with the Securities and Exchange Commission on March 7, 2016, and incorporated herein by reference.</w:t>
              </w:r>
            </w:hyperlink>
          </w:p>
        </w:tc>
        <w:tc>
          <w:tcPr>
            <w:tcW w:w="264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center"/>
              <w:ind w:right="609"/>
              <w:spacing w:after="0"/>
              <w:rPr>
                <w:rFonts w:ascii="Times New Roman" w:cs="Times New Roman" w:eastAsia="Times New Roman" w:hAnsi="Times New Roman"/>
                <w:sz w:val="14"/>
                <w:szCs w:val="14"/>
                <w:u w:val="single" w:color="auto"/>
                <w:color w:val="0000FF"/>
              </w:rPr>
            </w:pPr>
            <w:hyperlink r:id="rId73">
              <w:r>
                <w:rPr>
                  <w:rFonts w:ascii="Times New Roman" w:cs="Times New Roman" w:eastAsia="Times New Roman" w:hAnsi="Times New Roman"/>
                  <w:sz w:val="14"/>
                  <w:szCs w:val="14"/>
                  <w:u w:val="single" w:color="auto"/>
                  <w:color w:val="0000FF"/>
                </w:rPr>
                <w:t>3.2</w:t>
              </w:r>
            </w:hyperlink>
          </w:p>
        </w:tc>
        <w:tc>
          <w:tcPr>
            <w:tcW w:w="9520" w:type="dxa"/>
            <w:vAlign w:val="bottom"/>
            <w:gridSpan w:val="12"/>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Fourth Amended and Restated Bylaws of the Registrant dated as of February 27, 2020, filed as Exhibit 3.2 of the Registrant's Quarterly Report on Form 10-Q (Reg.</w:t>
              </w:r>
            </w:hyperlink>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9420" w:type="dxa"/>
            <w:vAlign w:val="bottom"/>
            <w:tcBorders>
              <w:top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No. 001-33913) for the quarter ended January 31,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tcPr>
          <w:p>
            <w:pPr>
              <w:jc w:val="center"/>
              <w:ind w:right="609"/>
              <w:spacing w:after="0"/>
              <w:rPr>
                <w:rFonts w:ascii="Times New Roman" w:cs="Times New Roman" w:eastAsia="Times New Roman" w:hAnsi="Times New Roman"/>
                <w:sz w:val="14"/>
                <w:szCs w:val="14"/>
                <w:u w:val="single" w:color="auto"/>
                <w:color w:val="0000FF"/>
              </w:rPr>
            </w:pPr>
            <w:hyperlink r:id="rId74">
              <w:r>
                <w:rPr>
                  <w:rFonts w:ascii="Times New Roman" w:cs="Times New Roman" w:eastAsia="Times New Roman" w:hAnsi="Times New Roman"/>
                  <w:sz w:val="14"/>
                  <w:szCs w:val="14"/>
                  <w:u w:val="single" w:color="auto"/>
                  <w:color w:val="0000FF"/>
                </w:rPr>
                <w:t>4.1</w:t>
              </w:r>
            </w:hyperlink>
          </w:p>
        </w:tc>
        <w:tc>
          <w:tcPr>
            <w:tcW w:w="9520" w:type="dxa"/>
            <w:vAlign w:val="bottom"/>
            <w:gridSpan w:val="12"/>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Form of Registrant’s Common Stock certificate, filed as Exhibit 4.1 of Amendment No. 1 to the Registrant’s Registration Statement on Form 10 (Reg. No. 001-</w:t>
              </w:r>
            </w:hyperlink>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944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33913) as filed with the Securities and Exchange Commission on February 14, 2008,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jc w:val="center"/>
              <w:ind w:right="609"/>
              <w:spacing w:after="0"/>
              <w:rPr>
                <w:rFonts w:ascii="Times New Roman" w:cs="Times New Roman" w:eastAsia="Times New Roman" w:hAnsi="Times New Roman"/>
                <w:sz w:val="14"/>
                <w:szCs w:val="14"/>
                <w:u w:val="single" w:color="auto"/>
                <w:color w:val="0000FF"/>
              </w:rPr>
            </w:pPr>
            <w:hyperlink r:id="rId75">
              <w:r>
                <w:rPr>
                  <w:rFonts w:ascii="Times New Roman" w:cs="Times New Roman" w:eastAsia="Times New Roman" w:hAnsi="Times New Roman"/>
                  <w:sz w:val="14"/>
                  <w:szCs w:val="14"/>
                  <w:u w:val="single" w:color="auto"/>
                  <w:color w:val="0000FF"/>
                </w:rPr>
                <w:t>4.2</w:t>
              </w:r>
            </w:hyperlink>
          </w:p>
        </w:tc>
        <w:tc>
          <w:tcPr>
            <w:tcW w:w="5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260" w:type="dxa"/>
            <w:vAlign w:val="bottom"/>
            <w:vMerge w:val="continue"/>
          </w:tcPr>
          <w:p>
            <w:pPr>
              <w:spacing w:after="0"/>
              <w:rPr>
                <w:sz w:val="20"/>
                <w:szCs w:val="20"/>
                <w:color w:val="auto"/>
              </w:rPr>
            </w:pPr>
          </w:p>
        </w:tc>
        <w:tc>
          <w:tcPr>
            <w:tcW w:w="9520" w:type="dxa"/>
            <w:vAlign w:val="bottom"/>
            <w:gridSpan w:val="12"/>
            <w:vMerge w:val="restart"/>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Credit Agreement dated as of October 18, 2018, by and among the Company; the lenders party thereto; and Wells Fargo Bank, National Association, as Agent; filed</w:t>
              </w:r>
            </w:hyperlink>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9520" w:type="dxa"/>
            <w:vAlign w:val="bottom"/>
            <w:gridSpan w:val="1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946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as Exhibit 10.1 of the Registrant's Current Report on Form 8-K (Reg. No. 001-33913) as filed with the Securities and Exchange Commission on October 18, 2018,</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2120" w:type="dxa"/>
            <w:vAlign w:val="bottom"/>
            <w:tcBorders>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and incorporated herein by reference.</w:t>
              </w:r>
            </w:hyperlink>
          </w:p>
        </w:tc>
        <w:tc>
          <w:tcPr>
            <w:tcW w:w="736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260" w:type="dxa"/>
            <w:vAlign w:val="bottom"/>
          </w:tcPr>
          <w:p>
            <w:pPr>
              <w:jc w:val="center"/>
              <w:ind w:right="589"/>
              <w:spacing w:after="0"/>
              <w:rPr>
                <w:rFonts w:ascii="Times New Roman" w:cs="Times New Roman" w:eastAsia="Times New Roman" w:hAnsi="Times New Roman"/>
                <w:sz w:val="14"/>
                <w:szCs w:val="14"/>
                <w:u w:val="single" w:color="auto"/>
                <w:color w:val="0000FF"/>
                <w:w w:val="97"/>
              </w:rPr>
            </w:pPr>
            <w:hyperlink w:anchor="page48">
              <w:r>
                <w:rPr>
                  <w:rFonts w:ascii="Times New Roman" w:cs="Times New Roman" w:eastAsia="Times New Roman" w:hAnsi="Times New Roman"/>
                  <w:sz w:val="14"/>
                  <w:szCs w:val="14"/>
                  <w:u w:val="single" w:color="auto"/>
                  <w:color w:val="0000FF"/>
                  <w:w w:val="97"/>
                </w:rPr>
                <w:t>*4.3</w:t>
              </w:r>
            </w:hyperlink>
          </w:p>
        </w:tc>
        <w:tc>
          <w:tcPr>
            <w:tcW w:w="9520" w:type="dxa"/>
            <w:vAlign w:val="bottom"/>
            <w:gridSpan w:val="12"/>
          </w:tcPr>
          <w:p>
            <w:pPr>
              <w:spacing w:after="0"/>
              <w:rPr>
                <w:rFonts w:ascii="Times New Roman" w:cs="Times New Roman" w:eastAsia="Times New Roman" w:hAnsi="Times New Roman"/>
                <w:sz w:val="14"/>
                <w:szCs w:val="14"/>
                <w:color w:val="0000FF"/>
              </w:rPr>
            </w:pPr>
            <w:hyperlink w:anchor="page48">
              <w:r>
                <w:rPr>
                  <w:rFonts w:ascii="Times New Roman" w:cs="Times New Roman" w:eastAsia="Times New Roman" w:hAnsi="Times New Roman"/>
                  <w:sz w:val="14"/>
                  <w:szCs w:val="14"/>
                  <w:color w:val="0000FF"/>
                </w:rPr>
                <w:t>Amendment No. 1 to Amended and Restated Credit Agreement, by and among the Company; the lenders party thereto; and Wells Fargo Bank, National Association,</w:t>
              </w:r>
            </w:hyperlink>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950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w:anchor="page48">
              <w:r>
                <w:rPr>
                  <w:rFonts w:ascii="Times New Roman" w:cs="Times New Roman" w:eastAsia="Times New Roman" w:hAnsi="Times New Roman"/>
                  <w:sz w:val="13"/>
                  <w:szCs w:val="13"/>
                  <w:color w:val="0000FF"/>
                </w:rPr>
                <w:t xml:space="preserve">as Agent </w:t>
              </w:r>
              <w:r>
                <w:rPr>
                  <w:rFonts w:ascii="Times New Roman" w:cs="Times New Roman" w:eastAsia="Times New Roman" w:hAnsi="Times New Roman"/>
                  <w:sz w:val="13"/>
                  <w:szCs w:val="13"/>
                  <w:u w:val="single" w:color="auto"/>
                  <w:color w:val="0000FF"/>
                </w:rPr>
                <w:t>(portions redacted).</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260" w:type="dxa"/>
            <w:vAlign w:val="bottom"/>
          </w:tcPr>
          <w:p>
            <w:pPr>
              <w:jc w:val="center"/>
              <w:ind w:right="589"/>
              <w:spacing w:after="0"/>
              <w:rPr>
                <w:rFonts w:ascii="Times New Roman" w:cs="Times New Roman" w:eastAsia="Times New Roman" w:hAnsi="Times New Roman"/>
                <w:sz w:val="14"/>
                <w:szCs w:val="14"/>
                <w:u w:val="single" w:color="auto"/>
                <w:color w:val="0000FF"/>
              </w:rPr>
            </w:pPr>
            <w:hyperlink w:anchor="page60">
              <w:r>
                <w:rPr>
                  <w:rFonts w:ascii="Times New Roman" w:cs="Times New Roman" w:eastAsia="Times New Roman" w:hAnsi="Times New Roman"/>
                  <w:sz w:val="14"/>
                  <w:szCs w:val="14"/>
                  <w:u w:val="single" w:color="auto"/>
                  <w:color w:val="0000FF"/>
                </w:rPr>
                <w:t>*31.1</w:t>
              </w:r>
            </w:hyperlink>
          </w:p>
        </w:tc>
        <w:tc>
          <w:tcPr>
            <w:tcW w:w="9520" w:type="dxa"/>
            <w:vAlign w:val="bottom"/>
            <w:gridSpan w:val="12"/>
          </w:tcPr>
          <w:p>
            <w:pPr>
              <w:spacing w:after="0"/>
              <w:rPr>
                <w:rFonts w:ascii="Times New Roman" w:cs="Times New Roman" w:eastAsia="Times New Roman" w:hAnsi="Times New Roman"/>
                <w:sz w:val="14"/>
                <w:szCs w:val="14"/>
                <w:color w:val="0000FF"/>
              </w:rPr>
            </w:pPr>
            <w:hyperlink w:anchor="page60">
              <w:r>
                <w:rPr>
                  <w:rFonts w:ascii="Times New Roman" w:cs="Times New Roman" w:eastAsia="Times New Roman" w:hAnsi="Times New Roman"/>
                  <w:sz w:val="14"/>
                  <w:szCs w:val="14"/>
                  <w:u w:val="single" w:color="auto"/>
                  <w:color w:val="0000FF"/>
                </w:rPr>
                <w:t>Certification by chief executive officer pursuant to Rule 13a-14(a)/15d-14(a)</w:t>
              </w:r>
              <w:r>
                <w:rPr>
                  <w:rFonts w:ascii="Times New Roman" w:cs="Times New Roman" w:eastAsia="Times New Roman" w:hAnsi="Times New Roman"/>
                  <w:sz w:val="14"/>
                  <w:szCs w:val="14"/>
                  <w:color w:val="0000FF"/>
                </w:rPr>
                <w:t>.</w:t>
              </w:r>
            </w:hyperlink>
          </w:p>
        </w:tc>
        <w:tc>
          <w:tcPr>
            <w:tcW w:w="0" w:type="dxa"/>
            <w:vAlign w:val="bottom"/>
          </w:tcPr>
          <w:p>
            <w:pPr>
              <w:spacing w:after="0"/>
              <w:rPr>
                <w:sz w:val="1"/>
                <w:szCs w:val="1"/>
                <w:color w:val="auto"/>
              </w:rPr>
            </w:pPr>
          </w:p>
        </w:tc>
      </w:tr>
      <w:tr>
        <w:trPr>
          <w:trHeight w:val="223"/>
        </w:trPr>
        <w:tc>
          <w:tcPr>
            <w:tcW w:w="1260" w:type="dxa"/>
            <w:vAlign w:val="bottom"/>
          </w:tcPr>
          <w:p>
            <w:pPr>
              <w:jc w:val="center"/>
              <w:ind w:right="589"/>
              <w:spacing w:after="0"/>
              <w:rPr>
                <w:rFonts w:ascii="Times New Roman" w:cs="Times New Roman" w:eastAsia="Times New Roman" w:hAnsi="Times New Roman"/>
                <w:sz w:val="14"/>
                <w:szCs w:val="14"/>
                <w:u w:val="single" w:color="auto"/>
                <w:color w:val="0000FF"/>
              </w:rPr>
            </w:pPr>
            <w:hyperlink w:anchor="page61">
              <w:r>
                <w:rPr>
                  <w:rFonts w:ascii="Times New Roman" w:cs="Times New Roman" w:eastAsia="Times New Roman" w:hAnsi="Times New Roman"/>
                  <w:sz w:val="14"/>
                  <w:szCs w:val="14"/>
                  <w:u w:val="single" w:color="auto"/>
                  <w:color w:val="0000FF"/>
                </w:rPr>
                <w:t>*31.2</w:t>
              </w:r>
            </w:hyperlink>
          </w:p>
        </w:tc>
        <w:tc>
          <w:tcPr>
            <w:tcW w:w="9520" w:type="dxa"/>
            <w:vAlign w:val="bottom"/>
            <w:gridSpan w:val="12"/>
          </w:tcPr>
          <w:p>
            <w:pPr>
              <w:spacing w:after="0"/>
              <w:rPr>
                <w:rFonts w:ascii="Times New Roman" w:cs="Times New Roman" w:eastAsia="Times New Roman" w:hAnsi="Times New Roman"/>
                <w:sz w:val="14"/>
                <w:szCs w:val="14"/>
                <w:u w:val="single" w:color="auto"/>
                <w:color w:val="0000FF"/>
              </w:rPr>
            </w:pPr>
            <w:hyperlink w:anchor="page61">
              <w:r>
                <w:rPr>
                  <w:rFonts w:ascii="Times New Roman" w:cs="Times New Roman" w:eastAsia="Times New Roman" w:hAnsi="Times New Roman"/>
                  <w:sz w:val="14"/>
                  <w:szCs w:val="14"/>
                  <w:u w:val="single" w:color="auto"/>
                  <w:color w:val="0000FF"/>
                </w:rPr>
                <w:t>Certification by chief financial officer pursuant to Rule 13a-14(a)/15d-14(a).</w:t>
              </w:r>
            </w:hyperlink>
          </w:p>
        </w:tc>
        <w:tc>
          <w:tcPr>
            <w:tcW w:w="0" w:type="dxa"/>
            <w:vAlign w:val="bottom"/>
          </w:tcPr>
          <w:p>
            <w:pPr>
              <w:spacing w:after="0"/>
              <w:rPr>
                <w:sz w:val="1"/>
                <w:szCs w:val="1"/>
                <w:color w:val="auto"/>
              </w:rPr>
            </w:pPr>
          </w:p>
        </w:tc>
      </w:tr>
      <w:tr>
        <w:trPr>
          <w:trHeight w:val="223"/>
        </w:trPr>
        <w:tc>
          <w:tcPr>
            <w:tcW w:w="1260" w:type="dxa"/>
            <w:vAlign w:val="bottom"/>
          </w:tcPr>
          <w:p>
            <w:pPr>
              <w:jc w:val="center"/>
              <w:ind w:right="589"/>
              <w:spacing w:after="0"/>
              <w:rPr>
                <w:rFonts w:ascii="Times New Roman" w:cs="Times New Roman" w:eastAsia="Times New Roman" w:hAnsi="Times New Roman"/>
                <w:sz w:val="14"/>
                <w:szCs w:val="14"/>
                <w:u w:val="single" w:color="auto"/>
                <w:color w:val="0000FF"/>
              </w:rPr>
            </w:pPr>
            <w:hyperlink w:anchor="page62">
              <w:r>
                <w:rPr>
                  <w:rFonts w:ascii="Times New Roman" w:cs="Times New Roman" w:eastAsia="Times New Roman" w:hAnsi="Times New Roman"/>
                  <w:sz w:val="14"/>
                  <w:szCs w:val="14"/>
                  <w:u w:val="single" w:color="auto"/>
                  <w:color w:val="0000FF"/>
                </w:rPr>
                <w:t>*32.1</w:t>
              </w:r>
            </w:hyperlink>
          </w:p>
        </w:tc>
        <w:tc>
          <w:tcPr>
            <w:tcW w:w="9520" w:type="dxa"/>
            <w:vAlign w:val="bottom"/>
            <w:gridSpan w:val="12"/>
          </w:tcPr>
          <w:p>
            <w:pPr>
              <w:spacing w:after="0"/>
              <w:rPr>
                <w:rFonts w:ascii="Times New Roman" w:cs="Times New Roman" w:eastAsia="Times New Roman" w:hAnsi="Times New Roman"/>
                <w:sz w:val="14"/>
                <w:szCs w:val="14"/>
                <w:u w:val="single" w:color="auto"/>
                <w:color w:val="0000FF"/>
              </w:rPr>
            </w:pPr>
            <w:hyperlink w:anchor="page62">
              <w:r>
                <w:rPr>
                  <w:rFonts w:ascii="Times New Roman" w:cs="Times New Roman" w:eastAsia="Times New Roman" w:hAnsi="Times New Roman"/>
                  <w:sz w:val="14"/>
                  <w:szCs w:val="14"/>
                  <w:u w:val="single" w:color="auto"/>
                  <w:color w:val="0000FF"/>
                </w:rPr>
                <w:t>Certification pursuant to Section 906 of the Sarbanes-Oxley Act of 2002.</w:t>
              </w:r>
            </w:hyperlink>
          </w:p>
        </w:tc>
        <w:tc>
          <w:tcPr>
            <w:tcW w:w="0" w:type="dxa"/>
            <w:vAlign w:val="bottom"/>
          </w:tcPr>
          <w:p>
            <w:pPr>
              <w:spacing w:after="0"/>
              <w:rPr>
                <w:sz w:val="1"/>
                <w:szCs w:val="1"/>
                <w:color w:val="auto"/>
              </w:rPr>
            </w:pPr>
          </w:p>
        </w:tc>
      </w:tr>
      <w:tr>
        <w:trPr>
          <w:trHeight w:val="219"/>
        </w:trPr>
        <w:tc>
          <w:tcPr>
            <w:tcW w:w="1260" w:type="dxa"/>
            <w:vAlign w:val="bottom"/>
          </w:tcPr>
          <w:p>
            <w:pPr>
              <w:jc w:val="center"/>
              <w:ind w:right="609"/>
              <w:spacing w:after="0"/>
              <w:rPr>
                <w:sz w:val="20"/>
                <w:szCs w:val="20"/>
                <w:color w:val="auto"/>
              </w:rPr>
            </w:pPr>
            <w:r>
              <w:rPr>
                <w:rFonts w:ascii="Times New Roman" w:cs="Times New Roman" w:eastAsia="Times New Roman" w:hAnsi="Times New Roman"/>
                <w:sz w:val="14"/>
                <w:szCs w:val="14"/>
                <w:color w:val="auto"/>
                <w:w w:val="99"/>
              </w:rPr>
              <w:t>*101.INS</w:t>
            </w:r>
          </w:p>
        </w:tc>
        <w:tc>
          <w:tcPr>
            <w:tcW w:w="9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6"/>
                <w:szCs w:val="16"/>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document.</w:t>
            </w:r>
          </w:p>
        </w:tc>
        <w:tc>
          <w:tcPr>
            <w:tcW w:w="0" w:type="dxa"/>
            <w:vAlign w:val="bottom"/>
          </w:tcPr>
          <w:p>
            <w:pPr>
              <w:spacing w:after="0"/>
              <w:rPr>
                <w:sz w:val="1"/>
                <w:szCs w:val="1"/>
                <w:color w:val="auto"/>
              </w:rPr>
            </w:pPr>
          </w:p>
        </w:tc>
      </w:tr>
      <w:tr>
        <w:trPr>
          <w:trHeight w:val="255"/>
        </w:trPr>
        <w:tc>
          <w:tcPr>
            <w:tcW w:w="1260" w:type="dxa"/>
            <w:vAlign w:val="bottom"/>
          </w:tcPr>
          <w:p>
            <w:pPr>
              <w:jc w:val="center"/>
              <w:ind w:right="589"/>
              <w:spacing w:after="0"/>
              <w:rPr>
                <w:sz w:val="20"/>
                <w:szCs w:val="20"/>
                <w:color w:val="auto"/>
              </w:rPr>
            </w:pPr>
            <w:r>
              <w:rPr>
                <w:rFonts w:ascii="Times New Roman" w:cs="Times New Roman" w:eastAsia="Times New Roman" w:hAnsi="Times New Roman"/>
                <w:sz w:val="14"/>
                <w:szCs w:val="14"/>
                <w:color w:val="auto"/>
              </w:rPr>
              <w:t>*101.SCH</w:t>
            </w:r>
          </w:p>
        </w:tc>
        <w:tc>
          <w:tcPr>
            <w:tcW w:w="9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255"/>
        </w:trPr>
        <w:tc>
          <w:tcPr>
            <w:tcW w:w="1260" w:type="dxa"/>
            <w:vAlign w:val="bottom"/>
          </w:tcPr>
          <w:p>
            <w:pPr>
              <w:jc w:val="center"/>
              <w:ind w:right="589"/>
              <w:spacing w:after="0"/>
              <w:rPr>
                <w:sz w:val="20"/>
                <w:szCs w:val="20"/>
                <w:color w:val="auto"/>
              </w:rPr>
            </w:pPr>
            <w:r>
              <w:rPr>
                <w:rFonts w:ascii="Times New Roman" w:cs="Times New Roman" w:eastAsia="Times New Roman" w:hAnsi="Times New Roman"/>
                <w:sz w:val="14"/>
                <w:szCs w:val="14"/>
                <w:color w:val="auto"/>
              </w:rPr>
              <w:t>*101.CAL</w:t>
            </w:r>
          </w:p>
        </w:tc>
        <w:tc>
          <w:tcPr>
            <w:tcW w:w="9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55"/>
        </w:trPr>
        <w:tc>
          <w:tcPr>
            <w:tcW w:w="1260" w:type="dxa"/>
            <w:vAlign w:val="bottom"/>
          </w:tcPr>
          <w:p>
            <w:pPr>
              <w:jc w:val="center"/>
              <w:ind w:right="609"/>
              <w:spacing w:after="0"/>
              <w:rPr>
                <w:sz w:val="20"/>
                <w:szCs w:val="20"/>
                <w:color w:val="auto"/>
              </w:rPr>
            </w:pPr>
            <w:r>
              <w:rPr>
                <w:rFonts w:ascii="Times New Roman" w:cs="Times New Roman" w:eastAsia="Times New Roman" w:hAnsi="Times New Roman"/>
                <w:sz w:val="14"/>
                <w:szCs w:val="14"/>
                <w:color w:val="auto"/>
              </w:rPr>
              <w:t>*101.DEF</w:t>
            </w:r>
          </w:p>
        </w:tc>
        <w:tc>
          <w:tcPr>
            <w:tcW w:w="9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255"/>
        </w:trPr>
        <w:tc>
          <w:tcPr>
            <w:tcW w:w="1260" w:type="dxa"/>
            <w:vAlign w:val="bottom"/>
          </w:tcPr>
          <w:p>
            <w:pPr>
              <w:jc w:val="center"/>
              <w:ind w:right="589"/>
              <w:spacing w:after="0"/>
              <w:rPr>
                <w:sz w:val="20"/>
                <w:szCs w:val="20"/>
                <w:color w:val="auto"/>
              </w:rPr>
            </w:pPr>
            <w:r>
              <w:rPr>
                <w:rFonts w:ascii="Times New Roman" w:cs="Times New Roman" w:eastAsia="Times New Roman" w:hAnsi="Times New Roman"/>
                <w:sz w:val="14"/>
                <w:szCs w:val="14"/>
                <w:color w:val="auto"/>
              </w:rPr>
              <w:t>*101.LAB</w:t>
            </w:r>
          </w:p>
        </w:tc>
        <w:tc>
          <w:tcPr>
            <w:tcW w:w="9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255"/>
        </w:trPr>
        <w:tc>
          <w:tcPr>
            <w:tcW w:w="1260" w:type="dxa"/>
            <w:vAlign w:val="bottom"/>
          </w:tcPr>
          <w:p>
            <w:pPr>
              <w:jc w:val="center"/>
              <w:ind w:right="609"/>
              <w:spacing w:after="0"/>
              <w:rPr>
                <w:sz w:val="20"/>
                <w:szCs w:val="20"/>
                <w:color w:val="auto"/>
              </w:rPr>
            </w:pPr>
            <w:r>
              <w:rPr>
                <w:rFonts w:ascii="Times New Roman" w:cs="Times New Roman" w:eastAsia="Times New Roman" w:hAnsi="Times New Roman"/>
                <w:sz w:val="14"/>
                <w:szCs w:val="14"/>
                <w:color w:val="auto"/>
              </w:rPr>
              <w:t>*101.PRE</w:t>
            </w:r>
          </w:p>
        </w:tc>
        <w:tc>
          <w:tcPr>
            <w:tcW w:w="9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ectPr>
          <w:pgSz w:w="11900" w:h="16838" w:orient="portrait"/>
          <w:cols w:equalWidth="0" w:num="1">
            <w:col w:w="11260"/>
          </w:cols>
          <w:pgMar w:left="300" w:top="125" w:right="339" w:bottom="1440" w:gutter="0" w:footer="0" w:header="0"/>
        </w:sectPr>
      </w:pPr>
    </w:p>
    <w:bookmarkStart w:id="47" w:name="page48"/>
    <w:bookmarkEnd w:id="47"/>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064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64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64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64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05650" cy="906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070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0565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71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05650" cy="9071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57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05650" cy="9057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51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05650" cy="9051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57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05650" cy="9057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9457055</wp:posOffset>
            </wp:positionV>
            <wp:extent cx="710565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057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05650" cy="9057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70" w:lineRule="auto"/>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George L. Wilson, certify that:</w:t>
      </w:r>
    </w:p>
    <w:p>
      <w:pPr>
        <w:spacing w:after="0" w:line="125" w:lineRule="exact"/>
        <w:rPr>
          <w:sz w:val="20"/>
          <w:szCs w:val="20"/>
          <w:color w:val="auto"/>
        </w:rPr>
      </w:pPr>
    </w:p>
    <w:p>
      <w:pPr>
        <w:ind w:left="760" w:hanging="246"/>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Quanex Building Products Corporation (the “Registrant”);</w:t>
      </w:r>
    </w:p>
    <w:p>
      <w:pPr>
        <w:spacing w:after="0" w:line="125"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jc w:val="both"/>
        <w:ind w:left="1280" w:hanging="257"/>
        <w:spacing w:after="0" w:line="270" w:lineRule="auto"/>
        <w:tabs>
          <w:tab w:leader="none" w:pos="1272"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4"/>
          <w:szCs w:val="14"/>
          <w:color w:val="auto"/>
        </w:rPr>
      </w:pPr>
    </w:p>
    <w:p>
      <w:pPr>
        <w:jc w:val="both"/>
        <w:ind w:left="1280" w:hanging="257"/>
        <w:spacing w:after="0" w:line="270" w:lineRule="auto"/>
        <w:tabs>
          <w:tab w:leader="none" w:pos="12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4"/>
          <w:szCs w:val="14"/>
          <w:color w:val="auto"/>
        </w:rPr>
      </w:pPr>
    </w:p>
    <w:p>
      <w:pPr>
        <w:ind w:left="1280" w:hanging="257"/>
        <w:spacing w:after="0" w:line="287" w:lineRule="auto"/>
        <w:tabs>
          <w:tab w:leader="none" w:pos="1272"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jc w:val="both"/>
        <w:ind w:left="1280" w:hanging="257"/>
        <w:spacing w:after="0" w:line="270" w:lineRule="auto"/>
        <w:tabs>
          <w:tab w:leader="none" w:pos="12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1280" w:hanging="257"/>
        <w:spacing w:after="0" w:line="287" w:lineRule="auto"/>
        <w:tabs>
          <w:tab w:leader="none" w:pos="1272"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4, 2020</w:t>
      </w: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44938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4493895" cy="6985"/>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George L. Wilson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Scott M. Zuehlke, certify that:</w:t>
      </w:r>
    </w:p>
    <w:p>
      <w:pPr>
        <w:spacing w:after="0" w:line="125" w:lineRule="exact"/>
        <w:rPr>
          <w:sz w:val="20"/>
          <w:szCs w:val="20"/>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Quanex Building Products Corporation (the “Registrant”);</w:t>
      </w:r>
    </w:p>
    <w:p>
      <w:pPr>
        <w:spacing w:after="0" w:line="125"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jc w:val="both"/>
        <w:ind w:left="1280" w:hanging="257"/>
        <w:spacing w:after="0" w:line="270" w:lineRule="auto"/>
        <w:tabs>
          <w:tab w:leader="none" w:pos="127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4"/>
          <w:szCs w:val="14"/>
          <w:color w:val="auto"/>
        </w:rPr>
      </w:pPr>
    </w:p>
    <w:p>
      <w:pPr>
        <w:jc w:val="both"/>
        <w:ind w:left="1280" w:hanging="257"/>
        <w:spacing w:after="0" w:line="270" w:lineRule="auto"/>
        <w:tabs>
          <w:tab w:leader="none" w:pos="12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4"/>
          <w:szCs w:val="14"/>
          <w:color w:val="auto"/>
        </w:rPr>
      </w:pPr>
    </w:p>
    <w:p>
      <w:pPr>
        <w:ind w:left="1280" w:hanging="257"/>
        <w:spacing w:after="0" w:line="287" w:lineRule="auto"/>
        <w:tabs>
          <w:tab w:leader="none" w:pos="127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jc w:val="both"/>
        <w:ind w:left="1280" w:hanging="257"/>
        <w:spacing w:after="0" w:line="270" w:lineRule="auto"/>
        <w:tabs>
          <w:tab w:leader="none" w:pos="12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1280" w:hanging="257"/>
        <w:spacing w:after="0" w:line="287" w:lineRule="auto"/>
        <w:tabs>
          <w:tab w:leader="none" w:pos="127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4, 2020</w:t>
      </w: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44938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4493895" cy="6985"/>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Scott M. Zuehlke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Senior Vice President - Chief Financial Officer and Treasurer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728"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906 of the Sarbanes-Oxley Act of 2002</w:t>
      </w:r>
    </w:p>
    <w:p>
      <w:pPr>
        <w:spacing w:after="0" w:line="11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hereby certify that the accompanying Quarterly Report on Form 10-Q of Quanex Building Products Corporation for the quarter ended July 31, 2020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4,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Scott M. Zuehlke</w:t>
            </w:r>
          </w:p>
        </w:tc>
      </w:tr>
      <w:tr>
        <w:trPr>
          <w:trHeight w:val="22"/>
        </w:trPr>
        <w:tc>
          <w:tcPr>
            <w:tcW w:w="5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r>
      <w:tr>
        <w:trPr>
          <w:trHeight w:val="129"/>
        </w:trPr>
        <w:tc>
          <w:tcPr>
            <w:tcW w:w="54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George L. Wilson</w:t>
            </w:r>
          </w:p>
        </w:tc>
        <w:tc>
          <w:tcPr>
            <w:tcW w:w="440" w:type="dxa"/>
            <w:vAlign w:val="bottom"/>
          </w:tcPr>
          <w:p>
            <w:pPr>
              <w:spacing w:after="0"/>
              <w:rPr>
                <w:sz w:val="11"/>
                <w:szCs w:val="11"/>
                <w:color w:val="auto"/>
              </w:rPr>
            </w:pPr>
          </w:p>
        </w:tc>
        <w:tc>
          <w:tcPr>
            <w:tcW w:w="54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Scott M. Zuehlke</w:t>
            </w:r>
          </w:p>
        </w:tc>
      </w:tr>
      <w:tr>
        <w:trPr>
          <w:trHeight w:val="138"/>
        </w:trPr>
        <w:tc>
          <w:tcPr>
            <w:tcW w:w="588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54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i w:val="1"/>
                <w:iCs w:val="1"/>
                <w:color w:val="auto"/>
                <w:w w:val="99"/>
              </w:rPr>
              <w:t>Senior Vice President—Chief Financial Officer and Treasurer</w:t>
            </w:r>
          </w:p>
        </w:tc>
      </w:tr>
      <w:tr>
        <w:trPr>
          <w:trHeight w:val="186"/>
        </w:trPr>
        <w:tc>
          <w:tcPr>
            <w:tcW w:w="5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72" Type="http://schemas.openxmlformats.org/officeDocument/2006/relationships/hyperlink" Target="http://www.sec.gov/Archives/edgar/data/1423221/000119312516495257/d156158dex31.htm" TargetMode="External"/><Relationship Id="rId73" Type="http://schemas.openxmlformats.org/officeDocument/2006/relationships/hyperlink" Target="http://www.sec.gov/Archives/edgar/data/1423221/000142322120000005/nx01312020ex32.htm" TargetMode="External"/><Relationship Id="rId74" Type="http://schemas.openxmlformats.org/officeDocument/2006/relationships/hyperlink" Target="http://www.sec.gov/Archives/edgar/data/1423221/000095012908000988/h52992a1exv4w1.htm" TargetMode="External"/><Relationship Id="rId75" Type="http://schemas.openxmlformats.org/officeDocument/2006/relationships/hyperlink" Target="http://www.sec.gov/Archives/edgar/data/1423221/000119312518302063/d6372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2020-09-04T15:18:41Z</dcterms:created>
  <dcterms:modified xsi:type="dcterms:W3CDTF">2020-09-04T15:18:41Z</dcterms:modified>
</cp:coreProperties>
</file>