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5" w:lineRule="exact"/>
        <w:rPr>
          <w:sz w:val="24"/>
          <w:szCs w:val="24"/>
          <w:color w:val="auto"/>
        </w:rPr>
      </w:pPr>
    </w:p>
    <w:p>
      <w:pPr>
        <w:ind w:left="2460"/>
        <w:spacing w:after="0"/>
        <w:tabs>
          <w:tab w:leader="none" w:pos="80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26-1561397</w:t>
      </w:r>
    </w:p>
    <w:p>
      <w:pPr>
        <w:spacing w:after="0" w:line="28" w:lineRule="exact"/>
        <w:rPr>
          <w:sz w:val="24"/>
          <w:szCs w:val="24"/>
          <w:color w:val="auto"/>
        </w:rPr>
      </w:pPr>
    </w:p>
    <w:p>
      <w:pPr>
        <w:ind w:left="190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86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NX</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1" w:right="339" w:bottom="1440" w:gutter="0" w:footer="0" w:header="0"/>
        </w:sectPr>
      </w:pPr>
    </w:p>
    <w:p>
      <w:pPr>
        <w:spacing w:after="0" w:line="54"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7"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36" w:lineRule="exact"/>
        <w:rPr>
          <w:sz w:val="24"/>
          <w:szCs w:val="24"/>
          <w:color w:val="auto"/>
        </w:rPr>
      </w:pPr>
    </w:p>
    <w:p>
      <w:pPr>
        <w:sectPr>
          <w:pgSz w:w="11900" w:h="16838" w:orient="portrait"/>
          <w:cols w:equalWidth="0" w:num="2">
            <w:col w:w="10740" w:space="140"/>
            <w:col w:w="360"/>
          </w:cols>
          <w:pgMar w:left="320" w:top="781"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May 31, 2024 was 33,112,593.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 April 30, 2024 and October 31, 2023</w:t>
            </w:r>
          </w:p>
        </w:tc>
        <w:tc>
          <w:tcPr>
            <w:tcW w:w="410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1000" w:type="dxa"/>
            <w:vAlign w:val="bottom"/>
            <w:shd w:val="clear" w:color="auto" w:fill="0E32E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April 30,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and Six Months Ended April 30,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April 30,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 Six Months Ended April 30, 2024 and 2023</w:t>
            </w:r>
          </w:p>
        </w:tc>
        <w:tc>
          <w:tcPr>
            <w:tcW w:w="222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22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 1A:</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2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40" w:type="dxa"/>
            <w:vAlign w:val="bottom"/>
            <w:gridSpan w:val="4"/>
          </w:tcPr>
          <w:p>
            <w:pPr>
              <w:jc w:val="right"/>
              <w:ind w:right="591"/>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7"/>
                <w:szCs w:val="17"/>
                <w:color w:val="auto"/>
              </w:rPr>
            </w:pPr>
          </w:p>
        </w:tc>
      </w:tr>
      <w:tr>
        <w:trPr>
          <w:trHeight w:val="236"/>
        </w:trPr>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60" w:type="dxa"/>
            <w:vAlign w:val="bottom"/>
            <w:gridSpan w:val="6"/>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58,474</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$198 and $843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97,311</w:t>
            </w: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97,959</w:t>
            </w:r>
          </w:p>
        </w:tc>
      </w:tr>
      <w:tr>
        <w:trPr>
          <w:trHeight w:val="229"/>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r>
      <w:tr>
        <w:trPr>
          <w:trHeight w:val="230"/>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23"/>
        </w:trPr>
        <w:tc>
          <w:tcPr>
            <w:tcW w:w="8220" w:type="dxa"/>
            <w:vAlign w:val="bottom"/>
            <w:gridSpan w:val="10"/>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263,503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273,600</w:t>
            </w:r>
          </w:p>
        </w:tc>
      </w:tr>
      <w:tr>
        <w:trPr>
          <w:trHeight w:val="230"/>
        </w:trPr>
        <w:tc>
          <w:tcPr>
            <w:tcW w:w="4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$381,366</w:t>
            </w:r>
          </w:p>
        </w:tc>
        <w:tc>
          <w:tcPr>
            <w:tcW w:w="2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$368,763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252,857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250,664</w:t>
            </w: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230"/>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74,115</w:t>
            </w:r>
          </w:p>
        </w:tc>
      </w:tr>
      <w:tr>
        <w:trPr>
          <w:trHeight w:val="229"/>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23"/>
        </w:trPr>
        <w:tc>
          <w:tcPr>
            <w:tcW w:w="8220" w:type="dxa"/>
            <w:vAlign w:val="bottom"/>
            <w:gridSpan w:val="10"/>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837,213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831,143</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gridSpan w:val="10"/>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74,371</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50,319</w:t>
            </w: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0"/>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3"/>
        </w:trPr>
        <w:tc>
          <w:tcPr>
            <w:tcW w:w="8220" w:type="dxa"/>
            <w:vAlign w:val="bottom"/>
            <w:gridSpan w:val="10"/>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134,663</w:t>
            </w:r>
          </w:p>
        </w:tc>
      </w:tr>
      <w:tr>
        <w:trPr>
          <w:trHeight w:val="230"/>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30"/>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w:t>
            </w:r>
          </w:p>
        </w:tc>
      </w:tr>
      <w:tr>
        <w:trPr>
          <w:trHeight w:val="229"/>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r>
      <w:tr>
        <w:trPr>
          <w:trHeight w:val="230"/>
        </w:trPr>
        <w:tc>
          <w:tcPr>
            <w:tcW w:w="8220" w:type="dxa"/>
            <w:vAlign w:val="bottom"/>
            <w:tcBorders>
              <w:bottom w:val="single" w:sz="8" w:color="CCEEFF"/>
            </w:tcBorders>
            <w:gridSpan w:val="10"/>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3"/>
        </w:trPr>
        <w:tc>
          <w:tcPr>
            <w:tcW w:w="8220" w:type="dxa"/>
            <w:vAlign w:val="bottom"/>
            <w:gridSpan w:val="10"/>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285,589</w:t>
            </w:r>
          </w:p>
        </w:tc>
      </w:tr>
      <w:tr>
        <w:trPr>
          <w:trHeight w:val="230"/>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400" w:type="dxa"/>
            <w:vAlign w:val="bottom"/>
            <w:gridSpan w:val="6"/>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w w:val="97"/>
              </w:rPr>
              <w:t>Common stock, $0.01 par value, shares authorized 125,000,000; issued</w:t>
            </w:r>
          </w:p>
        </w:tc>
        <w:tc>
          <w:tcPr>
            <w:tcW w:w="9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37,127,024</w:t>
            </w:r>
          </w:p>
        </w:tc>
        <w:tc>
          <w:tcPr>
            <w:tcW w:w="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and</w:t>
            </w:r>
          </w:p>
        </w:tc>
        <w:tc>
          <w:tcPr>
            <w:tcW w:w="1520" w:type="dxa"/>
            <w:vAlign w:val="bottom"/>
            <w:shd w:val="clear" w:color="auto" w:fill="CCEEFF"/>
          </w:tcPr>
          <w:p>
            <w:pPr>
              <w:jc w:val="right"/>
              <w:ind w:right="630"/>
              <w:spacing w:after="0" w:line="189" w:lineRule="exact"/>
              <w:rPr>
                <w:sz w:val="20"/>
                <w:szCs w:val="20"/>
                <w:color w:val="auto"/>
              </w:rPr>
            </w:pPr>
            <w:r>
              <w:rPr>
                <w:rFonts w:ascii="Times New Roman" w:cs="Times New Roman" w:eastAsia="Times New Roman" w:hAnsi="Times New Roman"/>
                <w:sz w:val="18"/>
                <w:szCs w:val="18"/>
                <w:color w:val="auto"/>
                <w:w w:val="91"/>
                <w:shd w:val="clear" w:color="auto" w:fill="CCEEFF"/>
              </w:rPr>
              <w:t>37,176,958,</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22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respectively; outstanding</w:t>
            </w:r>
          </w:p>
        </w:tc>
        <w:tc>
          <w:tcPr>
            <w:tcW w:w="8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shd w:val="clear" w:color="auto" w:fill="CCEEFF"/>
              </w:rPr>
              <w:t>33,111,593</w:t>
            </w:r>
          </w:p>
        </w:tc>
        <w:tc>
          <w:tcPr>
            <w:tcW w:w="240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and 33,011,119, respectively</w:t>
            </w: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371</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251,576</w:t>
            </w: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(38,141)</w:t>
            </w:r>
          </w:p>
        </w:tc>
      </w:tr>
      <w:tr>
        <w:trPr>
          <w:trHeight w:val="230"/>
        </w:trPr>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4,015,431</w:t>
            </w:r>
          </w:p>
        </w:tc>
        <w:tc>
          <w:tcPr>
            <w:tcW w:w="5060" w:type="dxa"/>
            <w:vAlign w:val="bottom"/>
            <w:gridSpan w:val="6"/>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rPr>
              <w:t>and 4,165,839 shares,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r>
      <w:tr>
        <w:trPr>
          <w:trHeight w:val="223"/>
        </w:trPr>
        <w:tc>
          <w:tcPr>
            <w:tcW w:w="8220" w:type="dxa"/>
            <w:vAlign w:val="bottom"/>
            <w:tcBorders>
              <w:bottom w:val="single" w:sz="8" w:color="CCEEFF"/>
            </w:tcBorders>
            <w:gridSpan w:val="10"/>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545,554</w:t>
            </w:r>
          </w:p>
        </w:tc>
      </w:tr>
      <w:tr>
        <w:trPr>
          <w:trHeight w:val="248"/>
        </w:trPr>
        <w:tc>
          <w:tcPr>
            <w:tcW w:w="8220" w:type="dxa"/>
            <w:vAlign w:val="bottom"/>
            <w:tcBorders>
              <w:bottom w:val="single" w:sz="8" w:color="CCEEFF"/>
            </w:tcBorders>
            <w:gridSpan w:val="10"/>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837,213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831,143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7"/>
                <w:szCs w:val="17"/>
                <w:color w:val="auto"/>
              </w:rPr>
            </w:pPr>
          </w:p>
        </w:tc>
        <w:tc>
          <w:tcPr>
            <w:tcW w:w="17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535,451</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416,521</w:t>
            </w: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64,115</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33,739</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32,905</w:t>
            </w:r>
          </w:p>
        </w:tc>
      </w:tr>
      <w:tr>
        <w:trPr>
          <w:trHeight w:val="229"/>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33,070</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4"/>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60" w:right="2280"/>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3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15,377</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21,512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(2,571)</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w:t>
            </w:r>
          </w:p>
        </w:tc>
      </w:tr>
      <w:tr>
        <w:trPr>
          <w:trHeight w:val="223"/>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(expense) income</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(2,571)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12,806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24,594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14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inventory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income taxes receivable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deferred pension benefits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acquisition</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(91,302)</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10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54,313</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56,149</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43,496</w:t>
            </w:r>
          </w:p>
        </w:tc>
      </w:tr>
      <w:tr>
        <w:trPr>
          <w:trHeight w:val="20"/>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Balance at April 30, 2024</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249,502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425,650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(34,631)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(74,770)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April 30, 2023</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Quanex Building Products Corporation is a global, publicly traded manufacturing company primarily serving original equipment manufacturers (OEMs) in the fenestration, cabinetry, solar, refrigeration and outdoor products markets.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have organized our business into three reportable business segments. For additional discussion of our reportable business segments, see Note 12,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2023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2023.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contracts with multiple performance obligations, the standalone selling price of each product is generally readily observable.</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and six months ended April 30, 2024 and 2023 into groupings by segment which we believe depicts how the nature, amount, timing and uncertainty of our revenues and cash flows are affected by economic factors. For further details regarding our results by segment, refer to Note 12, “Segment Information.”</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Fenestration: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231,280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23"/>
        </w:trPr>
        <w:tc>
          <w:tcPr>
            <w:tcW w:w="5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309,955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European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w:t>
            </w:r>
          </w:p>
        </w:tc>
      </w:tr>
      <w:tr>
        <w:trPr>
          <w:trHeight w:val="223"/>
        </w:trPr>
        <w:tc>
          <w:tcPr>
            <w:tcW w:w="5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Cabinet Components: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98,575</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3"/>
        </w:trPr>
        <w:tc>
          <w:tcPr>
            <w:tcW w:w="5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include transactions with a customer which is a related party with one of our non-employee directors for the six months ended April 30, 2024 and 2023 of approximately $0.5 million and $0.6 million, respectively.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at April 30, 2024 and October 31, 2023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3"/>
                <w:szCs w:val="13"/>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42,195</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97,959</w:t>
            </w: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years and twenty years. Original terms for equipment-related leases, primarily manufacturing equipment and vehicles, are generally between one year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presents the lease-related assets and liabilities recorded on the balance sheet at April 30, 2024 and October 31, 2023 (in thousands):</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2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4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3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0"/>
        </w:trPr>
        <w:tc>
          <w:tcPr>
            <w:tcW w:w="1360" w:type="dxa"/>
            <w:vAlign w:val="bottom"/>
            <w:vMerge w:val="continue"/>
          </w:tcPr>
          <w:p>
            <w:pPr>
              <w:spacing w:after="0"/>
              <w:rPr>
                <w:sz w:val="16"/>
                <w:szCs w:val="16"/>
                <w:color w:val="auto"/>
              </w:rPr>
            </w:pPr>
          </w:p>
        </w:tc>
        <w:tc>
          <w:tcPr>
            <w:tcW w:w="4220" w:type="dxa"/>
            <w:vAlign w:val="bottom"/>
            <w:vMerge w:val="continue"/>
          </w:tcPr>
          <w:p>
            <w:pPr>
              <w:spacing w:after="0"/>
              <w:rPr>
                <w:sz w:val="16"/>
                <w:szCs w:val="16"/>
                <w:color w:val="auto"/>
              </w:rPr>
            </w:pPr>
          </w:p>
        </w:tc>
        <w:tc>
          <w:tcPr>
            <w:tcW w:w="36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708914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80"/>
        <w:spacing w:after="0" w:line="394" w:lineRule="auto"/>
        <w:rPr>
          <w:sz w:val="20"/>
          <w:szCs w:val="20"/>
          <w:color w:val="auto"/>
        </w:rPr>
      </w:pPr>
      <w:r>
        <w:rPr>
          <w:rFonts w:ascii="Times New Roman" w:cs="Times New Roman" w:eastAsia="Times New Roman" w:hAnsi="Times New Roman"/>
          <w:sz w:val="18"/>
          <w:szCs w:val="18"/>
          <w:color w:val="auto"/>
        </w:rPr>
        <w:t>Operating lease assets Finance lease assets</w:t>
      </w:r>
    </w:p>
    <w:p>
      <w:pPr>
        <w:ind w:left="60"/>
        <w:spacing w:after="0"/>
        <w:rPr>
          <w:sz w:val="20"/>
          <w:szCs w:val="20"/>
          <w:color w:val="auto"/>
        </w:rPr>
      </w:pPr>
      <w:r>
        <w:rPr>
          <w:rFonts w:ascii="Times New Roman" w:cs="Times New Roman" w:eastAsia="Times New Roman" w:hAnsi="Times New Roman"/>
          <w:sz w:val="18"/>
          <w:szCs w:val="18"/>
          <w:b w:val="1"/>
          <w:bCs w:val="1"/>
          <w:color w:val="auto"/>
        </w:rPr>
        <w:t>Total lease assets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65,019</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194"/>
        </w:trPr>
        <w:tc>
          <w:tcPr>
            <w:tcW w:w="50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Property, plant and equipment (less accumulated depreciation of</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2"/>
                <w:shd w:val="clear" w:color="auto" w:fill="CCEEFF"/>
              </w:rPr>
              <w:t>$8,528</w:t>
            </w:r>
          </w:p>
        </w:tc>
        <w:tc>
          <w:tcPr>
            <w:tcW w:w="45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and $6,691)</w:t>
            </w:r>
          </w:p>
        </w:tc>
        <w:tc>
          <w:tcPr>
            <w:tcW w:w="6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60,135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58,496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125,154</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105,116</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-454025</wp:posOffset>
            </wp:positionV>
            <wp:extent cx="708914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266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80" w:space="580"/>
            <w:col w:w="888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196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9"/>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w:t>
            </w:r>
          </w:p>
        </w:tc>
      </w:tr>
      <w:tr>
        <w:trPr>
          <w:trHeight w:val="229"/>
        </w:trPr>
        <w:tc>
          <w:tcPr>
            <w:tcW w:w="1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52,309</w:t>
            </w:r>
          </w:p>
        </w:tc>
      </w:tr>
      <w:tr>
        <w:trPr>
          <w:trHeight w:val="24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three and six months ended April 30, 2024 and 2023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80" w:type="dxa"/>
            <w:vAlign w:val="bottom"/>
          </w:tcPr>
          <w:p>
            <w:pPr>
              <w:spacing w:after="0"/>
              <w:rPr>
                <w:sz w:val="17"/>
                <w:szCs w:val="17"/>
                <w:color w:val="auto"/>
              </w:rPr>
            </w:pPr>
          </w:p>
        </w:tc>
      </w:tr>
      <w:tr>
        <w:trPr>
          <w:trHeight w:val="23"/>
        </w:trPr>
        <w:tc>
          <w:tcPr>
            <w:tcW w:w="4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5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03"/>
        </w:trPr>
        <w:tc>
          <w:tcPr>
            <w:tcW w:w="45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3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0"/>
        </w:trPr>
        <w:tc>
          <w:tcPr>
            <w:tcW w:w="4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six months ended April 30, 2024 and 2023 was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16"/>
                <w:szCs w:val="16"/>
                <w:color w:val="auto"/>
              </w:rPr>
            </w:pPr>
          </w:p>
        </w:tc>
      </w:tr>
      <w:tr>
        <w:trPr>
          <w:trHeight w:val="203"/>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0" w:type="dxa"/>
            <w:vAlign w:val="bottom"/>
          </w:tcPr>
          <w:p>
            <w:pPr>
              <w:spacing w:after="0"/>
              <w:rPr>
                <w:sz w:val="17"/>
                <w:szCs w:val="17"/>
                <w:color w:val="auto"/>
              </w:rPr>
            </w:pPr>
          </w:p>
        </w:tc>
      </w:tr>
      <w:tr>
        <w:trPr>
          <w:trHeight w:val="23"/>
        </w:trPr>
        <w:tc>
          <w:tcPr>
            <w:tcW w:w="7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70"/>
        </w:trPr>
        <w:tc>
          <w:tcPr>
            <w:tcW w:w="7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03"/>
        </w:trPr>
        <w:tc>
          <w:tcPr>
            <w:tcW w:w="74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25,206</w:t>
            </w:r>
          </w:p>
        </w:tc>
      </w:tr>
    </w:tbl>
    <w:p>
      <w:pPr>
        <w:spacing w:after="0" w:line="247"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weighted-average remaining lease terms and weighted-average discount rates for the Company's leases as of April 30, 2024 and October 31, 2023:</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2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486"/>
        </w:trPr>
        <w:tc>
          <w:tcPr>
            <w:tcW w:w="20" w:type="dxa"/>
            <w:vAlign w:val="bottom"/>
          </w:tcPr>
          <w:p>
            <w:pPr>
              <w:spacing w:after="0"/>
              <w:rPr>
                <w:sz w:val="24"/>
                <w:szCs w:val="24"/>
                <w:color w:val="auto"/>
              </w:rPr>
            </w:pPr>
          </w:p>
        </w:tc>
        <w:tc>
          <w:tcPr>
            <w:tcW w:w="7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April 30, 2024 (in thousands):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0" w:type="dxa"/>
            <w:vAlign w:val="bottom"/>
          </w:tcPr>
          <w:p>
            <w:pPr>
              <w:spacing w:after="0"/>
              <w:rPr>
                <w:sz w:val="2"/>
                <w:szCs w:val="2"/>
                <w:color w:val="auto"/>
              </w:rPr>
            </w:pPr>
          </w:p>
        </w:tc>
        <w:tc>
          <w:tcPr>
            <w:tcW w:w="73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six months)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r>
      <w:tr>
        <w:trPr>
          <w:trHeight w:val="229"/>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48,531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58,406</w:t>
            </w:r>
          </w:p>
        </w:tc>
      </w:tr>
      <w:tr>
        <w:trPr>
          <w:trHeight w:val="223"/>
        </w:trPr>
        <w:tc>
          <w:tcPr>
            <w:tcW w:w="2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81,321</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20,278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26,104</w:t>
            </w: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55,217</w:t>
            </w: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six months ended April 30, 2024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9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9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29"/>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our last annual test date, August 31, 2023, we evaluated the recoverability of goodwill at each of our five reporting units with goodwill balances and determined that our goodwill was not impaired. We evaluated for indicators of impairment for all reporting units during the three and six months ended April 30, 2024 and determined that there were no triggering events. For additional discussion of change in reporting units and a summary of the change in the carrying amount of goodwill by segment, see Note 12, “Segment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April 30, 2024 and October 31,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8"/>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158,629</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42,879</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170,937</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164,160</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and six months ended April 30, 2024 of $3.0 million and $6.2 million, respectively, and $3.0 million and $6.1 million for the comparable prior year periods.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April 30, 2024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9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and Finance Lease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 at April 30, 2024 and October 31, 2023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16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54,181</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w:t>
            </w:r>
          </w:p>
        </w:tc>
      </w:tr>
      <w:tr>
        <w:trPr>
          <w:trHeight w:val="22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1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This $325.0 million revolving credit facility has a five-year term, maturing on July 6, 2027, and replaces our previous credit facility. Our previous credit facility is more fully described in our Annual Report on Form 10-K for the fiscal year ended October 31, 2023.</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payments for the Credit Facility are calculated, at our election and depending upon the Consolidated Net Leverage Ratio, at a Base Rate (as defined within the Credit Facility) plus an applicable margin or at the same rate as Risk-Free Rate (“RFR”) Loans for domestic borrowings or Eurocurrency Rate Loans plus an applicable margin. In addition, we are subject to commitment fees for the unused portion of the Credit Facility.</w:t>
      </w:r>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Pricing Level</w:t>
      </w:r>
    </w:p>
    <w:p>
      <w:pPr>
        <w:spacing w:after="0" w:line="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Eurocurrency Rate Loans and RFR</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0.150%</w:t>
            </w:r>
          </w:p>
        </w:tc>
        <w:tc>
          <w:tcPr>
            <w:tcW w:w="14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40" w:type="dxa"/>
            <w:vAlign w:val="bottom"/>
          </w:tcPr>
          <w:p>
            <w:pPr>
              <w:spacing w:after="0"/>
              <w:rPr>
                <w:sz w:val="20"/>
                <w:szCs w:val="20"/>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31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0.175%</w:t>
            </w:r>
          </w:p>
        </w:tc>
        <w:tc>
          <w:tcPr>
            <w:tcW w:w="1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0" w:type="dxa"/>
            <w:vAlign w:val="bottom"/>
          </w:tcPr>
          <w:p>
            <w:pPr>
              <w:spacing w:after="0"/>
              <w:rPr>
                <w:sz w:val="1"/>
                <w:szCs w:val="1"/>
                <w:color w:val="auto"/>
              </w:rPr>
            </w:pPr>
          </w:p>
        </w:tc>
      </w:tr>
      <w:tr>
        <w:trPr>
          <w:trHeight w:val="41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0.200%</w:t>
            </w:r>
          </w:p>
        </w:tc>
        <w:tc>
          <w:tcPr>
            <w:tcW w:w="1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0" w:type="dxa"/>
            <w:vAlign w:val="bottom"/>
          </w:tcPr>
          <w:p>
            <w:pPr>
              <w:spacing w:after="0"/>
              <w:rPr>
                <w:sz w:val="1"/>
                <w:szCs w:val="1"/>
                <w:color w:val="auto"/>
              </w:rPr>
            </w:pPr>
          </w:p>
        </w:tc>
      </w:tr>
      <w:tr>
        <w:trPr>
          <w:trHeight w:val="324"/>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0.250%</w:t>
            </w:r>
          </w:p>
        </w:tc>
        <w:tc>
          <w:tcPr>
            <w:tcW w:w="1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-410845</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-831215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940" w:space="240"/>
            <w:col w:w="3600" w:space="400"/>
            <w:col w:w="6060"/>
          </w:cols>
          <w:pgMar w:left="320" w:top="121" w:right="339" w:bottom="1440" w:gutter="0" w:footer="0" w:header="0"/>
          <w:type w:val="continuous"/>
        </w:sectPr>
      </w:pPr>
    </w:p>
    <w:p>
      <w:pPr>
        <w:spacing w:after="0" w:line="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Credit Agreement.</w:t>
      </w:r>
    </w:p>
    <w:p>
      <w:pPr>
        <w:spacing w:after="0" w:line="10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April 30, 2024, we had no borrowings outstanding under the Credit Facility, unamortized debt issuance costs of $1.0 million, $3.7 million of outstanding letters of credit and $55.2 million outstanding primarily under finance leases and other</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We had $321.3 million available for use under the Credit Facility at April 30, 2024. Our weighted-average borrowing rate for borrowings outstanding during the six months ended April 30, 2024 and 2023 was 6.69% and 5.71%, respectively. We were in compliance with our debt covenants as of April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Retirement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covered certain of our employees in the U.S. During the year ended October 31. 2023, we terminated our defined contribution plan and settled the obligation during the three months ended October 31, 2023. The net periodic pension (benefit) cost for this plan for the three and six months ended April 30, 2024 and 2023 was as follows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6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9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reimbursement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(903)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7"/>
              </w:rPr>
              <w:t>(903)</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have a supplemental benefit plan covering certain executive officers and key employees and a non-qualified deferred compensation plan covering members of the Board of Directors and certain key employees. As of April 30, 2024 and October 31, 2023, our liability under the supplemental benefit plan was approximately $2.0 million. During the year ended October 31, 2023, the supplemental benefit plan was terminated. Benefits associated with this plan will be distributed in June 2024 in accordance with Internal Revenue Service regulations. As of April 30, 2024 and October 31, 2023, the liability associated with the deferred compensation plan was approximately $4.7 million and $3.9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increases or decreases in valuation allowances on deferred tax assets. Our estimated annual effective tax rates from continuing operations for the six months ended April 30, 2024 and 2023 were 21.6% and 19.7%, respectively. The difference between our estimated annual effective income tax rate and the U.S. federal statutory rate of 21% principally results from discrete tax items, U.S. state taxes, a non-U.S. tax rate differential and other permanent differences. The primary discrete items affecting the 2024 effective rate were the benefit of $0.4 million related to the vesting or exercise of equity-based compensation awards, and a charge of $0.6 million related to the true up of the deferred tax rate. The primary discrete item affecting the 2023 effective rate was a benefit of $0.2 million related to the rate change on deferred taxes.</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April 30, 2024, our liability for uncertain tax positions (UTP) of $0.3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$0.6 million as of April 30, 2024 and October 31, 2023,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2024.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2024, and October 31, 2023 (Level 2 measurement).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performance share awards are marked-to-market on a quarterly basis during a three-year vesting period based on market data (Level 2 measurement). For further information, refer to Note 11, “Stock-Based Compensation - Performance Share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six months ended April 30, 2024 is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30, 2024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six months ended April 30, 2024 and 2023 was $1.4 million and $0.9 million, respectively. As of April 30, 2024, total unrecognized compensation cost related to unamortized restricted stock awards was $3.5 million. We expect to recognize this expense over the remaining weighted-average vesting period of 2.1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April 30,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April 30, 2024</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79,250</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April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 total intrinsic value of stock options exercised during the six months ended April 30, 2024 and 2023 was $0.4 million and less than $0.1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April 30, 2024 and 2023, non-employee directors received 26,215 and 38,704 restricted stock units, respectively, at a weighted-average grant date fair value of $26.70 per share and $20.67 per share, respectively, which vested immediately. During the six months ended April 30, 2023, 21,774 restricted stock units, which were awarded to key employees, vested. During the six months ended April 30, 2024, we paid $0.6 million and $0.4 million for the comparable prior year to settle vested restricted stock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3"/>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December 2023, 122,400 shares vested pursuant to the December 2020 grant, which were settled with a cash payment of $3.4 million.</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April 30, 2024, 49,228 performance restricted stock units vested.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April 30, 2024, we have deemed 65,669 shares related to the December 2021 grant of performance restricted stock units as probable to vest.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six months ended April 30, 2024 and 2023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six months ended April 30, 2024.</w:t>
      </w:r>
    </w:p>
    <w:p>
      <w:pPr>
        <w:sectPr>
          <w:pgSz w:w="11900" w:h="16838" w:orient="portrait"/>
          <w:cols w:equalWidth="0" w:num="1">
            <w:col w:w="11240"/>
          </w:cols>
          <w:pgMar w:left="320" w:top="121" w:right="339" w:bottom="1440" w:gutter="0" w:footer="0" w:header="0"/>
        </w:sectPr>
      </w:pP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treasury stock activity during the six months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Restricted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Performance restricted stock units vested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April 30, 2024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April 30, 2024</w:t>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4,165,839</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(72,900)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(49,228)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(28,280)</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4,015,431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43180</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8860" w:space="720"/>
            <w:col w:w="1660"/>
          </w:cols>
          <w:pgMar w:left="320" w:top="121" w:right="339" w:bottom="1440" w:gutter="0" w:footer="0" w:header="0"/>
          <w:type w:val="continuous"/>
        </w:sect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Additionally,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six month period ended April 30, 2024 was $6.9 million and $14.2 million, respectively, and $6.1 million and $10.8 million for the comparable prior year periods.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Segment information for the three and six months ended April 30, 2024 and 2023, and total assets as of April 30, 2024 and October 31, 2023 are summarized in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April 30, 2023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307,769</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106,020</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94,215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505,356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April 30, 2024</w:t>
            </w:r>
          </w:p>
        </w:tc>
        <w:tc>
          <w:tcPr>
            <w:tcW w:w="288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392,108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154,833</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50,995</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October 31, 2023</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379,286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158,824</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831,143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six months ended April 30, 2024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63,704</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5,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income as reported above to net income for the three and six months ended April 30,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(4,314)</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15,377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and six months ended April 30, 2024 and 2023 were calculated as follows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3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33,103</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April 30,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Six Months Ended April 30, 2024</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 April 30,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and six months ended April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New Accounting Guidance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April 22, 2024, we announced that we reached an agreement with Tyman plc, a company incorporated in England and Wales (LSE:TYMN) (“Tyman”) on the terms of a cash and share offer (the “Tyman Acquisition”), under which we will acquire the entire issued and to be issued share capital of Tyman for approximately $1.1 billion (based on the each of the £/US$ exchange rate and the Company’s last reported trading price as of April 19, 2024) in enterprise value. Under the terms of the Tyman Acquisition, Tyman shareholders will be entitled to elect to receive: (i) 240 pence in cash and 0.05715 of a share of Quanex common stock, par value of $0.01 per share, to be newly issued in connection with the Tyman Acquisition (the “New Quanex Shares”) for each Tyman ordinary share (such shares, the “Tyman Shares” and such option, the “Main Offer”) or (ii) under an alternative to the Main Offer, New Quanex Shares at an exchange ratio of 0.14288 of a New Quanex Share for each Tyman Share (such option, the “Capped All-Share Alternative”), provided that the Capped All-Share Alternative shall be made available for up to 25% of the Tyman Shares outstanding. The Tyman Acquisition will be implemented by means of a court-sanctioned scheme of arrangement under the UK Companies Act 2006, as amended (the” Scheme”). The Tyman Acquisition has been unanimously approved by the Boards of Directors of both Quanex and Tyman and is currently expected to close in the second half of calendar year 2024, subject to the satisfaction of customary closing conditions, including shareholder approval from both Tyman and Quanex shareholders and regulatory approvals.</w:t>
      </w:r>
    </w:p>
    <w:p>
      <w:pPr>
        <w:spacing w:after="0" w:line="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2, 2024, we entered into a deal contingent foreign exchange forward currency contract to manage our exposure to foreign currency exchange rate fluctuations against the USD and GBP for approximately $605 million of the $1.1 billion purchase consideration for the proposed Tyman Acquisition. This forward contract will expire if the Tyman Acquisition terminates or does not close by March 18, 2025. This forward contract will be accounted for as a derivative and will be classified in other current assets and other current liabilities on the consolidated balance sheet, with changes in fair value recognized in the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include “forward-looking” statements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33" w:lineRule="exact"/>
        <w:rPr>
          <w:sz w:val="20"/>
          <w:szCs w:val="20"/>
          <w:color w:val="auto"/>
        </w:rPr>
      </w:pPr>
    </w:p>
    <w:p>
      <w:pPr>
        <w:ind w:left="660" w:hanging="166"/>
        <w:spacing w:after="0" w:line="27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18"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uncertainty as to whether or when the Tyman Acquisition may be completed, if at all;</w:t>
      </w:r>
    </w:p>
    <w:p>
      <w:pPr>
        <w:spacing w:after="0" w:line="40" w:lineRule="exact"/>
        <w:rPr>
          <w:rFonts w:ascii="Arial" w:cs="Arial" w:eastAsia="Arial" w:hAnsi="Arial"/>
          <w:sz w:val="20"/>
          <w:szCs w:val="20"/>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and other expectations with respect to Tyman;</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fiscal year ended October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April 30, 2024, and for the three and six months ended April 30, 2024 and 2023, included elsewhere herein. For additional information pertaining to our business, including risk factors which should be considered before investing in our common stock, refer to our Annual Report on Form 10-K for the fiscal year ended October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four operating segments,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April 22, 2024, we announced that we reached an agreement with Tyman plc, a company incorporated in England and Wales (LSE:TYMN) (“Tyman”) on the terms of a cash and share offer (the “Tyman Acquisition”), under which we will acquire the entire issued and to be issued share capital of Tyman for approximately $1.1 billion (based on the each of the £/US$ exchange rate and the Company’s last reported trading price as of April 19, 2024) in enterprise value. Under the terms of the Tyman Acquisition, Tyman shareholders will be entitled to elect to receive: (i) 240 pence in cash and 0.05715 of a share of Quanex common stock, par value of $0.01 per share, to be newly issued in connection with the Tyman Acquisition (the “New Quanex Shares”) for each Tyman ordinary share (such shares, the “Tyman Shares” and such option, the “Main Offer”) or (ii) under an alternative to the Main Offer, New Quanex Shares at an exchange ratio of 0.14288 of a New Quanex Share for each Tyman Share (such option, the “Capped All-Share Alternative”), provided, that, the Capped All-Share Alternative shall be made available for up to 25% of the Tyman Shares outstanding. The Tyman Acquisition will be implemented by means of a court-sanctioned scheme of arrangement under the UK Companies Act 2006, as amended (the” Scheme”). The Tyman Acquisition has been unanimously approved by the Boards of Directors of both Quanex and Tyman and is currently expected to close in the second half of calendar year 2024, subject to the satisfaction of customary closing conditions, including shareholder approval from both Tyman and Quanex shareholders and regulatory approvals.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2, 2024, we entered into a deal contingent foreign exchange forward currency contract to manage our exposure to foreign currency exchange rate fluctuations against the USD and GBP for approximately $605 million of the $1.1 billion purchase consideration for the proposed Tyman Acquisition. This forward contract will expire if the Tyman Acquisition terminates or does not close by March 18, 2025. This forward contract will be accounted for as a derivative and will be classified in other current assets and other current liabilities on the consolidated balance sheet, with changes in fair value recognized in the consolidated income statement.</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Tyman’s family of brands includes highly regarded names that boast wide customer bases and offer product solutions in the window and door hardware, commercial access solutions, and seals and extrusions vertical segments for residential and commercial users across its North America, UK and Ireland, and International divisions.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 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 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In April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xml:space="preserve">, the NAHB forecasted calendar-year housing starts to be approximately 1.4 million in the 2024 and 2025 calendar-years. In May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the Ducker forecast indicated that total window shipments are expected to decrease 1.4% in calendar-year 2024 and increase 2.9% in 2025.</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impact of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even the political landscape in the U.S. These and other macro-economic factors have impacted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2024 Compared to Three Months Ended April 30,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7"/>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273,535</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7"/>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159,774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156,975</w:t>
            </w: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2,799</w:t>
            </w: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122,261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13,730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5,218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140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18,565</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3,270</w:t>
            </w:r>
          </w:p>
        </w:tc>
        <w:tc>
          <w:tcPr>
            <w:tcW w:w="14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$2.8 million, or 2%, for the three months ended April 30,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$2.6 million increase in volumes due to a return to normal seasonality and an increase in price and raw material indexes of $0.2 million.</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$0.2 million, for the three months ended April 30, 2024 compared to the same period in 2023. Cost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deflation of raw materials during the period.</w:t>
      </w:r>
    </w:p>
    <w:p>
      <w:pPr>
        <w:spacing w:after="0" w:line="77"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decreased $0.4 million, or 3%,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2024 compared to the same period in 2023 primarily due to decreases in professional fees year-over-year.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56,583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63,763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4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$7.2 million, or 11%, for the three months ended April 30,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$6.1 million decrease in volumes largely due to softer market demand and $1.7 million of base price decreases partially offset by $0.6 million benefit from foreign currency rate change.</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$4.8 million, or 12%, for the three months ended April 30, 2024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primarily due to lower volumes and the deflation of the price of raw materials, partially offset by foreign currency rate changes during the period.</w:t>
      </w:r>
    </w:p>
    <w:p>
      <w:pPr>
        <w:spacing w:after="0" w:line="9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decreased $0.6 million, or 7%, for the three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The decrease is primarily due to a decrease in professional fees, partially offset by an increase in labor costs, year-over-year.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51,078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53,518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$2.4 million, or 5%, for the three months ended April 30,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$1.6 million decrease in price and raw material surcharges and a $0.8 million decrease in volumes due to softer market demand driven by weaker consumer confidence.</w:t>
      </w:r>
    </w:p>
    <w:p>
      <w:pPr>
        <w:spacing w:after="0" w:line="106"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$1.1 million, or 3%, for the three months ended April 30, 2024 compared to the same period in 2023.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primarily due to lumber price deflation and lower volumes during the period.</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decreased $0.9 million, or 15%,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2024 compared to the same period in 2023 primarily due to a decrease in labor costs and professional fees year-over-year.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20" w:type="dxa"/>
            <w:vAlign w:val="bottom"/>
            <w:tcBorders>
              <w:bottom w:val="single" w:sz="8" w:color="auto"/>
            </w:tcBorders>
          </w:tcPr>
          <w:p>
            <w:pPr>
              <w:spacing w:after="0"/>
              <w:rPr>
                <w:sz w:val="18"/>
                <w:szCs w:val="18"/>
                <w:color w:val="auto"/>
              </w:rPr>
            </w:pPr>
          </w:p>
        </w:tc>
      </w:tr>
      <w:tr>
        <w:trPr>
          <w:trHeight w:val="211"/>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71%</w:t>
            </w:r>
          </w:p>
        </w:tc>
      </w:tr>
      <w:tr>
        <w:trPr>
          <w:trHeight w:val="230"/>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118%</w:t>
            </w:r>
          </w:p>
        </w:tc>
      </w:tr>
      <w:tr>
        <w:trPr>
          <w:trHeight w:val="22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4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(764)%</w:t>
            </w:r>
          </w:p>
        </w:tc>
      </w:tr>
      <w:tr>
        <w:trPr>
          <w:trHeight w:val="230"/>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97"/>
              </w:rPr>
              <w:t>(33)%</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42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(1,364)%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April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increased $9.2 million, or 764%,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2024 compared to the same period in 2023. This increase is primarily attributable to a $7.0 million increase in transaction and advisory fees, higher compensation expense including the valuations of our stock-based compensation awards, and an increase in medical claims expense during the three months ended April 30, 2024 as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52"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$1.3 million for the three months ended April 30, 2024 compared to the same period in 2023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lower borrowings outstanding during the three months ended April 30, 2024 as compared to the prior year period.</w:t>
      </w:r>
    </w:p>
    <w:p>
      <w:pPr>
        <w:spacing w:after="0" w:line="105"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$4.3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$19.7 million for the three months ended April 30,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21.9%,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$5.6 million on pre-tax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color w:val="auto"/>
        </w:rPr>
        <w:t xml:space="preserve"> of $27.1 million for the three months ended April 30, 2023, an effective rate of 20.5%. The increase in the effective tax rate year-over-year was primarily driven by an increase in non-deductible permanent differences.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April 30, 2024 Compared to Six Months Ended April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7"/>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535,451</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7"/>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307,769</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309,955</w:t>
            </w: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(2,186)</w:t>
            </w:r>
          </w:p>
        </w:tc>
        <w:tc>
          <w:tcPr>
            <w:tcW w:w="140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240,629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(6,560)</w:t>
            </w: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29,640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2,187</w:t>
            </w:r>
          </w:p>
        </w:tc>
        <w:tc>
          <w:tcPr>
            <w:tcW w:w="14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10,693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c>
          <w:tcPr>
            <w:tcW w:w="1400" w:type="dxa"/>
            <w:vAlign w:val="bottom"/>
            <w:tcBorders>
              <w:bottom w:val="single" w:sz="8" w:color="CCEEFF"/>
            </w:tcBorders>
          </w:tcPr>
          <w:p>
            <w:pPr>
              <w:jc w:val="right"/>
              <w:ind w:right="4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26,807</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1,789</w:t>
            </w:r>
          </w:p>
        </w:tc>
        <w:tc>
          <w:tcPr>
            <w:tcW w:w="140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$2.2 million, or 1%, for the six months ended April 30,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$1.7 million decrease in volumes mainly due to softer market demand and a return to lower volumes in the fall and early winter months due a return of normal seasonality and a $0.5 million decrease in price and raw material indexes.</w:t>
      </w:r>
    </w:p>
    <w:p>
      <w:pPr>
        <w:spacing w:after="0" w:line="99"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$6.6 million, or 3%, for the six months ended April 30, 2024 as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including labor, decreased primarily due to lower volumes and deflation of raw materials during the period.</w:t>
      </w:r>
    </w:p>
    <w:p>
      <w:pPr>
        <w:spacing w:after="0" w:line="9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$2.2 million, or 8%,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the same period in 2023. The increase is primarily due to increases in labor costs, partially offset by a decrease in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106,020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118,715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78,155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15,957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4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$12.7 million, or 11%, comparing the six months ended April 30, 2024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$12.8 million decrease in volumes largely due to softer market demand and $1.5 million of base price decreases, partially offset by $1.6 million of foreign currency rate change.</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$10.8 million, or 14%, for the six months ended April 30, 2024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primarily due to a decrease in volumes, deflation in the price of raw materials and foreign currency impacts.</w:t>
      </w:r>
    </w:p>
    <w:p>
      <w:pPr>
        <w:spacing w:after="0" w:line="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decreased $0.3 million, or 2%,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The decrease is primarily due to a decrease in professional fees, partially offset by an increase in labor costs, year-over-year.</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94,215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108,192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91,787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4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918%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$14.0 million, or 13%, for the six months ended April 30,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$7.2 million decrease in volumes due to softer market demand driven by weaker consumer confidence and a $6.8 million decrease in raw material surcharges.</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$10.4 million, or 11%, for the six months ended April 30, 2024 compared with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lower volumes year-over-year.</w:t>
      </w:r>
    </w:p>
    <w:p>
      <w:pPr>
        <w:spacing w:after="0" w:line="77"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decreased $0.7 million, or 6%,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This decrease is primarily due to a decrease in labor costs and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20" w:type="dxa"/>
            <w:vAlign w:val="bottom"/>
            <w:tcBorders>
              <w:bottom w:val="single" w:sz="8" w:color="auto"/>
            </w:tcBorders>
          </w:tcPr>
          <w:p>
            <w:pPr>
              <w:spacing w:after="0"/>
              <w:rPr>
                <w:sz w:val="18"/>
                <w:szCs w:val="18"/>
                <w:color w:val="auto"/>
              </w:rPr>
            </w:pPr>
          </w:p>
        </w:tc>
      </w:tr>
      <w:tr>
        <w:trPr>
          <w:trHeight w:val="193"/>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81"/>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4"/>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88%</w:t>
            </w:r>
          </w:p>
        </w:tc>
      </w:tr>
      <w:tr>
        <w:trPr>
          <w:trHeight w:val="229"/>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180%</w:t>
            </w:r>
          </w:p>
        </w:tc>
      </w:tr>
      <w:tr>
        <w:trPr>
          <w:trHeight w:val="23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18%</w:t>
            </w:r>
          </w:p>
        </w:tc>
      </w:tr>
      <w:tr>
        <w:trPr>
          <w:trHeight w:val="229"/>
        </w:trPr>
        <w:tc>
          <w:tcPr>
            <w:tcW w:w="5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2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7"/>
              </w:rPr>
              <w:t>(38)%</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42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six months ended April 30, 2024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51" w:lineRule="exact"/>
        <w:rPr>
          <w:sz w:val="20"/>
          <w:szCs w:val="20"/>
          <w:color w:val="auto"/>
        </w:rPr>
      </w:pPr>
    </w:p>
    <w:p>
      <w:pPr>
        <w:ind w:left="460"/>
        <w:spacing w:after="0" w:line="356"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Selling, general and administrative expenses increased $1.8 million, or 18%, for the six months ended April 30,</w:t>
      </w:r>
    </w:p>
    <w:p>
      <w:pPr>
        <w:jc w:val="both"/>
        <w:spacing w:after="0" w:line="260" w:lineRule="auto"/>
        <w:rPr>
          <w:sz w:val="20"/>
          <w:szCs w:val="20"/>
          <w:color w:val="auto"/>
        </w:rPr>
      </w:pPr>
      <w:r>
        <w:rPr>
          <w:rFonts w:ascii="Times New Roman" w:cs="Times New Roman" w:eastAsia="Times New Roman" w:hAnsi="Times New Roman"/>
          <w:sz w:val="18"/>
          <w:szCs w:val="18"/>
          <w:color w:val="auto"/>
        </w:rPr>
        <w:t>2024 compared to the same period in 2023. This increase is primarily attributable to an increase in transaction and advisory fees and an increase in medical claims expense during the six months ended April 30, 2024 as compared to the prior year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92" w:lineRule="exact"/>
        <w:rPr>
          <w:sz w:val="20"/>
          <w:szCs w:val="20"/>
          <w:color w:val="auto"/>
        </w:rPr>
      </w:pPr>
    </w:p>
    <w:p>
      <w:pPr>
        <w:jc w:val="both"/>
        <w:ind w:right="20"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$2.5 million for the six months ended April 30, 2024 compared to the same period in 2023 primarily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lower borrowings outstanding during the six months ended April 30, 2024 as compared to the prior year period.</w:t>
      </w:r>
    </w:p>
    <w:p>
      <w:pPr>
        <w:spacing w:after="0" w:line="105"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$6.0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$27.6 million for the six months ended April 30,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21.6%,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$6.0 million on a pre-tax income of $29.4 million for the six months ended April 30, 2023, an effective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of 20.4%. The increase in the effective tax rate year-over-year was primarily driven by an increase in non-deductible permanent differences.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a $325.0 million revolving credit facility (the Credit Facility) that matures in 2027 (5-year term) and requires interest payments calculated at a variable market rate depending upon our Consolidated Net Leverage Ratio. The applicable rate during the six months ended April 30, 2024 was RFR Rate + 1.25%. Our cost of capital could increase depending upon the Consolidated Net Leverage Ratio at the end of any given quarter. In addition to the Consolidated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$25.0 million per year). We are amortizing deferred financing fees of $1.0 million straight-line over the remaining term of the facility. For further details of the Credit Facility, refer to Note 6, “Debt and Finance Lease Obligations” to the accompanying unaudited condensed consolidated financial statements contained elsewhere herein.</w:t>
      </w:r>
    </w:p>
    <w:p>
      <w:pPr>
        <w:spacing w:after="0" w:line="12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April 30, 2024, we had $56.1 million of cash and equivalents, zero outstanding under the Credit Facility, $3.7 million of outstanding letters of credit and $55.2 million outstanding under finance leases and other debt. Of the $55.2 million outstanding under finance leases and other debt, $51.0 million relates to real estate leases. We had $321.3 million available for use under the Credit Facility at April 30, 2024.</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21, 2024, the Company and certain financial institution parties entered into the Interim Facility Agreement, pursuant to which Wells Fargo Bank, National Association, as interim facility agent and interim security agent, and a syndicate of lenders agreed to provide the Company with a $750 million term loan interim facility (“Interim Facility”) and the Commitment Letter, pursuant to which certain financial institution parties agreed to provide to the Company, subject to the execution of definitive financing documents, certain term loan and revolving facilities on the terms and conditions set forth in the Commitment Letter (collectively, the “Facilities”) in order to, among other things, finance the cash consideration payable by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 connection with the Tyman Acquisition. The availability of the borrowings under the Facilities (or, in the event that the commitments under the Facilities are not funded on the closing date of the Tyman Acquisition, the Interim Facility Agreement) are subject to the satisfaction of certain customary conditions for financings of this nature. The Interim Facility Agreement contains, and any definitive financing documentation for the Facilities will contain, customary representations and warranties, events of default and covenants for transactions of this type. To the extent any borrowings are made under the Interim Facility Agreement, such loans will mature on the date falling 90 days after the date of first drawdown under the Interim Facility Agreement.</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will be made in open market transactions or privately negotiated transactions, subject to market conditions, applicable legal requirements and other relevant factors. During the three months ended April 30, 2024, we did not purchase any shares under this program and as of April 30, 2024 we had a maximum of $62.8 million available to purchase shares under this program. The program does not have an expiration date or a limit on the number of shares that may be purchased.</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repatriated $15.3 million and $21.2 million of foreign cash during the six months ended April 30, 2024 and 2023,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six months ended April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2"/>
          </w:tcPr>
          <w:p>
            <w:pPr>
              <w:jc w:val="center"/>
              <w:ind w:left="502"/>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960" w:type="dxa"/>
            <w:vAlign w:val="bottom"/>
          </w:tcPr>
          <w:p>
            <w:pPr>
              <w:spacing w:after="0"/>
              <w:rPr>
                <w:sz w:val="15"/>
                <w:szCs w:val="15"/>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62"/>
              <w:spacing w:after="0"/>
              <w:rPr>
                <w:sz w:val="20"/>
                <w:szCs w:val="20"/>
                <w:color w:val="auto"/>
              </w:rPr>
            </w:pPr>
            <w:r>
              <w:rPr>
                <w:rFonts w:ascii="Times New Roman" w:cs="Times New Roman" w:eastAsia="Times New Roman" w:hAnsi="Times New Roman"/>
                <w:sz w:val="18"/>
                <w:szCs w:val="18"/>
                <w:color w:val="auto"/>
              </w:rPr>
              <w:t>36,945</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42"/>
              <w:spacing w:after="0"/>
              <w:rPr>
                <w:sz w:val="20"/>
                <w:szCs w:val="20"/>
                <w:color w:val="auto"/>
              </w:rPr>
            </w:pPr>
            <w:r>
              <w:rPr>
                <w:rFonts w:ascii="Times New Roman" w:cs="Times New Roman" w:eastAsia="Times New Roman" w:hAnsi="Times New Roman"/>
                <w:sz w:val="18"/>
                <w:szCs w:val="18"/>
                <w:color w:val="auto"/>
                <w:w w:val="97"/>
              </w:rPr>
              <w:t>(17,090)</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42"/>
              <w:spacing w:after="0"/>
              <w:rPr>
                <w:sz w:val="20"/>
                <w:szCs w:val="20"/>
                <w:color w:val="auto"/>
              </w:rPr>
            </w:pPr>
            <w:r>
              <w:rPr>
                <w:rFonts w:ascii="Times New Roman" w:cs="Times New Roman" w:eastAsia="Times New Roman" w:hAnsi="Times New Roman"/>
                <w:sz w:val="18"/>
                <w:szCs w:val="18"/>
                <w:color w:val="auto"/>
                <w:w w:val="97"/>
              </w:rPr>
              <w:t>(21,887)</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54,313</w:t>
            </w:r>
          </w:p>
        </w:tc>
      </w:tr>
    </w:tbl>
    <w:p>
      <w:pPr>
        <w:spacing w:after="0" w:line="18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provided by operating activities decreased $1.5 million for the six months ended April 30, 2024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April 30, 2023. The decrease in operating cash flow is primarily due to a decrease in net income year-over-year partially offset by favorable changes to net working capital.</w:t>
      </w:r>
    </w:p>
    <w:p>
      <w:pPr>
        <w:spacing w:after="0" w:line="65"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decreased $89.2 million for the six months ended April 30, 2024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primarily as a result of no business acquisitions in 2024 compared to the acquisition of LMI in 2023.</w:t>
      </w:r>
    </w:p>
    <w:p>
      <w:pPr>
        <w:spacing w:after="0" w:line="91"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was $21.9 million for the six months ended April 30, 2024 compared to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of $54.3 million for the same period in 2023. The change in investing cash flows is primarily as a result of a decrease in net borrowings of long-term debt. During the six months ended April 30, 2023, $91.3 million of the borrowings of long-term debt were related to the acquisition of LMI.</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six months ended April 30, 2024 and 2023, we repatriated $15.3 million and $21.2 million, respectively, of foreign earnings from our foreign locations. We maintain cash balances in foreign countries which total $16.0 million as of April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have not changed materially during the six months ended April 30,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guidance is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debt bears interest at variable rates and accordingly is sensitive to changes in interest rates. This sensitivity is impacted by the amount of borrowings under our credit facilities, and amounts outstanding under finance leases.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as of April 30, 2024 or October 31, 2023.</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2, 2024, we entered into a deal contingent foreign exchange forward currency contracts to manage our exposure to foreign currency exchange rate fluctuations against the USD and GBP for approximately $605 million of the $1.1 billion purchase consideration for the proposed Tyman Acquisition. These forward contracts expire if the Tyman Acquisition terminates or does not close by March 18,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2024. Based on that evaluation, the Chief Executive Officer and Chief Financial Officer concluded that, as of April 30, 2024, the disclosure controls and procedures are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fiscal year ended October 31, 2023 (Part I, Item 1A) other than as discussed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Quanex may fail to consummate the Tyman Acquisition or may not consummate the Tyman Acquisition on the terms or timing described herein.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It is currently anticipated that the Tyman Acquisition will be consummated in the second half of calendar year 2024. Completion of the Tyman Acquisition is subject to, among other things, the receipt of applicable shareholder approvals by both Tyman shareholders and Quanex stockholders, regulatory approvals and other customary closing conditions for the acquisition of a UK public company. As a result, the possible timing and likelihood of completion are uncertain, and, accordingly, there can be no assurance that the Tyman Acquisition will be completed on the expected terms, on the anticipated schedule, or at all.</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the Tyman Acquisition is not consummated, we could be subject to a number of risks that may adversely affect our business and the market price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common stock, including:</w:t>
      </w:r>
    </w:p>
    <w:p>
      <w:pPr>
        <w:spacing w:after="0" w:line="99"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costs relating to the Tyman Acquisition such as legal, accounting, financial advisory and printing fees, whether or not the Tyman Acquisition is consummated;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our management to matters relating to the Tyman Acquisition could otherwise have been devoted to pursuing other beneficial opportunities;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realize the benefits we expect to realize from consummating the Tyman Acquisition.</w:t>
      </w:r>
    </w:p>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the Tyman Acquisition will be consummated or that there will not be a delay in the consummation of the Tyman Acquisition. If the Tyman Acquisition is not consummated, our reputation in our industry and in the investment community could be damaged, and the market price of our common stock could decline.</w:t>
      </w:r>
    </w:p>
    <w:p>
      <w:pPr>
        <w:spacing w:after="0" w:line="6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realize the anticipated benefits and operating synergies expected from the Tyman Acquisition, which could adversely affect our business, financial condition and operating results.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the Tyman Acquisition will depend, in significant part, on our ability to successfully integrate Tyman and realize the anticipated strategic benefits and synergies from the combination. We believe that the addition of Tyman represents an attractive opportunity to create a leading comprehensive solutions provider in the building products industry, leveraging the complementary product portfolios of trusted brands and expanded engineering, design and manufacturing capabilities of both groups to deliver value to consumers, shareholders and other stakeholders. Achieving these goals requires effective integration of the Tyman business and realization of the targeted synergies expected from the Tyman Acquisition. The anticipated benefits of the Tyman Acquisition may not be realized fully or at all, or may take longer to realize than we expect. Actual operating, technological, strategic and revenue opportunities, if achieved at all, may be less significant than we expect or may take longer to achieve than anticipated. If we are not able to achieve these objectives and realize the anticipated benefits and synergies expected from the Tyman Acquisition within a reasonable time, our business, financial condition and operating results may be adversely affected.</w:t>
      </w:r>
    </w:p>
    <w:p>
      <w:pPr>
        <w:spacing w:after="0" w:line="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Tyman Acquisition will result in significant integration costs and any material delays or unanticipated additional expenses may harm our business,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complexity and magnitude of the integration effort associated with the Tyman Acquisition are significant and require that we fund significant capital and operating expenses to support the integration of the combined operations. Such expenses have included and will include significant transaction, consulting and third-party service fees. We have incurred and expect to continue to incur additional operating expenses as we build up internal resources and/or engage third party providers following the Tyman Acquisition. In addition to these transition costs, we have incurred and expect to continue to incur increased expenses relating to, among other things, restructuring and integrating the two businesses. Any material delays, difficulties or unanticipated additional expenses associated with integration activities may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Times New Roman" w:cs="Times New Roman" w:eastAsia="Times New Roman" w:hAnsi="Times New Roman"/>
          <w:sz w:val="18"/>
          <w:szCs w:val="18"/>
          <w:color w:val="auto"/>
        </w:rPr>
        <w:t>Date: June 7, 2024</w:t>
      </w:r>
      <w:r>
        <w:rPr>
          <w:sz w:val="20"/>
          <w:szCs w:val="20"/>
          <w:color w:val="auto"/>
        </w:rPr>
        <w:tab/>
      </w: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34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40" w:type="dxa"/>
            <w:vAlign w:val="bottom"/>
            <w:gridSpan w:val="20"/>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80" w:type="dxa"/>
            <w:vAlign w:val="bottom"/>
          </w:tcPr>
          <w:p>
            <w:pPr>
              <w:spacing w:after="0"/>
              <w:rPr>
                <w:sz w:val="18"/>
                <w:szCs w:val="18"/>
                <w:color w:val="auto"/>
              </w:rPr>
            </w:pPr>
          </w:p>
        </w:tc>
        <w:tc>
          <w:tcPr>
            <w:tcW w:w="6040" w:type="dxa"/>
            <w:vAlign w:val="bottom"/>
            <w:gridSpan w:val="20"/>
          </w:tcPr>
          <w:p>
            <w:pPr>
              <w:jc w:val="center"/>
              <w:ind w:right="264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249"/>
        </w:trPr>
        <w:tc>
          <w:tcPr>
            <w:tcW w:w="720" w:type="dxa"/>
            <w:vAlign w:val="bottom"/>
            <w:gridSpan w:val="5"/>
          </w:tcPr>
          <w:p>
            <w:pPr>
              <w:jc w:val="center"/>
              <w:ind w:left="290"/>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Rule 2.7 Announcement dated as of April 22, as filed as Exhibit 2.1 to the Registrant’s Current Report on Form</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40" w:type="dxa"/>
            <w:vAlign w:val="bottom"/>
            <w:gridSpan w:val="17"/>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5"/>
          </w:tcPr>
          <w:p>
            <w:pPr>
              <w:jc w:val="center"/>
              <w:ind w:left="290"/>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Co-operation Agreement dated as of April 22, 2024, as filed as Exhibit 2.2 to the Registrant’s Current Report on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0" w:type="dxa"/>
            <w:vAlign w:val="bottom"/>
            <w:gridSpan w:val="20"/>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5"/>
          </w:tcPr>
          <w:p>
            <w:pPr>
              <w:jc w:val="center"/>
              <w:ind w:left="29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Deed of Irrevocable Undertaking dated as of April 22, 2024, as filed as Exhibit 2.3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Current Report on Form 8-K (Reg. No. 001-33913), as filed with the Securities and Exchange Commission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April 22, 2024, and incorporated herein by reference.</w:t>
              </w:r>
            </w:hyperlink>
          </w:p>
        </w:tc>
        <w:tc>
          <w:tcPr>
            <w:tcW w:w="4540" w:type="dxa"/>
            <w:vAlign w:val="bottom"/>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20" w:type="dxa"/>
            <w:vAlign w:val="bottom"/>
            <w:gridSpan w:val="5"/>
          </w:tcPr>
          <w:p>
            <w:pPr>
              <w:jc w:val="center"/>
              <w:ind w:left="290"/>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Commission on March 7, 2016, and incorporated herein by reference.</w:t>
              </w:r>
            </w:hyperlink>
          </w:p>
        </w:tc>
        <w:tc>
          <w:tcPr>
            <w:tcW w:w="3140" w:type="dxa"/>
            <w:vAlign w:val="bottom"/>
            <w:tcBorders>
              <w:top w:val="single" w:sz="8" w:color="0000FF"/>
            </w:tcBorders>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20" w:type="dxa"/>
            <w:vAlign w:val="bottom"/>
            <w:gridSpan w:val="5"/>
          </w:tcPr>
          <w:p>
            <w:pPr>
              <w:jc w:val="center"/>
              <w:ind w:left="290"/>
              <w:spacing w:after="0"/>
              <w:rPr>
                <w:rFonts w:ascii="Times New Roman" w:cs="Times New Roman" w:eastAsia="Times New Roman" w:hAnsi="Times New Roman"/>
                <w:sz w:val="18"/>
                <w:szCs w:val="18"/>
                <w:color w:val="0000FF"/>
                <w:w w:val="97"/>
              </w:rPr>
            </w:pPr>
            <w:hyperlink r:id="rId6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4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incorporated herein by reference.</w:t>
              </w:r>
            </w:hyperlink>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gridSpan w:val="5"/>
          </w:tcPr>
          <w:p>
            <w:pPr>
              <w:jc w:val="center"/>
              <w:ind w:left="290"/>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Statement on Form 10-Q (Reg. No. 001-33913) as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5"/>
            <w:vMerge w:val="restart"/>
          </w:tcPr>
          <w:p>
            <w:pPr>
              <w:jc w:val="center"/>
              <w:ind w:left="290"/>
              <w:spacing w:after="0"/>
              <w:rPr>
                <w:rFonts w:ascii="Times New Roman" w:cs="Times New Roman" w:eastAsia="Times New Roman" w:hAnsi="Times New Roman"/>
                <w:sz w:val="18"/>
                <w:szCs w:val="18"/>
                <w:color w:val="0000FF"/>
                <w:w w:val="97"/>
              </w:rPr>
            </w:pPr>
            <w:hyperlink r:id="rId7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5"/>
            <w:vMerge w:val="continue"/>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20" w:type="dxa"/>
            <w:vAlign w:val="bottom"/>
            <w:gridSpan w:val="21"/>
            <w:vMerge w:val="restart"/>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20" w:type="dxa"/>
            <w:vAlign w:val="bottom"/>
            <w:gridSpan w:val="2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60" w:type="dxa"/>
            <w:vAlign w:val="bottom"/>
            <w:gridSpan w:val="18"/>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Commission on July 6, 2022, 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6"/>
          </w:tcPr>
          <w:p>
            <w:pPr>
              <w:jc w:val="center"/>
              <w:ind w:left="270"/>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Interim Facility Agreement dated as of April 21, as filed as Exhibit 10.1 to the Registrant’s Current Report 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Form 8-K (Reg. No. 001-33913), as filed with the Securities and Exchange Commission on April 22, 2024, and</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660" w:type="dxa"/>
            <w:vAlign w:val="bottom"/>
          </w:tcPr>
          <w:p>
            <w:pPr>
              <w:spacing w:after="0"/>
              <w:rPr>
                <w:sz w:val="22"/>
                <w:szCs w:val="22"/>
                <w:color w:val="auto"/>
              </w:rPr>
            </w:pPr>
          </w:p>
        </w:tc>
        <w:tc>
          <w:tcPr>
            <w:tcW w:w="8420" w:type="dxa"/>
            <w:vAlign w:val="bottom"/>
            <w:gridSpan w:val="21"/>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Commitment Letter dated as of April 21, as filed as Exhibit 10.2 to the Registrant’s Current Report on Form 8-K</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(Reg. No. 001-33913), as filed with the Securities and Exchange Commission on April 22, 2024, and</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20" w:type="dxa"/>
            <w:vAlign w:val="bottom"/>
            <w:gridSpan w:val="16"/>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incorporated herein by reference.</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00" w:type="dxa"/>
            <w:vAlign w:val="bottom"/>
            <w:tcBorders>
              <w:left w:val="single" w:sz="8" w:color="0000FF"/>
            </w:tcBorders>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1420" w:type="dxa"/>
            <w:vAlign w:val="bottom"/>
            <w:gridSpan w:val="7"/>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rPr>
              <w:t>*101.INS</w:t>
            </w: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2"/>
        </w:trPr>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*101.SCH</w:t>
            </w: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*101.CAL</w:t>
            </w: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4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*101.LAB</w:t>
            </w: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4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rPr>
              <w:t>*101.PRE</w:t>
            </w:r>
          </w:p>
        </w:tc>
        <w:tc>
          <w:tcPr>
            <w:tcW w:w="84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205"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April 30, 2024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82"/>
        </w:trPr>
        <w:tc>
          <w:tcPr>
            <w:tcW w:w="584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r>
        <w:trPr>
          <w:trHeight w:val="236"/>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65" Type="http://schemas.openxmlformats.org/officeDocument/2006/relationships/hyperlink" Target="https://www.sec.gov/Archives/edgar/data/1423221/000110465924049723/tm2412350d1_ex2-1.htm" TargetMode="External"/><Relationship Id="rId66" Type="http://schemas.openxmlformats.org/officeDocument/2006/relationships/hyperlink" Target="https://www.sec.gov/Archives/edgar/data/1423221/000110465924049723/tm2412350d1_ex2-2.htm" TargetMode="External"/><Relationship Id="rId67" Type="http://schemas.openxmlformats.org/officeDocument/2006/relationships/hyperlink" Target="https://www.sec.gov/Archives/edgar/data/1423221/000110465924049723/tm2412350d1_ex2-3.htm" TargetMode="External"/><Relationship Id="rId68" Type="http://schemas.openxmlformats.org/officeDocument/2006/relationships/hyperlink" Target="https://www.sec.gov/Archives/edgar/data/1423221/000119312516495257/d156158dex31.htm" TargetMode="External"/><Relationship Id="rId69" Type="http://schemas.openxmlformats.org/officeDocument/2006/relationships/hyperlink" Target="https://www.sec.gov/Archives/edgar/data/1423221/000142322120000005/nx01312020ex32.htm" TargetMode="External"/><Relationship Id="rId70" Type="http://schemas.openxmlformats.org/officeDocument/2006/relationships/hyperlink" Target="https://www.sec.gov/Archives/edgar/data/1423221/000095012908000988/h52992a1exv4w1.htm" TargetMode="External"/><Relationship Id="rId71" Type="http://schemas.openxmlformats.org/officeDocument/2006/relationships/hyperlink" Target="https://www.sec.gov/Archives/edgar/data/1423221/000110465922077705/tm2220473d1_ex10-1.htm" TargetMode="External"/><Relationship Id="rId72" Type="http://schemas.openxmlformats.org/officeDocument/2006/relationships/hyperlink" Target="https://www.sec.gov/Archives/edgar/data/1423221/000110465924049723/tm2412350d1_ex10-1.htm" TargetMode="External"/><Relationship Id="rId73" Type="http://schemas.openxmlformats.org/officeDocument/2006/relationships/hyperlink" Target="https://www.sec.gov/Archives/edgar/data/1423221/000110465924049723/tm2412350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2024-06-07T15:18:44Z</dcterms:created>
  <dcterms:modified xsi:type="dcterms:W3CDTF">2024-06-07T15:18:44Z</dcterms:modified>
</cp:coreProperties>
</file>