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414655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0" w:lineRule="exact"/>
        <w:rPr>
          <w:sz w:val="24"/>
          <w:szCs w:val="24"/>
          <w:color w:val="auto"/>
        </w:rPr>
      </w:pPr>
    </w:p>
    <w:p>
      <w:pPr>
        <w:ind w:left="680" w:hanging="449"/>
        <w:spacing w:after="0"/>
        <w:tabs>
          <w:tab w:leader="none" w:pos="6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31, 2024</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680" w:hanging="429"/>
        <w:spacing w:after="0"/>
        <w:tabs>
          <w:tab w:leader="none" w:pos="6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23" w:lineRule="exact"/>
        <w:rPr>
          <w:sz w:val="24"/>
          <w:szCs w:val="24"/>
          <w:color w:val="auto"/>
        </w:rPr>
      </w:pPr>
    </w:p>
    <w:p>
      <w:pPr>
        <w:ind w:left="38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1-33913</w:t>
      </w:r>
    </w:p>
    <w:p>
      <w:pPr>
        <w:spacing w:after="0" w:line="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QUANEX BUILDING PRODUCTS CORPORATION</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15" w:lineRule="exact"/>
        <w:rPr>
          <w:sz w:val="24"/>
          <w:szCs w:val="24"/>
          <w:color w:val="auto"/>
        </w:rPr>
      </w:pPr>
    </w:p>
    <w:p>
      <w:pPr>
        <w:ind w:left="2460"/>
        <w:spacing w:after="0"/>
        <w:tabs>
          <w:tab w:leader="none" w:pos="80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26-1561397</w:t>
      </w:r>
    </w:p>
    <w:p>
      <w:pPr>
        <w:spacing w:after="0" w:line="28" w:lineRule="exact"/>
        <w:rPr>
          <w:sz w:val="24"/>
          <w:szCs w:val="24"/>
          <w:color w:val="auto"/>
        </w:rPr>
      </w:pPr>
    </w:p>
    <w:p>
      <w:pPr>
        <w:ind w:left="1900"/>
        <w:spacing w:after="0"/>
        <w:tabs>
          <w:tab w:leader="none" w:pos="79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860"/>
        <w:spacing w:after="0"/>
        <w:tabs>
          <w:tab w:leader="none" w:pos="78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945 Bunker Hill Road, Suite 900, Houston, Texas 77024</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961-4600</w:t>
      </w:r>
    </w:p>
    <w:p>
      <w:pPr>
        <w:spacing w:after="0" w:line="1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780" w:type="dxa"/>
            <w:vAlign w:val="bottom"/>
            <w:gridSpan w:val="2"/>
          </w:tcPr>
          <w:p>
            <w:pPr>
              <w:jc w:val="center"/>
              <w:ind w:right="16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4"/>
        </w:trPr>
        <w:tc>
          <w:tcPr>
            <w:tcW w:w="388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860" w:type="dxa"/>
            <w:vAlign w:val="bottom"/>
          </w:tcPr>
          <w:p>
            <w:pPr>
              <w:spacing w:after="0"/>
              <w:rPr>
                <w:sz w:val="22"/>
                <w:szCs w:val="22"/>
                <w:color w:val="auto"/>
              </w:rPr>
            </w:pPr>
          </w:p>
        </w:tc>
        <w:tc>
          <w:tcPr>
            <w:tcW w:w="278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w w:val="99"/>
              </w:rPr>
              <w:t>NX</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81" w:right="339" w:bottom="1440" w:gutter="0" w:footer="0" w:header="0"/>
        </w:sectPr>
      </w:pPr>
    </w:p>
    <w:p>
      <w:pPr>
        <w:spacing w:after="0" w:line="54"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Accelerated filer</w:t>
      </w:r>
    </w:p>
    <w:p>
      <w:pPr>
        <w:spacing w:after="0" w:line="77"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(Do not check if a smaller reporting company)</w:t>
      </w:r>
      <w:r>
        <w:rPr>
          <w:sz w:val="20"/>
          <w:szCs w:val="20"/>
          <w:color w:val="auto"/>
        </w:rPr>
        <w:tab/>
      </w:r>
      <w:r>
        <w:rPr>
          <w:rFonts w:ascii="Times New Roman" w:cs="Times New Roman" w:eastAsia="Times New Roman" w:hAnsi="Times New Roman"/>
          <w:sz w:val="17"/>
          <w:szCs w:val="17"/>
          <w:color w:val="auto"/>
        </w:rPr>
        <w:t>Smaller reporting company</w:t>
      </w:r>
    </w:p>
    <w:p>
      <w:pPr>
        <w:spacing w:after="0" w:line="29" w:lineRule="exact"/>
        <w:rPr>
          <w:sz w:val="24"/>
          <w:szCs w:val="24"/>
          <w:color w:val="auto"/>
        </w:rPr>
      </w:pPr>
    </w:p>
    <w:p>
      <w:pPr>
        <w:ind w:left="82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7" w:lineRule="exact"/>
        <w:rPr>
          <w:sz w:val="24"/>
          <w:szCs w:val="24"/>
          <w:color w:val="auto"/>
        </w:rPr>
      </w:pPr>
    </w:p>
    <w:p>
      <w:pPr>
        <w:ind w:left="40"/>
        <w:spacing w:after="0" w:line="234"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Securities Act.</w:t>
      </w:r>
    </w:p>
    <w:p>
      <w:pPr>
        <w:spacing w:after="0" w:line="50"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36" w:lineRule="exact"/>
        <w:rPr>
          <w:sz w:val="24"/>
          <w:szCs w:val="24"/>
          <w:color w:val="auto"/>
        </w:rPr>
      </w:pPr>
    </w:p>
    <w:p>
      <w:pPr>
        <w:sectPr>
          <w:pgSz w:w="11900" w:h="16838" w:orient="portrait"/>
          <w:cols w:equalWidth="0" w:num="2">
            <w:col w:w="10740" w:space="140"/>
            <w:col w:w="360"/>
          </w:cols>
          <w:pgMar w:left="320" w:top="781"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February 29, 2024 was 33,103,593.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128905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94615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9880" w:type="dxa"/>
            <w:vAlign w:val="bottom"/>
            <w:gridSpan w:val="9"/>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QUANEX BUILDING PRODUCTS CORPORATION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300" w:type="dxa"/>
            <w:vAlign w:val="bottom"/>
            <w:gridSpan w:val="8"/>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40" w:type="dxa"/>
            <w:vAlign w:val="bottom"/>
            <w:gridSpan w:val="10"/>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color w:val="0000FF"/>
              </w:rPr>
              <w:t>Financial Statements (Unaudited)</w:t>
            </w: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040" w:type="dxa"/>
            <w:vAlign w:val="bottom"/>
            <w:gridSpan w:val="10"/>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8"/>
                <w:szCs w:val="18"/>
                <w:color w:val="0E32E1"/>
                <w:w w:val="99"/>
              </w:rPr>
              <w:t>Condensed Consolidated Balance Sheets – January 31, 2024 and October 31, 2023</w:t>
            </w:r>
          </w:p>
        </w:tc>
        <w:tc>
          <w:tcPr>
            <w:tcW w:w="3920" w:type="dxa"/>
            <w:vAlign w:val="bottom"/>
            <w:gridSpan w:val="5"/>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gridSpan w:val="2"/>
            <w:shd w:val="clear" w:color="auto" w:fill="0E32E1"/>
          </w:tcPr>
          <w:p>
            <w:pPr>
              <w:spacing w:after="0" w:line="20" w:lineRule="exact"/>
              <w:rPr>
                <w:sz w:val="1"/>
                <w:szCs w:val="1"/>
                <w:color w:val="auto"/>
              </w:rPr>
            </w:pPr>
          </w:p>
        </w:tc>
        <w:tc>
          <w:tcPr>
            <w:tcW w:w="160" w:type="dxa"/>
            <w:vAlign w:val="bottom"/>
            <w:tcBorders>
              <w:right w:val="single" w:sz="8" w:color="0E32E1"/>
            </w:tcBorders>
            <w:shd w:val="clear" w:color="auto" w:fill="0E32E1"/>
          </w:tcPr>
          <w:p>
            <w:pPr>
              <w:spacing w:after="0" w:line="20" w:lineRule="exact"/>
              <w:rPr>
                <w:sz w:val="1"/>
                <w:szCs w:val="1"/>
                <w:color w:val="auto"/>
              </w:rPr>
            </w:pPr>
          </w:p>
        </w:tc>
        <w:tc>
          <w:tcPr>
            <w:tcW w:w="1180" w:type="dxa"/>
            <w:vAlign w:val="bottom"/>
            <w:shd w:val="clear" w:color="auto" w:fill="0E32E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righ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1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 Three Months Ended January 31, 2024 and 2023</w:t>
            </w:r>
          </w:p>
        </w:tc>
        <w:tc>
          <w:tcPr>
            <w:tcW w:w="2780" w:type="dxa"/>
            <w:vAlign w:val="bottom"/>
            <w:gridSpan w:val="4"/>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Condensed Consolidated Statements of Comprehensive Income </w:t>
            </w:r>
            <w:r>
              <w:rPr>
                <w:rFonts w:ascii="Times New Roman" w:cs="Times New Roman" w:eastAsia="Times New Roman" w:hAnsi="Times New Roman"/>
                <w:sz w:val="18"/>
                <w:szCs w:val="18"/>
                <w:color w:val="0E32E1"/>
              </w:rPr>
              <w:t>–</w:t>
            </w:r>
            <w:r>
              <w:rPr>
                <w:rFonts w:ascii="Times New Roman" w:cs="Times New Roman" w:eastAsia="Times New Roman" w:hAnsi="Times New Roman"/>
                <w:sz w:val="18"/>
                <w:szCs w:val="18"/>
                <w:color w:val="0000FF"/>
              </w:rPr>
              <w:t xml:space="preserve"> Three Months Ended January 31, 2024 and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E32E1"/>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Three Months Ended January 31, 2024 and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80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Stockholders’ Equity – Three Months Ended January 31, 2024 and 2023</w:t>
            </w:r>
          </w:p>
        </w:tc>
        <w:tc>
          <w:tcPr>
            <w:tcW w:w="186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80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86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tcBorders>
              <w:right w:val="single" w:sz="8" w:color="0000FF"/>
            </w:tcBorders>
            <w:gridSpan w:val="3"/>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040" w:type="dxa"/>
            <w:vAlign w:val="bottom"/>
            <w:gridSpan w:val="10"/>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040" w:type="dxa"/>
            <w:vAlign w:val="bottom"/>
            <w:gridSpan w:val="10"/>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color w:val="0000FF"/>
              </w:rPr>
              <w:t>Quantitative and Qualitative Disclosures About Market Risk</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040" w:type="dxa"/>
            <w:vAlign w:val="bottom"/>
            <w:gridSpan w:val="10"/>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color w:val="0000FF"/>
              </w:rPr>
              <w:t>Controls and Procedures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2"/>
        </w:trPr>
        <w:tc>
          <w:tcPr>
            <w:tcW w:w="11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00" w:type="dxa"/>
            <w:vAlign w:val="bottom"/>
          </w:tcPr>
          <w:p>
            <w:pPr>
              <w:spacing w:after="0"/>
              <w:rPr>
                <w:sz w:val="13"/>
                <w:szCs w:val="13"/>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6"/>
        </w:trPr>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35"/>
        </w:trPr>
        <w:tc>
          <w:tcPr>
            <w:tcW w:w="2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80" w:type="dxa"/>
            <w:vAlign w:val="bottom"/>
            <w:gridSpan w:val="4"/>
          </w:tcPr>
          <w:p>
            <w:pPr>
              <w:jc w:val="right"/>
              <w:ind w:right="591"/>
              <w:spacing w:after="0" w:line="135"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r>
      <w:tr>
        <w:trPr>
          <w:trHeight w:val="196"/>
        </w:trPr>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140" w:type="dxa"/>
            <w:vAlign w:val="bottom"/>
          </w:tcPr>
          <w:p>
            <w:pPr>
              <w:spacing w:after="0"/>
              <w:rPr>
                <w:sz w:val="17"/>
                <w:szCs w:val="17"/>
                <w:color w:val="auto"/>
              </w:rPr>
            </w:pPr>
          </w:p>
        </w:tc>
      </w:tr>
      <w:tr>
        <w:trPr>
          <w:trHeight w:val="236"/>
        </w:trPr>
        <w:tc>
          <w:tcPr>
            <w:tcW w:w="2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60" w:type="dxa"/>
            <w:vAlign w:val="bottom"/>
            <w:gridSpan w:val="5"/>
            <w:shd w:val="clear" w:color="auto" w:fill="CCEEFF"/>
          </w:tcPr>
          <w:p>
            <w:pPr>
              <w:jc w:val="center"/>
              <w:ind w:right="30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82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220" w:type="dxa"/>
            <w:vAlign w:val="bottom"/>
            <w:gridSpan w:val="9"/>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58,474</w:t>
            </w:r>
          </w:p>
        </w:tc>
      </w:tr>
      <w:tr>
        <w:trPr>
          <w:trHeight w:val="230"/>
        </w:trPr>
        <w:tc>
          <w:tcPr>
            <w:tcW w:w="8220" w:type="dxa"/>
            <w:vAlign w:val="bottom"/>
            <w:gridSpan w:val="9"/>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$986 and $843</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97,311</w:t>
            </w:r>
          </w:p>
        </w:tc>
      </w:tr>
      <w:tr>
        <w:trPr>
          <w:trHeight w:val="229"/>
        </w:trPr>
        <w:tc>
          <w:tcPr>
            <w:tcW w:w="8220" w:type="dxa"/>
            <w:vAlign w:val="bottom"/>
            <w:gridSpan w:val="9"/>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97,959</w:t>
            </w:r>
          </w:p>
        </w:tc>
      </w:tr>
      <w:tr>
        <w:trPr>
          <w:trHeight w:val="229"/>
        </w:trPr>
        <w:tc>
          <w:tcPr>
            <w:tcW w:w="8220" w:type="dxa"/>
            <w:vAlign w:val="bottom"/>
            <w:gridSpan w:val="9"/>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w:t>
            </w:r>
          </w:p>
        </w:tc>
      </w:tr>
      <w:tr>
        <w:trPr>
          <w:trHeight w:val="230"/>
        </w:trPr>
        <w:tc>
          <w:tcPr>
            <w:tcW w:w="8220" w:type="dxa"/>
            <w:vAlign w:val="bottom"/>
            <w:gridSpan w:val="9"/>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w:t>
            </w:r>
          </w:p>
        </w:tc>
      </w:tr>
      <w:tr>
        <w:trPr>
          <w:trHeight w:val="223"/>
        </w:trPr>
        <w:tc>
          <w:tcPr>
            <w:tcW w:w="8220" w:type="dxa"/>
            <w:vAlign w:val="bottom"/>
            <w:gridSpan w:val="9"/>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252,995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273,600</w:t>
            </w:r>
          </w:p>
        </w:tc>
      </w:tr>
      <w:tr>
        <w:trPr>
          <w:trHeight w:val="230"/>
        </w:trPr>
        <w:tc>
          <w:tcPr>
            <w:tcW w:w="4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$375,560</w:t>
            </w:r>
          </w:p>
        </w:tc>
        <w:tc>
          <w:tcPr>
            <w:tcW w:w="2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$368,763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253,681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250,664</w:t>
            </w:r>
          </w:p>
        </w:tc>
      </w:tr>
      <w:tr>
        <w:trPr>
          <w:trHeight w:val="229"/>
        </w:trPr>
        <w:tc>
          <w:tcPr>
            <w:tcW w:w="82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46,620</w:t>
            </w:r>
          </w:p>
        </w:tc>
      </w:tr>
      <w:tr>
        <w:trPr>
          <w:trHeight w:val="230"/>
        </w:trPr>
        <w:tc>
          <w:tcPr>
            <w:tcW w:w="82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182,956</w:t>
            </w:r>
          </w:p>
        </w:tc>
      </w:tr>
      <w:tr>
        <w:trPr>
          <w:trHeight w:val="229"/>
        </w:trPr>
        <w:tc>
          <w:tcPr>
            <w:tcW w:w="82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74,115</w:t>
            </w:r>
          </w:p>
        </w:tc>
      </w:tr>
      <w:tr>
        <w:trPr>
          <w:trHeight w:val="229"/>
        </w:trPr>
        <w:tc>
          <w:tcPr>
            <w:tcW w:w="82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r>
      <w:tr>
        <w:trPr>
          <w:trHeight w:val="223"/>
        </w:trPr>
        <w:tc>
          <w:tcPr>
            <w:tcW w:w="8220" w:type="dxa"/>
            <w:vAlign w:val="bottom"/>
            <w:gridSpan w:val="9"/>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813,420</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831,143</w:t>
            </w: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8220" w:type="dxa"/>
            <w:vAlign w:val="bottom"/>
            <w:gridSpan w:val="9"/>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9"/>
        </w:trPr>
        <w:tc>
          <w:tcPr>
            <w:tcW w:w="82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20" w:type="dxa"/>
            <w:vAlign w:val="bottom"/>
            <w:gridSpan w:val="9"/>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74,371</w:t>
            </w:r>
          </w:p>
        </w:tc>
      </w:tr>
      <w:tr>
        <w:trPr>
          <w:trHeight w:val="230"/>
        </w:trPr>
        <w:tc>
          <w:tcPr>
            <w:tcW w:w="8220" w:type="dxa"/>
            <w:vAlign w:val="bottom"/>
            <w:gridSpan w:val="9"/>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50,319</w:t>
            </w:r>
          </w:p>
        </w:tc>
      </w:tr>
      <w:tr>
        <w:trPr>
          <w:trHeight w:val="229"/>
        </w:trPr>
        <w:tc>
          <w:tcPr>
            <w:tcW w:w="8220" w:type="dxa"/>
            <w:vAlign w:val="bottom"/>
            <w:gridSpan w:val="9"/>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30"/>
        </w:trPr>
        <w:tc>
          <w:tcPr>
            <w:tcW w:w="8220" w:type="dxa"/>
            <w:vAlign w:val="bottom"/>
            <w:gridSpan w:val="9"/>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30"/>
        </w:trPr>
        <w:tc>
          <w:tcPr>
            <w:tcW w:w="8220" w:type="dxa"/>
            <w:vAlign w:val="bottom"/>
            <w:gridSpan w:val="9"/>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r>
      <w:tr>
        <w:trPr>
          <w:trHeight w:val="223"/>
        </w:trPr>
        <w:tc>
          <w:tcPr>
            <w:tcW w:w="8220" w:type="dxa"/>
            <w:vAlign w:val="bottom"/>
            <w:gridSpan w:val="9"/>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111,454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134,663</w:t>
            </w:r>
          </w:p>
        </w:tc>
      </w:tr>
      <w:tr>
        <w:trPr>
          <w:trHeight w:val="230"/>
        </w:trPr>
        <w:tc>
          <w:tcPr>
            <w:tcW w:w="82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66,435</w:t>
            </w:r>
          </w:p>
        </w:tc>
      </w:tr>
      <w:tr>
        <w:trPr>
          <w:trHeight w:val="230"/>
        </w:trPr>
        <w:tc>
          <w:tcPr>
            <w:tcW w:w="82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40,361</w:t>
            </w:r>
          </w:p>
        </w:tc>
      </w:tr>
      <w:tr>
        <w:trPr>
          <w:trHeight w:val="229"/>
        </w:trPr>
        <w:tc>
          <w:tcPr>
            <w:tcW w:w="82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29,133</w:t>
            </w:r>
          </w:p>
        </w:tc>
      </w:tr>
      <w:tr>
        <w:trPr>
          <w:trHeight w:val="230"/>
        </w:trPr>
        <w:tc>
          <w:tcPr>
            <w:tcW w:w="8220" w:type="dxa"/>
            <w:vAlign w:val="bottom"/>
            <w:tcBorders>
              <w:bottom w:val="single" w:sz="8" w:color="CCEEFF"/>
            </w:tcBorders>
            <w:gridSpan w:val="9"/>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14,997</w:t>
            </w:r>
          </w:p>
        </w:tc>
      </w:tr>
      <w:tr>
        <w:trPr>
          <w:trHeight w:val="223"/>
        </w:trPr>
        <w:tc>
          <w:tcPr>
            <w:tcW w:w="8220" w:type="dxa"/>
            <w:vAlign w:val="bottom"/>
            <w:gridSpan w:val="9"/>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258,391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285,589</w:t>
            </w:r>
          </w:p>
        </w:tc>
      </w:tr>
      <w:tr>
        <w:trPr>
          <w:trHeight w:val="230"/>
        </w:trPr>
        <w:tc>
          <w:tcPr>
            <w:tcW w:w="82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20" w:type="dxa"/>
            <w:vAlign w:val="bottom"/>
            <w:gridSpan w:val="9"/>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shares authorized 1,000,000; issued and outstanding - none</w:t>
            </w:r>
          </w:p>
        </w:tc>
        <w:tc>
          <w:tcPr>
            <w:tcW w:w="2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5400" w:type="dxa"/>
            <w:vAlign w:val="bottom"/>
            <w:gridSpan w:val="6"/>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w w:val="97"/>
              </w:rPr>
              <w:t>Common stock, $0.01 par value, shares authorized 125,000,000; issued</w:t>
            </w:r>
          </w:p>
        </w:tc>
        <w:tc>
          <w:tcPr>
            <w:tcW w:w="98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37,127,024</w:t>
            </w:r>
          </w:p>
        </w:tc>
        <w:tc>
          <w:tcPr>
            <w:tcW w:w="1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and 37,176,958,</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0"/>
        </w:trPr>
        <w:tc>
          <w:tcPr>
            <w:tcW w:w="2200" w:type="dxa"/>
            <w:vAlign w:val="bottom"/>
            <w:tcBorders>
              <w:bottom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respectively; outstanding</w:t>
            </w:r>
          </w:p>
        </w:tc>
        <w:tc>
          <w:tcPr>
            <w:tcW w:w="80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shd w:val="clear" w:color="auto" w:fill="CCEEFF"/>
              </w:rPr>
              <w:t>33,103,593</w:t>
            </w:r>
          </w:p>
        </w:tc>
        <w:tc>
          <w:tcPr>
            <w:tcW w:w="2400" w:type="dxa"/>
            <w:vAlign w:val="bottom"/>
            <w:tcBorders>
              <w:bottom w:val="single" w:sz="8" w:color="CCEEFF"/>
            </w:tcBorders>
            <w:gridSpan w:val="3"/>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and 33,011,119, respectively</w:t>
            </w:r>
          </w:p>
        </w:tc>
        <w:tc>
          <w:tcPr>
            <w:tcW w:w="980" w:type="dxa"/>
            <w:vAlign w:val="bottom"/>
            <w:tcBorders>
              <w:bottom w:val="single" w:sz="8" w:color="CCEEFF"/>
            </w:tcBorders>
            <w:gridSpan w:val="2"/>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371</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372</w:t>
            </w:r>
          </w:p>
        </w:tc>
      </w:tr>
      <w:tr>
        <w:trPr>
          <w:trHeight w:val="230"/>
        </w:trPr>
        <w:tc>
          <w:tcPr>
            <w:tcW w:w="8220" w:type="dxa"/>
            <w:vAlign w:val="bottom"/>
            <w:gridSpan w:val="9"/>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248,715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251,576</w:t>
            </w:r>
          </w:p>
        </w:tc>
      </w:tr>
      <w:tr>
        <w:trPr>
          <w:trHeight w:val="229"/>
        </w:trPr>
        <w:tc>
          <w:tcPr>
            <w:tcW w:w="8220" w:type="dxa"/>
            <w:vAlign w:val="bottom"/>
            <w:gridSpan w:val="9"/>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412,922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409,318</w:t>
            </w:r>
          </w:p>
        </w:tc>
      </w:tr>
      <w:tr>
        <w:trPr>
          <w:trHeight w:val="230"/>
        </w:trPr>
        <w:tc>
          <w:tcPr>
            <w:tcW w:w="8220" w:type="dxa"/>
            <w:vAlign w:val="bottom"/>
            <w:gridSpan w:val="9"/>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(38,141)</w:t>
            </w:r>
          </w:p>
        </w:tc>
      </w:tr>
      <w:tr>
        <w:trPr>
          <w:trHeight w:val="230"/>
        </w:trPr>
        <w:tc>
          <w:tcPr>
            <w:tcW w:w="2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Treasury stock at cost,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4,023,431</w:t>
            </w:r>
          </w:p>
        </w:tc>
        <w:tc>
          <w:tcPr>
            <w:tcW w:w="50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4,165,839 shares, respectively</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(77,571)</w:t>
            </w:r>
          </w:p>
        </w:tc>
      </w:tr>
      <w:tr>
        <w:trPr>
          <w:trHeight w:val="223"/>
        </w:trPr>
        <w:tc>
          <w:tcPr>
            <w:tcW w:w="8220" w:type="dxa"/>
            <w:vAlign w:val="bottom"/>
            <w:tcBorders>
              <w:bottom w:val="single" w:sz="8" w:color="CCEEFF"/>
            </w:tcBorders>
            <w:gridSpan w:val="9"/>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555,029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545,554</w:t>
            </w:r>
          </w:p>
        </w:tc>
      </w:tr>
      <w:tr>
        <w:trPr>
          <w:trHeight w:val="248"/>
        </w:trPr>
        <w:tc>
          <w:tcPr>
            <w:tcW w:w="8220" w:type="dxa"/>
            <w:vAlign w:val="bottom"/>
            <w:tcBorders>
              <w:bottom w:val="single" w:sz="8" w:color="CCEEFF"/>
            </w:tcBorders>
            <w:gridSpan w:val="9"/>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813,420</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831,143</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03"/>
        </w:trPr>
        <w:tc>
          <w:tcPr>
            <w:tcW w:w="7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100" w:type="dxa"/>
            <w:vAlign w:val="bottom"/>
          </w:tcPr>
          <w:p>
            <w:pPr>
              <w:spacing w:after="0"/>
              <w:rPr>
                <w:sz w:val="17"/>
                <w:szCs w:val="17"/>
                <w:color w:val="auto"/>
              </w:rPr>
            </w:pPr>
          </w:p>
        </w:tc>
      </w:tr>
      <w:tr>
        <w:trPr>
          <w:trHeight w:val="23"/>
        </w:trPr>
        <w:tc>
          <w:tcPr>
            <w:tcW w:w="7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600" w:type="dxa"/>
            <w:vAlign w:val="bottom"/>
          </w:tcPr>
          <w:p>
            <w:pPr>
              <w:spacing w:after="0"/>
              <w:rPr>
                <w:sz w:val="17"/>
                <w:szCs w:val="17"/>
                <w:color w:val="auto"/>
              </w:rPr>
            </w:pPr>
          </w:p>
        </w:tc>
        <w:tc>
          <w:tcPr>
            <w:tcW w:w="36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r>
      <w:tr>
        <w:trPr>
          <w:trHeight w:val="23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239,155</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261,916</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210,149</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36,744</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76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70"/>
        </w:trPr>
        <w:tc>
          <w:tcPr>
            <w:tcW w:w="7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70"/>
        </w:trPr>
        <w:tc>
          <w:tcPr>
            <w:tcW w:w="7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32,951</w:t>
            </w:r>
          </w:p>
        </w:tc>
      </w:tr>
      <w:tr>
        <w:trPr>
          <w:trHeight w:val="229"/>
        </w:trPr>
        <w:tc>
          <w:tcPr>
            <w:tcW w:w="7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33,137</w:t>
            </w:r>
          </w:p>
        </w:tc>
      </w:tr>
      <w:tr>
        <w:trPr>
          <w:trHeight w:val="270"/>
        </w:trPr>
        <w:tc>
          <w:tcPr>
            <w:tcW w:w="7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4"/>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dividends per share</w:t>
            </w: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left="360" w:right="2280"/>
        <w:spacing w:after="0" w:line="278"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CONDENSED CONSOLIDATED STATEMENTS OF COMPREHENSIVE INCOME (Unaudited)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6"/>
                <w:szCs w:val="16"/>
                <w:color w:val="auto"/>
              </w:rPr>
            </w:pPr>
          </w:p>
        </w:tc>
      </w:tr>
      <w:tr>
        <w:trPr>
          <w:trHeight w:val="203"/>
        </w:trPr>
        <w:tc>
          <w:tcPr>
            <w:tcW w:w="7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80" w:type="dxa"/>
            <w:vAlign w:val="bottom"/>
          </w:tcPr>
          <w:p>
            <w:pPr>
              <w:spacing w:after="0"/>
              <w:rPr>
                <w:sz w:val="17"/>
                <w:szCs w:val="17"/>
                <w:color w:val="auto"/>
              </w:rPr>
            </w:pPr>
          </w:p>
        </w:tc>
      </w:tr>
      <w:tr>
        <w:trPr>
          <w:trHeight w:val="23"/>
        </w:trPr>
        <w:tc>
          <w:tcPr>
            <w:tcW w:w="7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75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7"/>
                <w:szCs w:val="17"/>
                <w:color w:val="auto"/>
              </w:rPr>
            </w:pPr>
          </w:p>
        </w:tc>
      </w:tr>
      <w:tr>
        <w:trPr>
          <w:trHeight w:val="23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comprehensive income:</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4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r>
      <w:tr>
        <w:trPr>
          <w:trHeight w:val="223"/>
        </w:trPr>
        <w:tc>
          <w:tcPr>
            <w:tcW w:w="7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11,372</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03"/>
        </w:trPr>
        <w:tc>
          <w:tcPr>
            <w:tcW w:w="7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100" w:type="dxa"/>
            <w:vAlign w:val="bottom"/>
          </w:tcPr>
          <w:p>
            <w:pPr>
              <w:spacing w:after="0"/>
              <w:rPr>
                <w:sz w:val="17"/>
                <w:szCs w:val="17"/>
                <w:color w:val="auto"/>
              </w:rPr>
            </w:pPr>
          </w:p>
        </w:tc>
      </w:tr>
      <w:tr>
        <w:trPr>
          <w:trHeight w:val="23"/>
        </w:trPr>
        <w:tc>
          <w:tcPr>
            <w:tcW w:w="7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r>
      <w:tr>
        <w:trPr>
          <w:trHeight w:val="23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2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w:t>
            </w:r>
          </w:p>
        </w:tc>
      </w:tr>
      <w:tr>
        <w:trPr>
          <w:trHeight w:val="229"/>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30"/>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r>
      <w:tr>
        <w:trPr>
          <w:trHeight w:val="229"/>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20,502</w:t>
            </w:r>
          </w:p>
        </w:tc>
      </w:tr>
      <w:tr>
        <w:trPr>
          <w:trHeight w:val="229"/>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decrease in inventory</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30"/>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r>
      <w:tr>
        <w:trPr>
          <w:trHeight w:val="229"/>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(21,379)</w:t>
            </w:r>
          </w:p>
        </w:tc>
      </w:tr>
      <w:tr>
        <w:trPr>
          <w:trHeight w:val="22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accrued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w:t>
            </w:r>
          </w:p>
        </w:tc>
      </w:tr>
      <w:tr>
        <w:trPr>
          <w:trHeight w:val="230"/>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income taxes payable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2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deferred pension benefits</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other long-term liabilities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r>
      <w:tr>
        <w:trPr>
          <w:trHeight w:val="230"/>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 acquisition</w:t>
            </w:r>
          </w:p>
        </w:tc>
        <w:tc>
          <w:tcPr>
            <w:tcW w:w="10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(92,000)</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r>
      <w:tr>
        <w:trPr>
          <w:trHeight w:val="230"/>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Proceeds from disposition of capital assets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(99,484)</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 under credit facilities</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102,000</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credit facility borrowings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other long-term debt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dividends paid</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Payroll tax paid to settle shares forfeited upon vesting of stock</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provided by financing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83,314</w:t>
            </w:r>
          </w:p>
        </w:tc>
      </w:tr>
      <w:tr>
        <w:trPr>
          <w:trHeight w:val="229"/>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(12,038)</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58,474</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55,093</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CONDENSED CONSOLIDATED STATEMENTS OF STOCKHOLDERS’ EQUITY (Unaudited)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January 31, 2024</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4"/>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0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251,576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 vested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21"/>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38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January 31, 2024</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248,715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412,922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(32,060)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(74,919)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555,029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January 31, 2023</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4"/>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0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251,947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337,456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 vested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Basis of Presentation</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Quanex Building Products Corporation is a global, publicly traded manufacturing company primarily serving original equipment manufacturers (OEMs) in the fenestration, cabinetry, solar, refrigeration and outdoor products markets.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custom mixing, solar panel sealants, trim moldings, vinyl decking, vinyl fencing, customized compounds, water retention barriers, and conservatory roof components. We have organized our business into three reportable business segments. For additional discussion of our reportable business segments, see Note 11, “Segment Information.”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36"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include the accounts of Quanex Building Products Corporation. All intercompany accounts and transactions have been eliminated in consolidation. These financial statements have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2023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2023.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long-lived assets and goodwill, contingencies and income taxes. Changes in facts and circumstances may result in revised estimates and actual results may differ from these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probable.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7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contracts with multiple performance obligations, the standalone selling price of each product is generally readily observable.</w:t>
      </w:r>
    </w:p>
    <w:p>
      <w:pPr>
        <w:spacing w:after="0" w:line="17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generally expense incremental costs of obtaining a contract when incurred because the amortization period would be less than one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do not disclose the value of unsatisfied performance obligations for contracts with an original expected length of one year or less.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sales incentives</w:t>
      </w:r>
    </w:p>
    <w:p>
      <w:pPr>
        <w:spacing w:after="0" w:line="17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Pricing is established at or prior to the time of sale with our customers and we record sales at the agreed-upon net selling price, reflective of current and prospective discounts.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7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7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Deferred revenue, which is not significant, is recorded when we have remaining unsatisfied performance obligations for which we have received consideration.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produce a wide variety of products that are used in the fenestration industry, including window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product sales for the three months ended January 31, 2024 and 2023 into groupings by segment which we believe depicts how the nature, amount, timing and uncertainty of our revenues and cash flows are affected by economic factors. For further details regarding our results by segment, refer to Note 11, “Segment Information.”</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03"/>
        </w:trPr>
        <w:tc>
          <w:tcPr>
            <w:tcW w:w="7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100" w:type="dxa"/>
            <w:vAlign w:val="bottom"/>
          </w:tcPr>
          <w:p>
            <w:pPr>
              <w:spacing w:after="0"/>
              <w:rPr>
                <w:sz w:val="17"/>
                <w:szCs w:val="17"/>
                <w:color w:val="auto"/>
              </w:rPr>
            </w:pPr>
          </w:p>
        </w:tc>
      </w:tr>
      <w:tr>
        <w:trPr>
          <w:trHeight w:val="23"/>
        </w:trPr>
        <w:tc>
          <w:tcPr>
            <w:tcW w:w="75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54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r>
      <w:tr>
        <w:trPr>
          <w:trHeight w:val="23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American Fenestration:</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111,634</w:t>
            </w:r>
          </w:p>
        </w:tc>
        <w:tc>
          <w:tcPr>
            <w:tcW w:w="18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120,767</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25,791</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23,066</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r>
      <w:tr>
        <w:trPr>
          <w:trHeight w:val="223"/>
        </w:trPr>
        <w:tc>
          <w:tcPr>
            <w:tcW w:w="7540" w:type="dxa"/>
            <w:vAlign w:val="bottom"/>
          </w:tcPr>
          <w:p>
            <w:pPr>
              <w:spacing w:after="0"/>
              <w:rPr>
                <w:sz w:val="19"/>
                <w:szCs w:val="19"/>
                <w:color w:val="auto"/>
              </w:rPr>
            </w:pP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147,995</w:t>
            </w:r>
          </w:p>
        </w:tc>
        <w:tc>
          <w:tcPr>
            <w:tcW w:w="18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152,980</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European Fenestration:</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41,751</w:t>
            </w:r>
          </w:p>
        </w:tc>
        <w:tc>
          <w:tcPr>
            <w:tcW w:w="18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42,354</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1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12,598</w:t>
            </w:r>
          </w:p>
        </w:tc>
      </w:tr>
      <w:tr>
        <w:trPr>
          <w:trHeight w:val="223"/>
        </w:trPr>
        <w:tc>
          <w:tcPr>
            <w:tcW w:w="7540" w:type="dxa"/>
            <w:vAlign w:val="bottom"/>
          </w:tcPr>
          <w:p>
            <w:pPr>
              <w:spacing w:after="0"/>
              <w:rPr>
                <w:sz w:val="19"/>
                <w:szCs w:val="19"/>
                <w:color w:val="auto"/>
              </w:rPr>
            </w:pP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49,437</w:t>
            </w:r>
          </w:p>
        </w:tc>
        <w:tc>
          <w:tcPr>
            <w:tcW w:w="18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54,952</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American Cabinet Components: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8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39,179</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50,049</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23"/>
        </w:trPr>
        <w:tc>
          <w:tcPr>
            <w:tcW w:w="7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43,137</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54,674</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Corporate &amp; Other</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06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3"/>
        </w:trPr>
        <w:tc>
          <w:tcPr>
            <w:tcW w:w="75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239,155</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261,916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have established an allowance for credit losses to estimate the risk of losses, which represents an estimate of expected losses over the remaining contractual life of our receivables. The allowance is determined using two methods. The amounts calculated from each of these methods are combined to determine the total amount reserved. First, a specific reserve is established for individual accounts where information indicates the customers may have an inability to meet financial obligations. Second, a reserve is determined for all customers based on a range of percentages applied to aging categories. These percentages are based on historical collection rates, write-off experience, and forecasts of future economic conditions. Actual write-offs are charged against the allowance when collection efforts have been unsuccessful.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Net sales include transactions with a customer which is a related party with one of our non-employee directors for the three months ended January 31, 2024 and 2023 of approximately $0.2 million, respectively. We performed a review of these transactions, of which no single transaction or series of related transactions exceeded $120,000 in amount, and determined that these transactions were enacted independently of each other. We are not aware of any other related party transactions with any of our current non-employee directors or officers outside of their normal business functions or expected contractual duties.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November 1, 2022, we entered into an Asset Purchase Agreement (the “Purchase Agreement”) with LMI Custom Mixing, LLC (“LMI”) and the equity owners of LMI, Lauren International, Ltd. and Meteor-US-Beteiligungs GMBH. Under the Purchase Agreement, we acquired substantially all of the operating assets comprising LMI’s polymer mixing and rubber compound production business (collectively, the “Purchased Assets”) and also agreed to assume certain liabilities relating to the Purchased Assets (collectively, the “Acquisition”). As consideration for the Purchased Assets, we paid $91.3 million in cash utilizing funds borrowed under our Credit Facility. In connection with the Acquisition, we amended our existing finance lease with Lauren Real Estate Holding LLC for the purpose of adding an additional lease renewal option and increasing rental space by approximately 60,000 square feet of rental space which was added to the 313,595 square feet of rentable area located in Cambridge, Ohio.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consisted of the following at January 31, 2024 and October 31, 2023 (in thousands):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00" w:type="dxa"/>
            <w:vAlign w:val="bottom"/>
          </w:tcPr>
          <w:p>
            <w:pPr>
              <w:spacing w:after="0"/>
              <w:rPr>
                <w:sz w:val="13"/>
                <w:szCs w:val="13"/>
                <w:color w:val="auto"/>
              </w:rPr>
            </w:pPr>
          </w:p>
        </w:tc>
        <w:tc>
          <w:tcPr>
            <w:tcW w:w="14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6"/>
        </w:trPr>
        <w:tc>
          <w:tcPr>
            <w:tcW w:w="75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53,585</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 and work in process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42,195</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r>
      <w:tr>
        <w:trPr>
          <w:trHeight w:val="223"/>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107,478</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97,959</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Fixed costs related to excess manufacturing capacity, if any, have been expensed in the period they were incurred and, therefore, are not capitalized into inventory.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 in the carrying amount of goodwill for the three months ended January 31, 2024 was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9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3"/>
        </w:trPr>
        <w:tc>
          <w:tcPr>
            <w:tcW w:w="9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182,956</w:t>
            </w:r>
          </w:p>
        </w:tc>
      </w:tr>
      <w:tr>
        <w:trPr>
          <w:trHeight w:val="230"/>
        </w:trPr>
        <w:tc>
          <w:tcPr>
            <w:tcW w:w="9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185,439</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our last annual test date, August 31, 2023, we evaluated the recoverability of goodwill at each of our five reporting units with goodwill balances and determined that our goodwill was not impaired. We evaluated for indicators of impairment for all reporting units during the three months ended January 31, 2024 and determined that there were no triggering events. For additional discussion of change in reporting units and a summary of the change in the carrying amount of goodwill by segment, see Note 11, “Segment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Amortizable intangible assets consisted of the following as of January 31, 2024 and October 31, 2023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160" w:type="dxa"/>
            <w:vAlign w:val="bottom"/>
          </w:tcPr>
          <w:p>
            <w:pPr>
              <w:spacing w:after="0"/>
              <w:rPr>
                <w:sz w:val="16"/>
                <w:szCs w:val="16"/>
                <w:color w:val="auto"/>
              </w:rPr>
            </w:pPr>
          </w:p>
        </w:tc>
        <w:tc>
          <w:tcPr>
            <w:tcW w:w="286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October 31, 2023</w:t>
            </w:r>
          </w:p>
        </w:tc>
      </w:tr>
      <w:tr>
        <w:trPr>
          <w:trHeight w:val="23"/>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31"/>
        </w:trPr>
        <w:tc>
          <w:tcPr>
            <w:tcW w:w="50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36"/>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95"/>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28"/>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159,184</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102,324</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157,629</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99,230</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42,879</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other technology</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25,154</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22,185</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25,127</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22,051</w:t>
            </w: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240,341</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168,333</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238,275</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164,160</w:t>
            </w:r>
          </w:p>
        </w:tc>
      </w:tr>
      <w:tr>
        <w:trPr>
          <w:trHeight w:val="21"/>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had aggregate amortization expense related to intangible assets for the three months ended January 31, 2024 of $3.2 million and $3.1 million for the comparable prior year period.</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Estimated remaining amortization expense, assuming current intangible balances and no new acquisitions, for future fiscal years as of January 31, 2024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2024 (remaining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 and Finance Lease Obligations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Long-term debt consisted of the following at January 31, 2024 and October 31, 2023 (in thousands):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98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92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6"/>
        </w:trPr>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24"/>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w:t>
            </w:r>
          </w:p>
        </w:tc>
      </w:tr>
      <w:tr>
        <w:trPr>
          <w:trHeight w:val="230"/>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10,355</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10,113</w:t>
            </w:r>
          </w:p>
        </w:tc>
      </w:tr>
      <w:tr>
        <w:trPr>
          <w:trHeight w:val="230"/>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10,114</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w:t>
            </w:r>
          </w:p>
        </w:tc>
      </w:tr>
      <w:tr>
        <w:trPr>
          <w:trHeight w:val="234"/>
        </w:trPr>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28,006</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4"/>
          <w:szCs w:val="14"/>
          <w:b w:val="1"/>
          <w:bCs w:val="1"/>
          <w:color w:val="auto"/>
        </w:rPr>
        <w:t>January 31,</w:t>
      </w:r>
      <w:r>
        <w:rPr>
          <w:sz w:val="20"/>
          <w:szCs w:val="20"/>
          <w:color w:val="auto"/>
        </w:rPr>
        <w:tab/>
      </w:r>
      <w:r>
        <w:rPr>
          <w:rFonts w:ascii="Times New Roman" w:cs="Times New Roman" w:eastAsia="Times New Roman" w:hAnsi="Times New Roman"/>
          <w:sz w:val="14"/>
          <w:szCs w:val="14"/>
          <w:b w:val="1"/>
          <w:bCs w:val="1"/>
          <w:color w:val="auto"/>
        </w:rPr>
        <w:t>October 31,</w:t>
      </w:r>
    </w:p>
    <w:p>
      <w:pPr>
        <w:spacing w:after="0" w:line="6" w:lineRule="exact"/>
        <w:rPr>
          <w:sz w:val="20"/>
          <w:szCs w:val="20"/>
          <w:color w:val="auto"/>
        </w:rPr>
      </w:pPr>
    </w:p>
    <w:p>
      <w:pPr>
        <w:ind w:left="220"/>
        <w:spacing w:after="0"/>
        <w:tabs>
          <w:tab w:leader="none" w:pos="21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11" w:lineRule="exact"/>
        <w:rPr>
          <w:sz w:val="20"/>
          <w:szCs w:val="20"/>
          <w:color w:val="auto"/>
        </w:rPr>
      </w:pPr>
    </w:p>
    <w:p>
      <w:pPr>
        <w:sectPr>
          <w:pgSz w:w="11900" w:h="16838" w:orient="portrait"/>
          <w:cols w:equalWidth="0" w:num="2">
            <w:col w:w="7680" w:space="400"/>
            <w:col w:w="316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3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 and other</w:t>
            </w: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55,211</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3"/>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64,094</w:t>
            </w:r>
          </w:p>
        </w:tc>
        <w:tc>
          <w:tcPr>
            <w:tcW w:w="1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68,800</w:t>
            </w:r>
          </w:p>
        </w:tc>
      </w:tr>
      <w:tr>
        <w:trPr>
          <w:trHeight w:val="230"/>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23"/>
        </w:trPr>
        <w:tc>
          <w:tcPr>
            <w:tcW w:w="7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Long-term debt</w:t>
            </w: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61,594</w:t>
            </w:r>
          </w:p>
        </w:tc>
        <w:tc>
          <w:tcPr>
            <w:tcW w:w="1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66,435</w:t>
            </w:r>
          </w:p>
        </w:tc>
      </w:tr>
      <w:tr>
        <w:trPr>
          <w:trHeight w:val="20"/>
        </w:trPr>
        <w:tc>
          <w:tcPr>
            <w:tcW w:w="7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July 6, 2022, we entered into our Second Amended and Restated Credit Agreement (the “Credit Facility”) with Wells Fargo Securities, LLC, as Agent, Swingline Lender and Issuing Lender, and BofA Securities, Inc. serving as Syndication Agent. We capitalized $1.2 million of deferred financing fees related to the Credit Facility. This $325.0 million revolving credit facility has a five-year term, maturing on July 6, 2027, and replaces our previous credit facility. Our previous credit facility is more fully described in our Annual Report on Form 10-K for the fiscal year ended October 31, 2023.</w:t>
      </w:r>
    </w:p>
    <w:p>
      <w:pPr>
        <w:spacing w:after="0" w:line="11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Interest payments for the Credit Facility are calculated, at our election and depending upon the Consolidated Net Leverage Ratio, at a Base Rate (as defined within the Credit Facility) plus an applicable margin or at the same rate as Risk-Free Rate (“RFR”) Loans for domestic borrowings or Eurocurrency Rate Loans plus an applicable margin. In addition, we are subject to commitment fees for the unused portion of the Credit Facility.</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applicable margin and commitment fees are outlined in the following table:</w: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Pricing Level</w:t>
            </w:r>
          </w:p>
        </w:tc>
        <w:tc>
          <w:tcPr>
            <w:tcW w:w="33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Consolidated Net Leverage Ratio</w:t>
            </w:r>
          </w:p>
        </w:tc>
        <w:tc>
          <w:tcPr>
            <w:tcW w:w="202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Eurocurrency Rate Loans and RFR</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Base Rate Loans</w:t>
            </w:r>
          </w:p>
        </w:tc>
        <w:tc>
          <w:tcPr>
            <w:tcW w:w="0" w:type="dxa"/>
            <w:vAlign w:val="bottom"/>
          </w:tcPr>
          <w:p>
            <w:pPr>
              <w:spacing w:after="0"/>
              <w:rPr>
                <w:sz w:val="1"/>
                <w:szCs w:val="1"/>
                <w:color w:val="auto"/>
              </w:rPr>
            </w:pPr>
          </w:p>
        </w:tc>
      </w:tr>
      <w:tr>
        <w:trPr>
          <w:trHeight w:val="190"/>
        </w:trPr>
        <w:tc>
          <w:tcPr>
            <w:tcW w:w="1400" w:type="dxa"/>
            <w:vAlign w:val="bottom"/>
            <w:vMerge w:val="continue"/>
          </w:tcPr>
          <w:p>
            <w:pPr>
              <w:spacing w:after="0"/>
              <w:rPr>
                <w:sz w:val="16"/>
                <w:szCs w:val="16"/>
                <w:color w:val="auto"/>
              </w:rPr>
            </w:pPr>
          </w:p>
        </w:tc>
        <w:tc>
          <w:tcPr>
            <w:tcW w:w="330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III</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or equal to 1.50 to 1.00</w:t>
      </w:r>
    </w:p>
    <w:p>
      <w:pPr>
        <w:spacing w:after="0" w:line="2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Greater than 1.50 to 1.00, but less than or equal to 2.25 to 1.00</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Greater than 2.25 to 1.00, but less than or equal to 3.00 to 1.00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than 3.00 to 1.00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174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0.150%</w:t>
            </w:r>
          </w:p>
        </w:tc>
        <w:tc>
          <w:tcPr>
            <w:tcW w:w="140" w:type="dxa"/>
            <w:vAlign w:val="bottom"/>
          </w:tcPr>
          <w:p>
            <w:pPr>
              <w:spacing w:after="0"/>
              <w:rPr>
                <w:sz w:val="20"/>
                <w:szCs w:val="20"/>
                <w:color w:val="auto"/>
              </w:rPr>
            </w:pPr>
          </w:p>
        </w:tc>
        <w:tc>
          <w:tcPr>
            <w:tcW w:w="228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20"/>
                <w:szCs w:val="20"/>
                <w:color w:val="auto"/>
              </w:rPr>
            </w:pPr>
          </w:p>
        </w:tc>
        <w:tc>
          <w:tcPr>
            <w:tcW w:w="17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0.25%</w:t>
            </w:r>
          </w:p>
        </w:tc>
      </w:tr>
      <w:tr>
        <w:trPr>
          <w:trHeight w:val="319"/>
        </w:trPr>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0.175%</w:t>
            </w:r>
          </w:p>
        </w:tc>
        <w:tc>
          <w:tcPr>
            <w:tcW w:w="140" w:type="dxa"/>
            <w:vAlign w:val="bottom"/>
          </w:tcPr>
          <w:p>
            <w:pPr>
              <w:spacing w:after="0"/>
              <w:rPr>
                <w:sz w:val="24"/>
                <w:szCs w:val="24"/>
                <w:color w:val="auto"/>
              </w:rPr>
            </w:pPr>
          </w:p>
        </w:tc>
        <w:tc>
          <w:tcPr>
            <w:tcW w:w="22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24"/>
                <w:szCs w:val="24"/>
                <w:color w:val="auto"/>
              </w:rPr>
            </w:pPr>
          </w:p>
        </w:tc>
        <w:tc>
          <w:tcPr>
            <w:tcW w:w="1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0.50%</w:t>
            </w:r>
          </w:p>
        </w:tc>
      </w:tr>
      <w:tr>
        <w:trPr>
          <w:trHeight w:val="418"/>
        </w:trPr>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0.200%</w:t>
            </w:r>
          </w:p>
        </w:tc>
        <w:tc>
          <w:tcPr>
            <w:tcW w:w="140" w:type="dxa"/>
            <w:vAlign w:val="bottom"/>
          </w:tcPr>
          <w:p>
            <w:pPr>
              <w:spacing w:after="0"/>
              <w:rPr>
                <w:sz w:val="24"/>
                <w:szCs w:val="24"/>
                <w:color w:val="auto"/>
              </w:rPr>
            </w:pPr>
          </w:p>
        </w:tc>
        <w:tc>
          <w:tcPr>
            <w:tcW w:w="22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24"/>
                <w:szCs w:val="24"/>
                <w:color w:val="auto"/>
              </w:rPr>
            </w:pPr>
          </w:p>
        </w:tc>
        <w:tc>
          <w:tcPr>
            <w:tcW w:w="1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0.75%</w:t>
            </w:r>
          </w:p>
        </w:tc>
      </w:tr>
      <w:tr>
        <w:trPr>
          <w:trHeight w:val="324"/>
        </w:trPr>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0.250%</w:t>
            </w:r>
          </w:p>
        </w:tc>
        <w:tc>
          <w:tcPr>
            <w:tcW w:w="140" w:type="dxa"/>
            <w:vAlign w:val="bottom"/>
          </w:tcPr>
          <w:p>
            <w:pPr>
              <w:spacing w:after="0"/>
              <w:rPr>
                <w:sz w:val="24"/>
                <w:szCs w:val="24"/>
                <w:color w:val="auto"/>
              </w:rPr>
            </w:pPr>
          </w:p>
        </w:tc>
        <w:tc>
          <w:tcPr>
            <w:tcW w:w="22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24"/>
                <w:szCs w:val="24"/>
                <w:color w:val="auto"/>
              </w:rPr>
            </w:pPr>
          </w:p>
        </w:tc>
        <w:tc>
          <w:tcPr>
            <w:tcW w:w="1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-410845</wp:posOffset>
            </wp:positionV>
            <wp:extent cx="713232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20" w:space="560"/>
            <w:col w:w="3600" w:space="400"/>
            <w:col w:w="6060"/>
          </w:cols>
          <w:pgMar w:left="320" w:top="121" w:right="339" w:bottom="1440" w:gutter="0" w:footer="0" w:header="0"/>
          <w:type w:val="continuous"/>
        </w:sectPr>
      </w:pPr>
    </w:p>
    <w:p>
      <w:pPr>
        <w:spacing w:after="0" w:line="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the event of default, outstanding borrowings would accrue interest at the Default Rate, as defined, whereby the obligations will bear interest at a per annum rate equal to 2% above the total per annum rate otherwise applicable.</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Credit Facility provides for incremental revolving credit commitments for a minimum principal amount of $10.0 million, up to an aggregate amount of $150.0 million or 100% of Consolidated EBITDA, subject to the lender's discretion to elect or decline the incremental increase. We can also borrow up to the lesser of $15.0 million or the revolving credit commitment, as defined, under a Swingline feature of the Credit Facility.</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Credit Facility contains a: (1) Consolidated Interest Coverage Ratio requirement whereby we must not permit the Consolidated Interest Coverage Ratio, as defined, to be less than 3.00 to 1.00, and (2) Consolidated Net Leverage Ratio requirement, whereby we must not permit the Consolidated Net Leverage Ratio, as defined, to be greater than 3.25 to 1.00.</w:t>
      </w:r>
    </w:p>
    <w:p>
      <w:pPr>
        <w:spacing w:after="0" w:line="9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$25.0 million per year) and other transactions as further defined in the Credit Facility. Some of these limitations, however, do not take effect so long as Consolidated Net Leverage Ratio is less than or equal to 2.75 to 1.00 and available liquidity exceeds $25.0 million. Substantially all of our domestic assets, with the exception of real property, are used as collateral for the Credit Agreement.</w:t>
      </w:r>
    </w:p>
    <w:p>
      <w:pPr>
        <w:spacing w:after="0" w:line="11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January 31, 2024, we had $10.0 million of borrowings outstanding under the Credit Facility (reduced by unamortized debt issuance costs of $1.1 million), $5.1 million of outstanding letters of credit and $55.2 million outstanding primarily under finance leases and other debt. We had $309.9 million available for use under the Credit Facility at January 31, 2024. Outstanding borrowings under the Credit Facility accrue interest at 6.68% per annum. Our weighted-average borrowing rate for borrowings outstanding during the three months ended January 31, 2024 and 2023 was 6.69% and 5.43%, respectively. We were in compliance with our debt covenants as of January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Retirement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non-contributory, single employer defined benefit pension plan covered certain of our employees in the U.S. During the year ended October 31. 2023, we terminated our defined contribution plan and settled the obligation during the three months ended October 31, 2023. The net periodic pension (benefit) cost for this plan for the three months ended January 31, 2024 and 2023 was as follows (in thousands):</w:t>
      </w:r>
    </w:p>
    <w:p>
      <w:pPr>
        <w:spacing w:after="0" w:line="8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88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6"/>
                <w:szCs w:val="16"/>
                <w:color w:val="auto"/>
              </w:rPr>
            </w:pPr>
          </w:p>
        </w:tc>
      </w:tr>
      <w:tr>
        <w:trPr>
          <w:trHeight w:val="203"/>
        </w:trPr>
        <w:tc>
          <w:tcPr>
            <w:tcW w:w="88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120" w:type="dxa"/>
            <w:vAlign w:val="bottom"/>
          </w:tcPr>
          <w:p>
            <w:pPr>
              <w:spacing w:after="0"/>
              <w:rPr>
                <w:sz w:val="17"/>
                <w:szCs w:val="17"/>
                <w:color w:val="auto"/>
              </w:rPr>
            </w:pPr>
          </w:p>
        </w:tc>
      </w:tr>
      <w:tr>
        <w:trPr>
          <w:trHeight w:val="23"/>
        </w:trPr>
        <w:tc>
          <w:tcPr>
            <w:tcW w:w="8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80" w:type="dxa"/>
            <w:vAlign w:val="bottom"/>
            <w:tcBorders>
              <w:bottom w:val="single" w:sz="8" w:color="CCEEFF"/>
            </w:tcBorders>
          </w:tcPr>
          <w:p>
            <w:pPr>
              <w:spacing w:after="0"/>
              <w:rPr>
                <w:sz w:val="16"/>
                <w:szCs w:val="16"/>
                <w:color w:val="auto"/>
              </w:rPr>
            </w:pPr>
          </w:p>
        </w:tc>
        <w:tc>
          <w:tcPr>
            <w:tcW w:w="64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shd w:val="clear" w:color="auto" w:fill="CCEEFF"/>
              </w:rPr>
              <w:t>Service cost</w:t>
            </w:r>
          </w:p>
        </w:tc>
        <w:tc>
          <w:tcPr>
            <w:tcW w:w="6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14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0"/>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Expected return on plan assets</w:t>
            </w:r>
          </w:p>
        </w:tc>
        <w:tc>
          <w:tcPr>
            <w:tcW w:w="1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14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Settlement reimbursement</w:t>
            </w: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periodic pension (benefit) cost</w:t>
            </w:r>
          </w:p>
        </w:tc>
        <w:tc>
          <w:tcPr>
            <w:tcW w:w="11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8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Plans</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also have a supplemental benefit plan covering certain executive officers and key employees and a non-qualified deferred compensation plan covering members of the Board of Directors and certain key employees. As of January 31, 2024 and October 31, 2023, our liability under the supplemental benefit plan was approximately $2.0 million. During the year ended October 31, 2023, the supplemental benefit plan was terminated. Benefits associated with this plan will be distributed in June 2024 in accordance with Internal Revenue Service regulations. As of January 31, 2024 and October 31, 2023, the liability associated with the deferred compensation plan was approximately $4.5 million and $3.9 million, respectively. We record the current portion of liabilities associated with these plans under the caption “Accrued liabilities,” and the long-term portion under the caption “Other liabilities” in the accompanying condensed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To determine our income tax expense or benefit for interim periods, consistent with accounting standards, we apply the estimated annual effective income tax rate to year-to-date results, plus any applicable discrete items, which are recorded in the period in which they occur. Discrete items include, among others, such events as changes in estimates due to the finalization of tax returns, tax audit settlements, expiration of statutes of limitations, tax benefits on equity compensation, and increase or decrease in valuation allowances on deferred tax assets. Our annual effective tax rates from continuing operations for the three months ended January 31, 2024 and 2023 were 20.8% and 19.2%, respectively. The difference between our effective income tax rate and the U.S. federal statutory rate of 21% principally results from discrete tax items, U.S. state tax, non-U.S. tax rate differential and other permanent differences. The primary discrete items affecting the 2024 effective rate were the benefit of $0.4 million related to the vesting or exercise of equity-based compensation awards, and a charge of $0.6 million related to the true up of the deferred tax rate. The primary discrete item affecting the 2023 effective rate was a benefit of $0.2 million related to foreign entities true up.</w:t>
      </w:r>
    </w:p>
    <w:p>
      <w:pPr>
        <w:spacing w:after="0" w:line="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January 31, 2024, our liability for uncertain tax positions (UTP) of $0.3 million relates to certain U.S. federal and state tax items regarding the interpretation of tax laws and regulations, including a minimal amount of interest and penalties. We include all interest and penalties related to uncertain tax benefits within our income tax provision account. To the extent interest and penalties are not assessed with respect to uncertain tax positions or the uncertainty of deductions in the future, amounts accrued will be reduced and reflected as a reduction of the overall income tax provision.</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evaluate the likelihood of realization of our deferred tax assets by considering both positive and negative evidence. We maintain a valuation allowance for certain state net operating losses which totaled $0.6 million as of January 31, 2024 and October 31, 2023,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and Environmental Compliance Costs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Currently, we are not involved in any such matters.</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2024.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 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3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 of Assets and Liabilities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75" w:lineRule="exact"/>
        <w:rPr>
          <w:sz w:val="20"/>
          <w:szCs w:val="20"/>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jc w:val="both"/>
        <w:ind w:left="500" w:hanging="168"/>
        <w:spacing w:after="0" w:line="26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that are both significant to the fair value measurement and unobservable.</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January 31, 2024, and October 31, 2023 (Level 2 measurement).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performance share awards are marked-to-market on a quarterly basis during a three-year vesting period based on market data (Level 2 measurement). For further information, refer to Note 10, “Stock-Based Compensation - Performance Share Awards.”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used recognized valuation techniques to determine the preliminary fair value of the assets and liabilities, including the excess earnings method for customer relationships and relief from royalty method for trade names and other technology with a discount rate that reflects the risk of the expected future cash flows (Level 3 measurement). For further information, refer to Note 2, “Acquisition.”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12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aggregate number of shares of common stock authorized for grant under the 2020 Plan is 3,139,895 as approved by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performance shares and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7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Restricted stock awards are granted to key employees and officers annually, and typically cliff vest over a three-year period with service and continued employment as the only vesting criteria. The recipient of the restricted stock award is entitled to all of the rights of a shareholder, except that the award is nontransferable during the vesting period and quarterly dividends are not paid until the award vests.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non-vested restricted stock awards activity during the three months ended January 31, 2024 is presented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8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6"/>
        </w:trPr>
        <w:tc>
          <w:tcPr>
            <w:tcW w:w="708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 per Share</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2023</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242,300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(66,600)</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31, 2024</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236,800</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total weighted-average grant-date fair value of restricted stock awards that vested during each of the three months ended January 31, 2024 and 2023 was $1.4 million and $0.9 million, respectively. As of January 31, 2024, total unrecognized compensation cost related to unamortized restricted stock awards was $4.0 million. We expect to recognize this expense over the remaining weighted-average vesting period of 2.3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and performance shares as further described below. As a result, the final stock options were granted during the fiscal year ended October 31, 2017. Stock options typically vested ratably over a three-year period with service and continued employment as the vesting conditions. Our stock options may be exercised up to a maximum of ten years from the date of grant. The fair value of the stock options was determined on the grant date and expensed over the vesting period resulting in an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increase in additional paid-in-capital. For employees who were nearing retirement-eligibility, we recognize stock option expense ratably over the shorter of the vesting period or the period from the grant-date to the retirement-eligibility date.</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use a Black-Scholes pricing model to estimate the fair value of stock options. A description of the methodology for the valuation assumptions was disclosed in our Annual Report on Form 10-K for the fiscal year ended October 31, 2023.</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three months ended January 31,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00" w:type="dxa"/>
            <w:vAlign w:val="bottom"/>
          </w:tcPr>
          <w:p>
            <w:pPr>
              <w:spacing w:after="0"/>
              <w:rPr>
                <w:sz w:val="12"/>
                <w:szCs w:val="12"/>
                <w:color w:val="auto"/>
              </w:rPr>
            </w:pPr>
          </w:p>
        </w:tc>
        <w:tc>
          <w:tcPr>
            <w:tcW w:w="112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0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Value (000s)</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107,530</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at January 31, 2024</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87,250</w:t>
            </w:r>
          </w:p>
        </w:tc>
        <w:tc>
          <w:tcPr>
            <w:tcW w:w="3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19.43</w:t>
            </w:r>
          </w:p>
        </w:tc>
        <w:tc>
          <w:tcPr>
            <w:tcW w:w="20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January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Intrinsic value is the amount by which the market price of the common stock on the date of exercise exceeds the exercise price of the stock option. The total intrinsic value of stock options exercised during the three months ended January 31, 2024 and 2023 was $0.2 million and less than $0.1 million,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January 31, 2024 and 2023, non-employee directors received 26,215 and 38,704 restricted stock units, respectively, at a weighted-average grant date fair value of $26.70 per share and $20.67 per share, respectively, which vested immediately. During the three months ended January 31, 2023, 21,774 restricted stock units, which were awarded to key employees, vested. During the three months ended January 31, 2024, we paid $0.1 million and $0.4 million for the comparable prior year to settle vested restricted stock units.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Awards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awarded annual grants of performance shares to key employees and officers. Performance share awards vest with return on net assets (RONA) as the vesting condition and pay out 100% in cash, and are accounted for as liability.</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expected cash settlement of the performance share award is recorded as a liability and is being marked to market over the three-year term of the award and can fluctuate depending on the number of shares ultimately expected to vest. Depending on the achievement of the performance conditions, 0% to 200% of the awarded performance shares may ultimately vest.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share grants and the grant date fair value for the RONA performance metrics: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203"/>
        </w:trPr>
        <w:tc>
          <w:tcPr>
            <w:tcW w:w="78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9, 2021</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7,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3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December 2023, 122,400 shares vested pursuant to the December 2020 grant, which were settled with a cash payment of $3.4 million.</w:t>
      </w:r>
    </w:p>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Performance share awards are payable in cash based upon the number of performance shares ultimately earned, and are therefore not considered outstanding shares.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award performance restricted stock units to key employees and officers.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 value the performance restricted stock units, we used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Level</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Criteria</w:t>
            </w:r>
          </w:p>
        </w:tc>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Percentage of Award Vested</w:t>
            </w:r>
          </w:p>
        </w:tc>
      </w:t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greater than or equal to 50%</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50% and greater than or equal to 20%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less than 20% and greater than or equal to -20%</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4</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-20%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restricted stock unit grants and the grant date fair value for the A-TSR performance metric:</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203"/>
        </w:trPr>
        <w:tc>
          <w:tcPr>
            <w:tcW w:w="78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9, 2021</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7,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January 31, 2024, 49,228 performance restricted stock units vested.</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January 31, 2024, we have deemed 58,957 shares related to the December 2021 grant of performance restricted stock units as probable to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summarizes amounts expensed as selling, general and administrative expense related to restricted stock awards, stock options, restricted stock units, performance share awards and performance restricted stock units for the three months ended January 31, 2024 and 2023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03"/>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100" w:type="dxa"/>
            <w:vAlign w:val="bottom"/>
          </w:tcPr>
          <w:p>
            <w:pPr>
              <w:spacing w:after="0"/>
              <w:rPr>
                <w:sz w:val="17"/>
                <w:szCs w:val="17"/>
                <w:color w:val="auto"/>
              </w:rPr>
            </w:pPr>
          </w:p>
        </w:tc>
      </w:tr>
      <w:tr>
        <w:trPr>
          <w:trHeight w:val="23"/>
        </w:trPr>
        <w:tc>
          <w:tcPr>
            <w:tcW w:w="7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6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awards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There were no charges to retained earnings during the three months ended January 31, 2024.</w:t>
      </w:r>
    </w:p>
    <w:p>
      <w:pPr>
        <w:sectPr>
          <w:pgSz w:w="11900" w:h="16838" w:orient="portrait"/>
          <w:cols w:equalWidth="0" w:num="1">
            <w:col w:w="11240"/>
          </w:cols>
          <w:pgMar w:left="320" w:top="121" w:right="339" w:bottom="1440" w:gutter="0" w:footer="0" w:header="0"/>
        </w:sectPr>
      </w:pP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treasury stock activity during the three months ended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2023</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Restricted stock awards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Performance restricted stock units vested</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Stock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January 31, 2024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January 31, 2024</w:t>
      </w:r>
    </w:p>
    <w:p>
      <w:pPr>
        <w:spacing w:after="0" w:line="6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4,165,839</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(72,900)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(49,228)</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(20,280)</w:t>
      </w:r>
    </w:p>
    <w:p>
      <w:pPr>
        <w:spacing w:after="0" w:line="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4,023,431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43180</wp:posOffset>
            </wp:positionV>
            <wp:extent cx="13887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8780" w:space="720"/>
            <w:col w:w="1740"/>
          </w:cols>
          <w:pgMar w:left="320" w:top="121" w:right="339" w:bottom="1440" w:gutter="0" w:footer="0" w:header="0"/>
          <w:type w:val="continuous"/>
        </w:sect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present three reportable business segments (1) NA Fenestration, comprising four operating segments primarily focused on the fenestration market in North America including vinyl profiles, insulating glass spacers, screens, custom compound mixing, and other fenestration components; (2) EU Fenestration, comprising our U.K.-based vinyl extrusion business, manufacturing vinyl profiles &amp; conservatories, and the European insulating glass business manufacturing insulating glass spacers; and (3) NA Cabinet Components, comprising our cabinet door and components operations. Additionally, we maintain an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the accompanying condensed consolidated financial statements. Corporate general and administrative expense allocated during the three month period ended January 31, 2024 was $7.3 million and $4.3 million for the comparable prior year period.</w:t>
      </w:r>
    </w:p>
    <w:p>
      <w:pPr>
        <w:spacing w:after="0" w:line="13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delivery, although the extent of the use of third-party distributors will vary amongst the businesses; (5) similar regulatory environment; and (6) converging long-term economic similarities.</w:t>
      </w:r>
    </w:p>
    <w:p>
      <w:pPr>
        <w:spacing w:after="0" w:line="108"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Segment information for the three months ended January 31, 2024 and 2023, and total assets as of January 31, 2024 and October 31, 2023 are summarized in the following table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2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 Cabinet</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300" w:type="dxa"/>
            <w:vAlign w:val="bottom"/>
          </w:tcPr>
          <w:p>
            <w:pPr>
              <w:spacing w:after="0"/>
              <w:rPr>
                <w:sz w:val="13"/>
                <w:szCs w:val="13"/>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2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4260" w:type="dxa"/>
            <w:vAlign w:val="bottom"/>
            <w:tcBorders>
              <w:top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 January 31, 2024</w:t>
            </w: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5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147,995</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49,437</w:t>
            </w:r>
          </w:p>
        </w:tc>
        <w:tc>
          <w:tcPr>
            <w:tcW w:w="1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43,137</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239,155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Three Months Ended January 31, 2023</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152,980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6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 of January 31, 2024</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80" w:type="dxa"/>
            <w:vAlign w:val="bottom"/>
            <w:tcBorders>
              <w:top w:val="single" w:sz="8" w:color="CCEEFF"/>
            </w:tcBorders>
            <w:gridSpan w:val="2"/>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372,328</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242,615</w:t>
            </w:r>
          </w:p>
        </w:tc>
        <w:tc>
          <w:tcPr>
            <w:tcW w:w="1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156,353</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42,124</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813,420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 of October 31, 2023</w:t>
            </w:r>
          </w:p>
        </w:tc>
        <w:tc>
          <w:tcPr>
            <w:tcW w:w="268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379,286</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239,333</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158,824</w:t>
            </w:r>
          </w:p>
        </w:tc>
        <w:tc>
          <w:tcPr>
            <w:tcW w:w="18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53,700</w:t>
            </w:r>
          </w:p>
        </w:tc>
        <w:tc>
          <w:tcPr>
            <w:tcW w:w="1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831,143</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change in the carrying amount of goodwill by reportable business segment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2024 (in thousands):</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0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 Cabinet Comp.</w:t>
            </w:r>
          </w:p>
        </w:tc>
        <w:tc>
          <w:tcPr>
            <w:tcW w:w="14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80" w:type="dxa"/>
            <w:vAlign w:val="bottom"/>
          </w:tcPr>
          <w:p>
            <w:pPr>
              <w:spacing w:after="0"/>
              <w:rPr>
                <w:sz w:val="13"/>
                <w:szCs w:val="13"/>
                <w:color w:val="auto"/>
              </w:rPr>
            </w:pPr>
          </w:p>
        </w:tc>
        <w:tc>
          <w:tcPr>
            <w:tcW w:w="96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October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80,105</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63,704</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182,956</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48"/>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January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80,105</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185,439</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further details of Goodwill, see Note 4, “Goodwill &amp; Intangible Assets,” located herewith.</w:t>
      </w:r>
    </w:p>
    <w:p>
      <w:pPr>
        <w:spacing w:after="0" w:line="17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did not allocate non-operating loss or income tax benefit to the reportable segments. The following table reconciles operating income as reported above to net income for the three months ended January 31, 2024 and 2023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03"/>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100" w:type="dxa"/>
            <w:vAlign w:val="bottom"/>
          </w:tcPr>
          <w:p>
            <w:pPr>
              <w:spacing w:after="0"/>
              <w:rPr>
                <w:sz w:val="17"/>
                <w:szCs w:val="17"/>
                <w:color w:val="auto"/>
              </w:rPr>
            </w:pPr>
          </w:p>
        </w:tc>
      </w:tr>
      <w:tr>
        <w:trPr>
          <w:trHeight w:val="23"/>
        </w:trPr>
        <w:tc>
          <w:tcPr>
            <w:tcW w:w="7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6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7,917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19"/>
                <w:szCs w:val="19"/>
                <w:color w:val="auto"/>
              </w:rPr>
            </w:pPr>
          </w:p>
        </w:tc>
        <w:tc>
          <w:tcPr>
            <w:tcW w:w="66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8"/>
              </w:rPr>
              <w:t>(1,068)</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w w:val="98"/>
              </w:rPr>
              <w:t>(1,642)</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6,249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weighted-average number of common shares outstanding during the period. Diluted earnings per common and potential common shares include the weighted-average of additional shares associated with the incremental effect of dilutive employee stock options, non-vested restricted stock as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using the treasury stock method prescribed by U.S. GAAP and contingent shares associated with performance share awards, if dilutive.</w:t>
      </w:r>
    </w:p>
    <w:p>
      <w:pPr>
        <w:spacing w:after="0" w:line="15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Basic and diluted earnings per share for the three months ended January 31, 2024 and 2023 were calculated as follows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CCEEFF"/>
            </w:tcBorders>
            <w:shd w:val="clear" w:color="auto" w:fill="CCEEFF"/>
          </w:tcPr>
          <w:p>
            <w:pPr>
              <w:spacing w:after="0"/>
              <w:rPr>
                <w:sz w:val="15"/>
                <w:szCs w:val="15"/>
                <w:color w:val="auto"/>
              </w:rPr>
            </w:pPr>
          </w:p>
        </w:tc>
        <w:tc>
          <w:tcPr>
            <w:tcW w:w="6480" w:type="dxa"/>
            <w:vAlign w:val="bottom"/>
            <w:tcBorders>
              <w:top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 January 31, 2024</w:t>
            </w: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7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20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32,825</w:t>
            </w:r>
          </w:p>
        </w:tc>
        <w:tc>
          <w:tcPr>
            <w:tcW w:w="4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80" w:type="dxa"/>
            <w:vAlign w:val="bottom"/>
            <w:tcBorders>
              <w:top w:val="single" w:sz="8" w:color="CCEEFF"/>
              <w:bottom w:val="single" w:sz="8" w:color="CCEEFF"/>
            </w:tcBorders>
            <w:gridSpan w:val="2"/>
            <w:vMerge w:val="restart"/>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 January 31, 2023</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4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32,951</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33,137</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do not include equity instruments in our calculation of diluted earnings per share if those instruments would be anti-dilutive. Such dilution is dependent on the excess of the market price of our stock over the exercise price and other components of the treasury stock method. There were no anti-dilutive instruments for the three months ended January 31, 2024 and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New Accounting Guidance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months ended January 31,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“Segment Reporting (Topic 280): Improvements to Reportable Segment Disclosures,”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with early adoption is permitted. The guidance is to be applied retrospectively to all prior periods presented in the financial statements. We are currently evaluating the potential impact of adopting this new guidance on our consolidated financial statements and related disclosures.</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“Income Taxes (Topic 740): Improvements to Income Tax Disclosures,” which includes updates to the income tax disclosures related to the rate reconciliation and disaggregation of income taxes paid by jurisdiction. The amendments are effective for fiscal years beginning after December 15, 2024 with early adoption permitted. The amendments should be applied prospectively, however retrospective application is permitted. We are currently evaluating the potential impact of adopting this new guidance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Certain of the statements contained in this document and in documents incorporated by reference herein, including those made under the caption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are “forward-looking” statements as defined under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109" w:lineRule="exact"/>
        <w:rPr>
          <w:sz w:val="20"/>
          <w:szCs w:val="20"/>
          <w:color w:val="auto"/>
        </w:rPr>
      </w:pPr>
    </w:p>
    <w:p>
      <w:pPr>
        <w:ind w:left="660" w:hanging="166"/>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(including pandemics, such as the COVID-19 pandemic and quarantines) on the economy, demand for our products or our operations, including the responses of governmental authorities to contain such public health issues;</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particularly in the new home construction, and residential remodeling and replacement (R&amp;R) activity markets in the United States, United Kingdom, Germany and elsewhere;</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non-pass-through raw material costs;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international economic conditions;</w:t>
      </w:r>
    </w:p>
    <w:p>
      <w:pPr>
        <w:spacing w:after="0" w:line="63" w:lineRule="exact"/>
        <w:rPr>
          <w:rFonts w:ascii="Times New Roman" w:cs="Times New Roman" w:eastAsia="Times New Roman" w:hAnsi="Times New Roman"/>
          <w:sz w:val="18"/>
          <w:szCs w:val="18"/>
          <w:color w:val="auto"/>
        </w:rPr>
      </w:pPr>
    </w:p>
    <w:p>
      <w:pPr>
        <w:ind w:left="660" w:right="20" w:hanging="166"/>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and prices of raw material including inflationary pressures and supply chain challenges, which could be exacerbated by political or global unrest such as the current military conflicts in Ukraine and Gaza;</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labor;</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purchases by our principal customers;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internal operating plans and acquisition strategies;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plans with respect to information technology (IT) systems and processes;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and increase profitability;</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laws and regulations;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warranty obligations;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costs and the availability of energy;</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facilities and remain in good standing with our lenders;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or applicability of our insurance coverage;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our suppliers, subcontractors, and key customers; and</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litigation and other legal proceedings.</w:t>
      </w:r>
    </w:p>
    <w:p>
      <w:pPr>
        <w:spacing w:after="0" w:line="142"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on additional factors that could cause actual results to differ materially, please refer to the section entitled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in our Annual Report on Form 10-K for the fiscal year ended October 31, 2023.</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1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accompanying unaudited condensed consolidated financial statements and related notes as of January 31, 2024, and for the three months ended January 31, 2024 and 2023, included elsewhere herein. For additional information pertaining to our business, including risk factors which should be considered before investing in our common stock, refer to our Annual Report on Form 10-K for the fiscal year ended October 31, 2023.</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manufacture components for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custom mixing, solar panel sealants, trim moldings, vinyl decking, vinyl fencing, customized compounds, water retention barriers, and conservatory roof components.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34"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2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currently have three reportable business segments: (1) North American Fenestration segment (“NA Fenestration”), comprising four operating segments, manufacturing vinyl profiles, IG spacers, screens, custom compound mixing, and other fenestration components; (2) European Fenestration segment (“EU Fenestration”), comprising our U.K.-based vinyl extrusion business, manufacturing vinyl profiles and conservatories, and the European insulating glass business manufacturing IG spacers; and (3) North American Cabinet Components segment (“NA Cabinet Components”), comprising our North American cabinet door and components business and two wood-manufacturing plants. We maintain a grouping called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our accompanying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Transactions and Events</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November 1, 2022, we entered into an Asset Purchase Agreement with LMI and the equity owners of LMI, Lauren International, Ltd. and Meteor-US-Beteiligungs GMBH. Under the Purchase Agreement, we acquired substantially all of the operating assets comprising LMI’s polymer mixing and rubber compound production business and also agreed to assume certain liabilities relating to the Acquisition. As consideration for the Purchased Assets, we paid $91.3 million in cash utilizing funds borrowed under our Credit Facility. In connection with the Acquisition, we amended our existing finance lease with Lauren Real Estate Holding LLC for the purpose of adding an additional lease renewal option and increasing rental space by approximately 60,000 square feet of rental space which was added to the 313,595 square feet of rentable area located in Cambridge, Ohio.</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military conflicts currently ongoing in Ukraine and Gaza. Although the length and impact of these ongoing military conflicts are highly unpredictable, the conflicts could lead to market or operational disruptions, including significant volatility in commodity prices, credit and capital markets, as well as supply chain interruptions. Russia, Europe’s largest provider of natural gas, has significantly reduced the export of natural gas compared to the beginning of the conflict resulting in the increase in natural gas prices and the potential for natural gas shortages. In addition, one of the suppliers of a vapor barrier used in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production of our insulating glass spacers is located in Israel and may experience a disruption as a result of the ongoing conflict in Gaza. If these trends continues, this would not only negatively impact our European manufacturing facilities, this may also impact our customers and their demand for our products. We continue to monitor these situations and their impact on our business.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conflicts in Ukraine and Gaza and their impacts on the global economy, including inflation and the price of raw materials, supply chain disruptions, and the volatility in interest rates including home mortgage rates, are unpredictable and there may be developments outside our control requiring us to adjust our operating plan.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 and Outlook</w:t>
      </w:r>
    </w:p>
    <w:p>
      <w:pPr>
        <w:spacing w:after="0" w:line="16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believe the primary drivers of our operating results continue to be North American new home construction and residential remodeling and replacement (R&amp;R) activity. We believe that housing starts and window shipments are indicators of activity levels in the homebuilding and window industries, and we use this data, as published by or derived from third-party sources, to evaluate the market. We have evaluated the market using data from the National Association of Homebuilders (NAHB) with regard to housing starts, and published reports by Ducker Worldwide, LLC (Ducker), a consulting and research firm, with regard to window shipments in the U.S. We obtain market data from Catalina Research, a consulting and research firm, for insight into the U.S. residential wood cabinet demand.</w:t>
      </w:r>
    </w:p>
    <w:p>
      <w:pPr>
        <w:spacing w:after="0" w:line="10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In February </w:t>
      </w:r>
      <w:r>
        <w:rPr>
          <w:rFonts w:ascii="Times New Roman" w:cs="Times New Roman" w:eastAsia="Times New Roman" w:hAnsi="Times New Roman"/>
          <w:sz w:val="16"/>
          <w:szCs w:val="16"/>
          <w:color w:val="auto"/>
        </w:rPr>
        <w:t>2024</w:t>
      </w:r>
      <w:r>
        <w:rPr>
          <w:rFonts w:ascii="Times New Roman" w:cs="Times New Roman" w:eastAsia="Times New Roman" w:hAnsi="Times New Roman"/>
          <w:sz w:val="18"/>
          <w:szCs w:val="18"/>
          <w:color w:val="auto"/>
        </w:rPr>
        <w:t xml:space="preserve">, the NAHB forecasted calendar-year housing starts to be 1.4 million in the 2024 and 2025 calendar-years. In February </w:t>
      </w:r>
      <w:r>
        <w:rPr>
          <w:rFonts w:ascii="Times New Roman" w:cs="Times New Roman" w:eastAsia="Times New Roman" w:hAnsi="Times New Roman"/>
          <w:sz w:val="16"/>
          <w:szCs w:val="16"/>
          <w:color w:val="auto"/>
        </w:rPr>
        <w:t>2024</w:t>
      </w:r>
      <w:r>
        <w:rPr>
          <w:rFonts w:ascii="Times New Roman" w:cs="Times New Roman" w:eastAsia="Times New Roman" w:hAnsi="Times New Roman"/>
          <w:sz w:val="18"/>
          <w:szCs w:val="18"/>
          <w:color w:val="auto"/>
        </w:rPr>
        <w:t>, the Ducker forecast indicated that total window shipments are expected to decrease 7.6% in calendar-year 2023 and 1.2% in 2024.</w:t>
      </w:r>
    </w:p>
    <w:p>
      <w:pPr>
        <w:spacing w:after="0" w:line="9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Several commodities in our business are subject to pricing fluctuations, including polyvinyl resin (PVC), titanium dioxide (TiO2), petroleum products, aluminum and wood. For the majority of our customers and critical suppliers, we have price adjusters in place which effectively share the impact of pass-through price changes for our primary commodities with our customers commensurate with the market at large. Our long-term exposure to these price fluctuations is somewhat mitigated due to the contractual component of the adjuster programs.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are in high demand, particularly in Europe, which can affect the cost of the raw materials, a portion of which we may not be able to fully recover.</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global economy remains uncertain due to currency devaluations, political unrest, terror threats, global pandemics such as COVID-19, and even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January 31, 2024 Compared to Three Months Ended January 31,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gridSpan w:val="7"/>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239,155</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261,916</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187,723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(22,426)</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0" w:type="dxa"/>
            <w:vAlign w:val="bottom"/>
            <w:tcBorders>
              <w:top w:val="single" w:sz="8" w:color="CCEEFF"/>
              <w:bottom w:val="single" w:sz="8" w:color="CCEEFF"/>
            </w:tcBorders>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Our period-over-period results by reportable segment follow.</w:t>
            </w: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5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NA Fenestration</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 Variance</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7"/>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147,995</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152,980</w:t>
            </w:r>
          </w:p>
        </w:tc>
        <w:tc>
          <w:tcPr>
            <w:tcW w:w="1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(4,985)</w:t>
            </w:r>
          </w:p>
        </w:tc>
        <w:tc>
          <w:tcPr>
            <w:tcW w:w="140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118,368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(6,349)</w:t>
            </w:r>
          </w:p>
        </w:tc>
        <w:tc>
          <w:tcPr>
            <w:tcW w:w="14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15,910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2,615</w:t>
            </w:r>
          </w:p>
        </w:tc>
        <w:tc>
          <w:tcPr>
            <w:tcW w:w="14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5,475</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w:t>
            </w:r>
          </w:p>
        </w:tc>
        <w:tc>
          <w:tcPr>
            <w:tcW w:w="1400" w:type="dxa"/>
            <w:vAlign w:val="bottom"/>
            <w:tcBorders>
              <w:bottom w:val="single" w:sz="8" w:color="CCEEFF"/>
            </w:tcBorders>
          </w:tcPr>
          <w:p>
            <w:pPr>
              <w:jc w:val="center"/>
              <w:ind w:left="33"/>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8,242</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1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(1,481)</w:t>
            </w:r>
          </w:p>
        </w:tc>
        <w:tc>
          <w:tcPr>
            <w:tcW w:w="140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5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firstLine="44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$5.0 million, or 3%, for the three months ended January 31, 2024 compared to the same period in 2023,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 $4.3 million decrease in volumes mainly due to softer market demand and a return to normal seasonality and a $0.7 million decrease in price and raw material surcharges.</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decreased $6.3 million, or 5%, for the three months ended January 31, 2024 as compared to the same period in 2023.</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including labor, decreased primarily due to lower volumes and deflation of raw materials during the period.</w:t>
      </w:r>
    </w:p>
    <w:p>
      <w:pPr>
        <w:spacing w:after="0" w:line="137"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S</w:t>
      </w:r>
      <w:r>
        <w:rPr>
          <w:rFonts w:ascii="Times New Roman" w:cs="Times New Roman" w:eastAsia="Times New Roman" w:hAnsi="Times New Roman"/>
          <w:sz w:val="18"/>
          <w:szCs w:val="18"/>
          <w:color w:val="auto"/>
        </w:rPr>
        <w:t>elling, general and administrative expenses increased $2.6 million, or 20%,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31, 2024 as compared to the same period in 2023. The increase is primarily due to increases in labor costs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EU Fenestration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Variance %</w:t>
            </w:r>
          </w:p>
        </w:tc>
        <w:tc>
          <w:tcPr>
            <w:tcW w:w="0" w:type="dxa"/>
            <w:vAlign w:val="bottom"/>
          </w:tcPr>
          <w:p>
            <w:pPr>
              <w:spacing w:after="0"/>
              <w:rPr>
                <w:sz w:val="1"/>
                <w:szCs w:val="1"/>
                <w:color w:val="auto"/>
              </w:rPr>
            </w:pPr>
          </w:p>
        </w:tc>
      </w:tr>
      <w:tr>
        <w:trPr>
          <w:trHeight w:val="181"/>
        </w:trPr>
        <w:tc>
          <w:tcPr>
            <w:tcW w:w="5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4"/>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49,437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54,952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4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31,703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37,703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40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7,745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7,505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0" w:type="dxa"/>
            <w:vAlign w:val="bottom"/>
            <w:tcBorders>
              <w:bottom w:val="single" w:sz="8" w:color="CCEEFF"/>
            </w:tcBorders>
          </w:tcPr>
          <w:p>
            <w:pPr>
              <w:jc w:val="center"/>
              <w:ind w:left="34"/>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7,431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7,396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$5.5 million, or 10%, comparing the three months ended January 31, 2024 to the same period in 2023,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 $6.8 million decrease in volumes largely due to softer market demand and a return to normal seasonality, partially offset by $1.0 million of foreign currency rate change and $0.3 million of base price increases.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decreased $6.0 million, or 16%, for the three months ended January 31, 2024 compared to the same period in 2023.</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decreased primarily due to a decrease in volumes, deflation in the price of raw materials and foreign currency impacts.</w:t>
      </w:r>
    </w:p>
    <w:p>
      <w:pPr>
        <w:spacing w:after="0" w:line="137"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increased $0.2 million, or 3%,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31, 2024 compared to the same period in 2023. The increase is primarily due to increases in labor costs year-over-year.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Cabinet Components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Variance %</w:t>
            </w:r>
          </w:p>
        </w:tc>
        <w:tc>
          <w:tcPr>
            <w:tcW w:w="0" w:type="dxa"/>
            <w:vAlign w:val="bottom"/>
          </w:tcPr>
          <w:p>
            <w:pPr>
              <w:spacing w:after="0"/>
              <w:rPr>
                <w:sz w:val="1"/>
                <w:szCs w:val="1"/>
                <w:color w:val="auto"/>
              </w:rPr>
            </w:pPr>
          </w:p>
        </w:tc>
      </w:tr>
      <w:tr>
        <w:trPr>
          <w:trHeight w:val="181"/>
        </w:trPr>
        <w:tc>
          <w:tcPr>
            <w:tcW w:w="5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4"/>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43,137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54,674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w:t>
            </w:r>
          </w:p>
        </w:tc>
        <w:tc>
          <w:tcPr>
            <w:tcW w:w="14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38,743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48,056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140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0" w:type="dxa"/>
            <w:vAlign w:val="bottom"/>
            <w:tcBorders>
              <w:bottom w:val="single" w:sz="8" w:color="CCEEFF"/>
            </w:tcBorders>
          </w:tcPr>
          <w:p>
            <w:pPr>
              <w:jc w:val="center"/>
              <w:ind w:left="34"/>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40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9"/>
              </w:rPr>
              <w:t>219%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loss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$11.5 million, or 21%, for the three months ended January 31, 2024 compared to the same period in 2023,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a $6.4 million decrease in volumes due to softer market demand driven by weaker consumer confidence and a $5.1 million decrease in raw material indexes.</w:t>
      </w:r>
    </w:p>
    <w:p>
      <w:pPr>
        <w:spacing w:after="0" w:line="92"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decreased $9.3 million, or 19%, for the three months ended January 31, 2024 compared with the same period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as a result of lower volumes year-over-year.</w:t>
      </w:r>
    </w:p>
    <w:p>
      <w:pPr>
        <w:spacing w:after="0" w:line="91"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 increased $0.3 million, or 5%,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31, 2024 compared to the same period in 2023. This increase is primarily due to due to increases in labor costs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Unallocated Corporate &amp; Other</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420" w:type="dxa"/>
            <w:vAlign w:val="bottom"/>
            <w:tcBorders>
              <w:bottom w:val="single" w:sz="8" w:color="auto"/>
            </w:tcBorders>
          </w:tcPr>
          <w:p>
            <w:pPr>
              <w:spacing w:after="0"/>
              <w:rPr>
                <w:sz w:val="18"/>
                <w:szCs w:val="18"/>
                <w:color w:val="auto"/>
              </w:rPr>
            </w:pPr>
          </w:p>
        </w:tc>
      </w:tr>
      <w:tr>
        <w:trPr>
          <w:trHeight w:val="193"/>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Variance %</w:t>
            </w:r>
          </w:p>
        </w:tc>
      </w:tr>
      <w:tr>
        <w:trPr>
          <w:trHeight w:val="181"/>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4"/>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20" w:type="dxa"/>
            <w:vAlign w:val="bottom"/>
          </w:tcPr>
          <w:p>
            <w:pPr>
              <w:spacing w:after="0"/>
              <w:rPr>
                <w:sz w:val="15"/>
                <w:szCs w:val="15"/>
                <w:color w:val="auto"/>
              </w:rPr>
            </w:pPr>
          </w:p>
        </w:tc>
      </w:tr>
      <w:tr>
        <w:trPr>
          <w:trHeight w:val="23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42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105%</w:t>
            </w:r>
          </w:p>
        </w:tc>
      </w:tr>
      <w:tr>
        <w:trPr>
          <w:trHeight w:val="229"/>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42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234%</w:t>
            </w:r>
          </w:p>
        </w:tc>
      </w:tr>
      <w:tr>
        <w:trPr>
          <w:trHeight w:val="229"/>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42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7"/>
              </w:rPr>
              <w:t>(68)%</w:t>
            </w:r>
          </w:p>
        </w:tc>
      </w:tr>
      <w:tr>
        <w:trPr>
          <w:trHeight w:val="230"/>
        </w:trPr>
        <w:tc>
          <w:tcPr>
            <w:tcW w:w="5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20" w:type="dxa"/>
            <w:vAlign w:val="bottom"/>
            <w:tcBorders>
              <w:bottom w:val="single" w:sz="8" w:color="CCEEFF"/>
            </w:tcBorders>
          </w:tcPr>
          <w:p>
            <w:pPr>
              <w:jc w:val="center"/>
              <w:ind w:left="14"/>
              <w:spacing w:after="0"/>
              <w:rPr>
                <w:sz w:val="20"/>
                <w:szCs w:val="20"/>
                <w:color w:val="auto"/>
              </w:rPr>
            </w:pPr>
            <w:r>
              <w:rPr>
                <w:rFonts w:ascii="Times New Roman" w:cs="Times New Roman" w:eastAsia="Times New Roman" w:hAnsi="Times New Roman"/>
                <w:sz w:val="18"/>
                <w:szCs w:val="18"/>
                <w:color w:val="auto"/>
                <w:w w:val="97"/>
              </w:rPr>
              <w:t>(42)%</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142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7"/>
              </w:rPr>
              <w:t>(66)%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82"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Unallocated Corporate &amp; Other represents the elimination of inter-segment sales for the three months ended January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2023.</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for Unallocated Corporate &amp; Other consists of the elimination of inter-segment sales, profit in inventory, and other costs.</w:t>
      </w:r>
    </w:p>
    <w:p>
      <w:pPr>
        <w:spacing w:after="0" w:line="171"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expenses decreased $7.5 million, or 68%,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31, 2024 compared to the same period in 2023. This decrease is primarily attributable to a decrease in transaction fees and compensation expense including the valuations of our stock-based compensation awards during the three months ended January 31, 2024 as compared to the prior year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92" w:lineRule="exact"/>
        <w:rPr>
          <w:sz w:val="20"/>
          <w:szCs w:val="20"/>
          <w:color w:val="auto"/>
        </w:rPr>
      </w:pPr>
    </w:p>
    <w:p>
      <w:pPr>
        <w:jc w:val="both"/>
        <w:ind w:right="20" w:firstLine="445"/>
        <w:spacing w:after="0" w:line="268"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decreased $1.2 million for the three months ended January 31, 2024 compared to the same period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as a result of lower borrowings outstanding during the three months ended January 31, 2024 as compared to the prior year period.</w:t>
      </w:r>
    </w:p>
    <w:p>
      <w:pPr>
        <w:spacing w:after="0" w:line="105" w:lineRule="exact"/>
        <w:rPr>
          <w:sz w:val="20"/>
          <w:szCs w:val="20"/>
          <w:color w:val="auto"/>
        </w:rPr>
      </w:pPr>
    </w:p>
    <w:p>
      <w:pPr>
        <w:jc w:val="both"/>
        <w:ind w:firstLine="445"/>
        <w:spacing w:after="0" w:line="259"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income tax expense of $1.6 million on pre-tax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6"/>
          <w:szCs w:val="16"/>
          <w:color w:val="auto"/>
        </w:rPr>
        <w:t>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$7.9 million for the three months ended January 31, 2024,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effective rate of 20.8%, and income tax </w:t>
      </w:r>
      <w:r>
        <w:rPr>
          <w:rFonts w:ascii="Times New Roman" w:cs="Times New Roman" w:eastAsia="Times New Roman" w:hAnsi="Times New Roman"/>
          <w:sz w:val="16"/>
          <w:szCs w:val="16"/>
          <w:color w:val="auto"/>
        </w:rPr>
        <w:t>expense</w:t>
      </w:r>
      <w:r>
        <w:rPr>
          <w:rFonts w:ascii="Times New Roman" w:cs="Times New Roman" w:eastAsia="Times New Roman" w:hAnsi="Times New Roman"/>
          <w:sz w:val="18"/>
          <w:szCs w:val="18"/>
          <w:color w:val="auto"/>
        </w:rPr>
        <w:t xml:space="preserve"> of $0.5 million on a pre-tax income of $2.4 million for the three months ended January 31, 2023,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rate of 19.2%. The increase in income tax expense year-over-year was primarily driven by the differences in discrete items.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Historically, our principal sources of funds have been cash on hand, cash flow from operations, and borrowings under our credit facilities.</w:t>
      </w:r>
    </w:p>
    <w:p>
      <w:pPr>
        <w:spacing w:after="0" w:line="14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maintain a $325.0 million revolving credit facility (the Credit Facility) that matures in 2027 (5-year term) and requires interest payments calculated at a variable market rate depending upon our Consolidated Net Leverage Ratio. The applicable rate during the three months ended January 31, 2024 was RFR Rate + 1.25%. Our cost of capital could increase depending upon the Consolidated Net Leverage Ratio at the end of any given quarter. In addition to the Consolidated Net Leverage Ratio covenant, we are required to meet a Consolidated Interest Coverage Ratio covenant, and there are limitations on certain transactions including our ability to incur indebtedness, incur liens, dispose of material assets, acquire businesses, make restricted payments and pay dividends (limited to $25.0 million per year). We are amortizing deferred financing fees of $1.1 million straight-line over the remaining term of the facility. For further details of the Credit Facility, refer to Note 5, “Debt and Finance Lease Obligations” to the accompanying unaudited condensed consolidated financial statements contained elsewhere herein.</w:t>
      </w:r>
    </w:p>
    <w:p>
      <w:pPr>
        <w:spacing w:after="0" w:line="12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January 31, 2024, we had $44.4 million of cash and equivalents, $10.0 million outstanding under the Credit Facility, $5.1 million of outstanding letters of credit and $55.2 million outstanding under finance leases and other debt. Of the $55.2 million outstanding under finance leases and other debt, $51.7 million relates to real estate leases. We had $309.9 million available for use under the Credit Facility at January 31, 2024.</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December 2021, our Board of Directors approved a stock repurchase program that authorized the repurchase of up to $75.0 million worth of shares of our common stock. Repurchases under the program will be made in open market transactions or privately negotiated transactions, subject to market conditions, applicable legal requirements and other relevant factors. During the three months ended January 31, 2024, we did not purchase any shares under this program and as of</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January 31, 2024 we had a maximum of $62.8 million available to purchase shares under this program. The program does not have an expiration date or a limit on the number of shares that may be purchased.</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repatriated $3.6 million and $4.3 million of foreign cash during the three months ended January 31, 2024 and 2023, respectively. We expect to repatriate excess cash moving forward and use the funds to retire debt or meet current working capital needs. In the U.K., we insure against a portion of our credit losses. We believe our business model, our current cash reserves and our strong balance sheet leave us well-positioned to manage our business and remain in compliance with our debt covenants.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Cash Flow</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 results for the three months ended January 31, 2024 and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6"/>
                <w:szCs w:val="16"/>
                <w:color w:val="auto"/>
              </w:rPr>
            </w:pPr>
          </w:p>
        </w:tc>
      </w:tr>
      <w:tr>
        <w:trPr>
          <w:trHeight w:val="203"/>
        </w:trPr>
        <w:tc>
          <w:tcPr>
            <w:tcW w:w="8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920" w:type="dxa"/>
            <w:vAlign w:val="bottom"/>
          </w:tcPr>
          <w:p>
            <w:pPr>
              <w:spacing w:after="0"/>
              <w:rPr>
                <w:sz w:val="17"/>
                <w:szCs w:val="17"/>
                <w:color w:val="auto"/>
              </w:rPr>
            </w:pPr>
          </w:p>
        </w:tc>
      </w:tr>
      <w:tr>
        <w:trPr>
          <w:trHeight w:val="23"/>
        </w:trPr>
        <w:tc>
          <w:tcPr>
            <w:tcW w:w="80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81"/>
        </w:trPr>
        <w:tc>
          <w:tcPr>
            <w:tcW w:w="8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(Dollars in thousands)</w:t>
            </w:r>
          </w:p>
        </w:tc>
        <w:tc>
          <w:tcPr>
            <w:tcW w:w="920" w:type="dxa"/>
            <w:vAlign w:val="bottom"/>
          </w:tcPr>
          <w:p>
            <w:pPr>
              <w:spacing w:after="0"/>
              <w:rPr>
                <w:sz w:val="15"/>
                <w:szCs w:val="15"/>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3,854</w:t>
            </w:r>
          </w:p>
        </w:tc>
        <w:tc>
          <w:tcPr>
            <w:tcW w:w="7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(9,549)</w:t>
            </w:r>
          </w:p>
        </w:tc>
        <w:tc>
          <w:tcPr>
            <w:tcW w:w="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provided by financing activities</w:t>
            </w: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(9,117)</w:t>
            </w:r>
          </w:p>
        </w:tc>
        <w:tc>
          <w:tcPr>
            <w:tcW w:w="7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83,314</w:t>
            </w:r>
          </w:p>
        </w:tc>
      </w:tr>
    </w:tbl>
    <w:p>
      <w:pPr>
        <w:spacing w:after="0" w:line="18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Cash provided by operating activities increased $0.7 million for the three months ended January 31, 2024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January 31, 2023. The increase in operating cash flows is primarily due to an increase net income year-over-year due to an improvement in gross margin efficiency and a decrease in transaction fees partially offset by unfavorable changes to working capital. The unfavorable changes in working capital were largely driven by an increase in inventory due to inventory build partially offset by a lower payout of accrued incentives.</w:t>
      </w:r>
    </w:p>
    <w:p>
      <w:pPr>
        <w:spacing w:after="0" w:line="99"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for investing activities decreased $89.9 million for the three months ended January 31, 2024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2023, primarily as a result of no business acquisitions in 2024 compared to the acquisition of LMI in 2023.</w:t>
      </w:r>
    </w:p>
    <w:p>
      <w:pPr>
        <w:spacing w:after="0" w:line="9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for financing activities was $9.1 million for the three months ended January 31, 2024 compared to cash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activities of $83.3 million for the same period in 2023. The change in investing cash flows is primarily as a result of a decrease in net borrowings of long-term debt. During the three months ended January 31, 2023, $92.0 million of the borrowings of long-term debt was related to the acquisition of LMI.</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Requirements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Historically, our strategy for deploying cash has been to invest in organic growth opportunities, develop our infrastructure, and explore strategic acquisitions. Other uses of cash include paying cash dividends to our shareholders and repurchasing our common stock. During the three months ended January 31, 2024 and 2023, we repatriated $3.6 million and $4.3 million, respectively, of foreign earnings from our foreign locations. We maintain cash balances in foreign countries which total $17.5 million as of January 31,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October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and estimates have not changed materially during the three months ended January 31, 2024.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months ended January 31,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“Segment Reporting (Topic 280): Improvements to Reportable Segment Disclosures,”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with early adoption is permitted. The guidance is to be applied retrospectively to all prior periods presented in the financial statements. We are currently evaluating the potential impact of adopting this new guidance on our consolidated financial statements and related disclosures.</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“Income Taxes (Topic 740): Improvements to Income Tax Disclosures,” which includes updates to the income tax disclosures related to the rate reconciliation and disaggregation of income taxes paid by jurisdiction. The guidance is effective for fiscal years beginning after December 15, 2024 with early adoption permitted. The amendments should be applied prospectively, however retrospective application is permitted. We are currently evaluating the potential impact of adopting this new guidance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outstanding debt bears interest at variable rates and accordingly is sensitive to changes in interest rates. Based upon the balances of the variable rate debt at January 31, 2024, a hypothetical 1.0% increase or decrease in interest rates could result in approximately $0.1 million of additional pretax charges or credit to our net income per year. This sensitivity is impacted by the amount of borrowings under our credit facilities, and amounts outstanding under finance leases.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Rate Risk</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 There were no corresponding foreign currency derivatives as of January 31, 2024 or October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w:t>
      </w:r>
    </w:p>
    <w:p>
      <w:pPr>
        <w:spacing w:after="0" w:line="1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adjust the pricing of petroleum-based raw materials for the majority of our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spacing w:after="0" w:line="11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Similarly, NA Cabinet Components includes a price index provision in the majority of its customer arrangements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9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and other inputs. Further discussion of our industry risks is included within our Annual Report on Form 10-K for the fiscal year ended October 31,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January 31, 2024. Based on that evaluation, the Chief Executive Officer and Chief Financial Officer concluded that, as of January 31, 2024, the disclosure controls and procedures are effective.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Other Information</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January 31, 2024,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pacing w:after="0" w:line="148"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1" w:lineRule="exact"/>
        <w:rPr>
          <w:sz w:val="20"/>
          <w:szCs w:val="20"/>
          <w:color w:val="auto"/>
        </w:rPr>
      </w:pPr>
    </w:p>
    <w:p>
      <w:pPr>
        <w:ind w:left="240"/>
        <w:spacing w:after="0"/>
        <w:tabs>
          <w:tab w:leader="none" w:pos="4540" w:val="left"/>
        </w:tabs>
        <w:rPr>
          <w:sz w:val="20"/>
          <w:szCs w:val="20"/>
          <w:color w:val="auto"/>
        </w:rPr>
      </w:pPr>
      <w:r>
        <w:rPr>
          <w:rFonts w:ascii="Times New Roman" w:cs="Times New Roman" w:eastAsia="Times New Roman" w:hAnsi="Times New Roman"/>
          <w:sz w:val="18"/>
          <w:szCs w:val="18"/>
          <w:color w:val="auto"/>
        </w:rPr>
        <w:t>Date: March 8, 2024</w:t>
      </w:r>
      <w:r>
        <w:rPr>
          <w:sz w:val="20"/>
          <w:szCs w:val="20"/>
          <w:color w:val="auto"/>
        </w:rPr>
        <w:tab/>
      </w:r>
      <w:r>
        <w:rPr>
          <w:rFonts w:ascii="Times New Roman" w:cs="Times New Roman" w:eastAsia="Times New Roman" w:hAnsi="Times New Roman"/>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42348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Scott M. Zuehlke</w:t>
      </w:r>
    </w:p>
    <w:p>
      <w:pPr>
        <w:spacing w:after="0" w:line="1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Senior Vice President - Chief Financial Officer &amp; Treasurer</w:t>
      </w:r>
    </w:p>
    <w:p>
      <w:pPr>
        <w:jc w:val="center"/>
        <w:ind w:right="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880" w:type="dxa"/>
            <w:vAlign w:val="bottom"/>
            <w:gridSpan w:val="12"/>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12"/>
        </w:trPr>
        <w:tc>
          <w:tcPr>
            <w:tcW w:w="16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380" w:type="dxa"/>
            <w:vAlign w:val="bottom"/>
          </w:tcPr>
          <w:p>
            <w:pPr>
              <w:spacing w:after="0"/>
              <w:rPr>
                <w:sz w:val="18"/>
                <w:szCs w:val="18"/>
                <w:color w:val="auto"/>
              </w:rPr>
            </w:pPr>
          </w:p>
        </w:tc>
        <w:tc>
          <w:tcPr>
            <w:tcW w:w="5880" w:type="dxa"/>
            <w:vAlign w:val="bottom"/>
            <w:gridSpan w:val="12"/>
          </w:tcPr>
          <w:p>
            <w:pPr>
              <w:jc w:val="center"/>
              <w:ind w:right="248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0" w:type="dxa"/>
            <w:vAlign w:val="bottom"/>
          </w:tcPr>
          <w:p>
            <w:pPr>
              <w:spacing w:after="0"/>
              <w:rPr>
                <w:sz w:val="1"/>
                <w:szCs w:val="1"/>
                <w:color w:val="auto"/>
              </w:rPr>
            </w:pPr>
          </w:p>
        </w:tc>
      </w:tr>
      <w:tr>
        <w:trPr>
          <w:trHeight w:val="249"/>
        </w:trPr>
        <w:tc>
          <w:tcPr>
            <w:tcW w:w="960" w:type="dxa"/>
            <w:vAlign w:val="bottom"/>
            <w:gridSpan w:val="4"/>
          </w:tcPr>
          <w:p>
            <w:pPr>
              <w:jc w:val="center"/>
              <w:ind w:left="451"/>
              <w:spacing w:after="0"/>
              <w:rPr>
                <w:rFonts w:ascii="Times New Roman" w:cs="Times New Roman" w:eastAsia="Times New Roman" w:hAnsi="Times New Roman"/>
                <w:sz w:val="18"/>
                <w:szCs w:val="18"/>
                <w:color w:val="0000FF"/>
                <w:w w:val="97"/>
              </w:rPr>
            </w:pPr>
            <w:hyperlink r:id="rId5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660" w:type="dxa"/>
            <w:vAlign w:val="bottom"/>
          </w:tcPr>
          <w:p>
            <w:pPr>
              <w:spacing w:after="0"/>
              <w:rPr>
                <w:sz w:val="21"/>
                <w:szCs w:val="21"/>
                <w:color w:val="auto"/>
              </w:rPr>
            </w:pPr>
          </w:p>
        </w:tc>
        <w:tc>
          <w:tcPr>
            <w:tcW w:w="8260" w:type="dxa"/>
            <w:vAlign w:val="bottom"/>
            <w:gridSpan w:val="13"/>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Restated Certificate of Incorporation of the Registrant dated as of March 4, 2016, filed as Exhibit 3.1 of the</w:t>
              </w:r>
            </w:hyperlink>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Registrant’s Current Report on Form 8-K (Reg. No. 001-33913) as filed with the Securities and Exchange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Commission on March 7, 2016, and incorporated herein by reference.</w:t>
              </w:r>
            </w:hyperlink>
          </w:p>
        </w:tc>
        <w:tc>
          <w:tcPr>
            <w:tcW w:w="314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60" w:type="dxa"/>
            <w:vAlign w:val="bottom"/>
            <w:gridSpan w:val="4"/>
          </w:tcPr>
          <w:p>
            <w:pPr>
              <w:jc w:val="center"/>
              <w:ind w:left="451"/>
              <w:spacing w:after="0"/>
              <w:rPr>
                <w:rFonts w:ascii="Times New Roman" w:cs="Times New Roman" w:eastAsia="Times New Roman" w:hAnsi="Times New Roman"/>
                <w:sz w:val="18"/>
                <w:szCs w:val="18"/>
                <w:color w:val="0000FF"/>
                <w:w w:val="97"/>
              </w:rPr>
            </w:pPr>
            <w:hyperlink r:id="rId5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660" w:type="dxa"/>
            <w:vAlign w:val="bottom"/>
          </w:tcPr>
          <w:p>
            <w:pPr>
              <w:spacing w:after="0"/>
              <w:rPr>
                <w:sz w:val="22"/>
                <w:szCs w:val="22"/>
                <w:color w:val="auto"/>
              </w:rPr>
            </w:pPr>
          </w:p>
        </w:tc>
        <w:tc>
          <w:tcPr>
            <w:tcW w:w="8260" w:type="dxa"/>
            <w:vAlign w:val="bottom"/>
            <w:gridSpan w:val="13"/>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Fourth Amended and Restated Bylaws of the Registrant dated as of February 27, 2020, filed as Exhibit 3.2 of the</w:t>
              </w:r>
            </w:hyperlink>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Registrant's Quarterly Report on Form 10-Q (Reg. No. 001-33913) for the quarter ended January 31, 2020,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14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incorporated herein by reference.</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gridSpan w:val="4"/>
          </w:tcPr>
          <w:p>
            <w:pPr>
              <w:jc w:val="center"/>
              <w:ind w:left="451"/>
              <w:spacing w:after="0"/>
              <w:rPr>
                <w:rFonts w:ascii="Times New Roman" w:cs="Times New Roman" w:eastAsia="Times New Roman" w:hAnsi="Times New Roman"/>
                <w:sz w:val="18"/>
                <w:szCs w:val="18"/>
                <w:color w:val="0000FF"/>
                <w:w w:val="97"/>
              </w:rPr>
            </w:pPr>
            <w:hyperlink r:id="rId5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660" w:type="dxa"/>
            <w:vAlign w:val="bottom"/>
          </w:tcPr>
          <w:p>
            <w:pPr>
              <w:spacing w:after="0"/>
              <w:rPr>
                <w:sz w:val="22"/>
                <w:szCs w:val="22"/>
                <w:color w:val="auto"/>
              </w:rPr>
            </w:pPr>
          </w:p>
        </w:tc>
        <w:tc>
          <w:tcPr>
            <w:tcW w:w="8260" w:type="dxa"/>
            <w:vAlign w:val="bottom"/>
            <w:gridSpan w:val="13"/>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Form of Registrant’s Common Stock certificate, filed as Exhibit 4.1 of Amendment No. 1 to the Registrant’s</w:t>
              </w:r>
            </w:hyperlink>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Registration Statement on Form 10-Q (Reg. No. 001-33913) as filed with the Securities and Exchange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2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Commission on February 14, 2008,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gridSpan w:val="4"/>
            <w:vMerge w:val="restart"/>
          </w:tcPr>
          <w:p>
            <w:pPr>
              <w:jc w:val="center"/>
              <w:ind w:left="451"/>
              <w:spacing w:after="0"/>
              <w:rPr>
                <w:rFonts w:ascii="Times New Roman" w:cs="Times New Roman" w:eastAsia="Times New Roman" w:hAnsi="Times New Roman"/>
                <w:sz w:val="18"/>
                <w:szCs w:val="18"/>
                <w:color w:val="0000FF"/>
                <w:w w:val="97"/>
              </w:rPr>
            </w:pPr>
            <w:hyperlink r:id="rId6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gridSpan w:val="4"/>
            <w:vMerge w:val="continue"/>
          </w:tcPr>
          <w:p>
            <w:pPr>
              <w:spacing w:after="0"/>
              <w:rPr>
                <w:sz w:val="22"/>
                <w:szCs w:val="22"/>
                <w:color w:val="auto"/>
              </w:rPr>
            </w:pPr>
          </w:p>
        </w:tc>
        <w:tc>
          <w:tcPr>
            <w:tcW w:w="660" w:type="dxa"/>
            <w:vAlign w:val="bottom"/>
          </w:tcPr>
          <w:p>
            <w:pPr>
              <w:spacing w:after="0"/>
              <w:rPr>
                <w:sz w:val="22"/>
                <w:szCs w:val="22"/>
                <w:color w:val="auto"/>
              </w:rPr>
            </w:pPr>
          </w:p>
        </w:tc>
        <w:tc>
          <w:tcPr>
            <w:tcW w:w="8260" w:type="dxa"/>
            <w:vAlign w:val="bottom"/>
            <w:gridSpan w:val="13"/>
            <w:vMerge w:val="restart"/>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Second Amended and Restated Credit Agreement dated as of July 6, 2022, by and among the Company; the</w:t>
              </w:r>
            </w:hyperlink>
          </w:p>
        </w:tc>
        <w:tc>
          <w:tcPr>
            <w:tcW w:w="0" w:type="dxa"/>
            <w:vAlign w:val="bottom"/>
          </w:tcPr>
          <w:p>
            <w:pPr>
              <w:spacing w:after="0"/>
              <w:rPr>
                <w:sz w:val="1"/>
                <w:szCs w:val="1"/>
                <w:color w:val="auto"/>
              </w:rPr>
            </w:pPr>
          </w:p>
        </w:tc>
      </w:tr>
      <w:tr>
        <w:trPr>
          <w:trHeight w:val="74"/>
        </w:trPr>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60" w:type="dxa"/>
            <w:vAlign w:val="bottom"/>
            <w:gridSpan w:val="1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lenders party thereto; and Wells Fargo Bank, National Association, as Agent; filed as Exhibit 10.1 of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Registrant's Current Report on Form 8-K (Reg. No. 001-33913) as filed with the Securities and Exchange</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40" w:type="dxa"/>
            <w:vAlign w:val="bottom"/>
            <w:gridSpan w:val="12"/>
          </w:tcPr>
          <w:p>
            <w:pPr>
              <w:spacing w:after="0" w:line="16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Commission on July 6, 2022, and incorporated herein by 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4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gridSpan w:val="4"/>
          </w:tcPr>
          <w:p>
            <w:pPr>
              <w:jc w:val="center"/>
              <w:ind w:left="471"/>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660" w:type="dxa"/>
            <w:vAlign w:val="bottom"/>
          </w:tcPr>
          <w:p>
            <w:pPr>
              <w:spacing w:after="0"/>
              <w:rPr>
                <w:sz w:val="22"/>
                <w:szCs w:val="22"/>
                <w:color w:val="auto"/>
              </w:rPr>
            </w:pPr>
          </w:p>
        </w:tc>
        <w:tc>
          <w:tcPr>
            <w:tcW w:w="5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by chief executive officer pursuant to Rule 13a-14(a)/15d-14(a).</w:t>
            </w:r>
          </w:p>
        </w:tc>
        <w:tc>
          <w:tcPr>
            <w:tcW w:w="268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gridSpan w:val="4"/>
          </w:tcPr>
          <w:p>
            <w:pPr>
              <w:jc w:val="center"/>
              <w:ind w:left="471"/>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660" w:type="dxa"/>
            <w:vAlign w:val="bottom"/>
          </w:tcPr>
          <w:p>
            <w:pPr>
              <w:spacing w:after="0"/>
              <w:rPr>
                <w:sz w:val="22"/>
                <w:szCs w:val="22"/>
                <w:color w:val="auto"/>
              </w:rPr>
            </w:pPr>
          </w:p>
        </w:tc>
        <w:tc>
          <w:tcPr>
            <w:tcW w:w="82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pursuant to Rule 13a-14(a)/15d-14(a).</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7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gridSpan w:val="4"/>
          </w:tcPr>
          <w:p>
            <w:pPr>
              <w:jc w:val="center"/>
              <w:ind w:left="471"/>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p>
        </w:tc>
        <w:tc>
          <w:tcPr>
            <w:tcW w:w="660" w:type="dxa"/>
            <w:vAlign w:val="bottom"/>
          </w:tcPr>
          <w:p>
            <w:pPr>
              <w:spacing w:after="0"/>
              <w:rPr>
                <w:sz w:val="22"/>
                <w:szCs w:val="22"/>
                <w:color w:val="auto"/>
              </w:rPr>
            </w:pPr>
          </w:p>
        </w:tc>
        <w:tc>
          <w:tcPr>
            <w:tcW w:w="82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c>
          <w:tcPr>
            <w:tcW w:w="0" w:type="dxa"/>
            <w:vAlign w:val="bottom"/>
          </w:tcPr>
          <w:p>
            <w:pPr>
              <w:spacing w:after="0"/>
              <w:rPr>
                <w:sz w:val="1"/>
                <w:szCs w:val="1"/>
                <w:color w:val="auto"/>
              </w:rPr>
            </w:pPr>
          </w:p>
        </w:tc>
      </w:tr>
      <w:tr>
        <w:trPr>
          <w:trHeight w:val="20"/>
        </w:trPr>
        <w:tc>
          <w:tcPr>
            <w:tcW w:w="1620" w:type="dxa"/>
            <w:vAlign w:val="bottom"/>
            <w:gridSpan w:val="5"/>
          </w:tcPr>
          <w:p>
            <w:pPr>
              <w:spacing w:after="0" w:line="20" w:lineRule="exact"/>
              <w:rPr>
                <w:sz w:val="1"/>
                <w:szCs w:val="1"/>
                <w:color w:val="auto"/>
              </w:rPr>
            </w:pPr>
          </w:p>
        </w:tc>
        <w:tc>
          <w:tcPr>
            <w:tcW w:w="5260" w:type="dxa"/>
            <w:vAlign w:val="bottom"/>
            <w:gridSpan w:val="4"/>
            <w:shd w:val="clear" w:color="auto" w:fill="0000FF"/>
          </w:tcPr>
          <w:p>
            <w:pPr>
              <w:spacing w:after="0" w:line="20" w:lineRule="exact"/>
              <w:rPr>
                <w:sz w:val="1"/>
                <w:szCs w:val="1"/>
                <w:color w:val="auto"/>
              </w:rPr>
            </w:pPr>
          </w:p>
        </w:tc>
        <w:tc>
          <w:tcPr>
            <w:tcW w:w="30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*101.INS</w:t>
            </w:r>
          </w:p>
        </w:tc>
        <w:tc>
          <w:tcPr>
            <w:tcW w:w="82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292"/>
        </w:trPr>
        <w:tc>
          <w:tcPr>
            <w:tcW w:w="16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82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6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*101.CAL</w:t>
            </w:r>
          </w:p>
        </w:tc>
        <w:tc>
          <w:tcPr>
            <w:tcW w:w="82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6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*101.DEF</w:t>
            </w:r>
          </w:p>
        </w:tc>
        <w:tc>
          <w:tcPr>
            <w:tcW w:w="82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4"/>
        </w:trPr>
        <w:tc>
          <w:tcPr>
            <w:tcW w:w="16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*101.LAB</w:t>
            </w:r>
          </w:p>
        </w:tc>
        <w:tc>
          <w:tcPr>
            <w:tcW w:w="82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6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*101.PRE</w:t>
            </w:r>
          </w:p>
        </w:tc>
        <w:tc>
          <w:tcPr>
            <w:tcW w:w="82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527"/>
        </w:trPr>
        <w:tc>
          <w:tcPr>
            <w:tcW w:w="1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2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 Wilson, certify that:</w:t>
      </w:r>
    </w:p>
    <w:p>
      <w:pPr>
        <w:spacing w:after="0" w:line="158"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Quanex Building Products Corporation (the “Registrant”);</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1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44659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George L. Wilson</w:t>
      </w:r>
    </w:p>
    <w:p>
      <w:pPr>
        <w:ind w:left="40"/>
        <w:spacing w:after="0" w:line="205"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Zuehlke, certify that:</w:t>
      </w:r>
    </w:p>
    <w:p>
      <w:pPr>
        <w:spacing w:after="0" w:line="158"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Quanex Building Products Corporation (the “Registrant”);</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44659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Scott M. Zuehlke</w:t>
      </w:r>
    </w:p>
    <w:p>
      <w:pPr>
        <w:ind w:left="40"/>
        <w:spacing w:after="0" w:line="205" w:lineRule="auto"/>
        <w:rPr>
          <w:sz w:val="20"/>
          <w:szCs w:val="20"/>
          <w:color w:val="auto"/>
        </w:rPr>
      </w:pPr>
      <w:r>
        <w:rPr>
          <w:rFonts w:ascii="Times New Roman" w:cs="Times New Roman" w:eastAsia="Times New Roman" w:hAnsi="Times New Roman"/>
          <w:sz w:val="18"/>
          <w:szCs w:val="18"/>
          <w:color w:val="auto"/>
        </w:rPr>
        <w:t>Senior Vice President - Chief Financial Officer and Treasurer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14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hereby certify that the accompanying Quarterly Report on Form 10-Q of Quanex Building Products Corporation for the quarter ended January 31, 2024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George L. Wilson</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Scott M. Zuehlke</w:t>
            </w:r>
          </w:p>
        </w:tc>
      </w:tr>
      <w:tr>
        <w:trPr>
          <w:trHeight w:val="169"/>
        </w:trPr>
        <w:tc>
          <w:tcPr>
            <w:tcW w:w="5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George L. Wilson</w:t>
            </w:r>
          </w:p>
        </w:tc>
        <w:tc>
          <w:tcPr>
            <w:tcW w:w="440" w:type="dxa"/>
            <w:vAlign w:val="bottom"/>
          </w:tcPr>
          <w:p>
            <w:pPr>
              <w:spacing w:after="0"/>
              <w:rPr>
                <w:sz w:val="14"/>
                <w:szCs w:val="14"/>
                <w:color w:val="auto"/>
              </w:rPr>
            </w:pPr>
          </w:p>
        </w:tc>
        <w:tc>
          <w:tcPr>
            <w:tcW w:w="5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Scott M. Zuehlke</w:t>
            </w:r>
          </w:p>
        </w:tc>
      </w:tr>
      <w:tr>
        <w:trPr>
          <w:trHeight w:val="182"/>
        </w:trPr>
        <w:tc>
          <w:tcPr>
            <w:tcW w:w="5840" w:type="dxa"/>
            <w:vAlign w:val="bottom"/>
            <w:gridSpan w:val="2"/>
          </w:tcPr>
          <w:p>
            <w:pPr>
              <w:jc w:val="center"/>
              <w:ind w:right="420"/>
              <w:spacing w:after="0" w:line="182" w:lineRule="exact"/>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c>
          <w:tcPr>
            <w:tcW w:w="54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8"/>
              </w:rPr>
              <w:t>Senior Vice President—Chief Financial Officer and Treasurer</w:t>
            </w:r>
          </w:p>
        </w:tc>
      </w:tr>
      <w:tr>
        <w:trPr>
          <w:trHeight w:val="236"/>
        </w:trPr>
        <w:tc>
          <w:tcPr>
            <w:tcW w:w="5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57" Type="http://schemas.openxmlformats.org/officeDocument/2006/relationships/hyperlink" Target="http://www.sec.gov/Archives/edgar/data/1423221/000119312516495257/d156158dex31.htm" TargetMode="External"/><Relationship Id="rId58" Type="http://schemas.openxmlformats.org/officeDocument/2006/relationships/hyperlink" Target="http://www.sec.gov/Archives/edgar/data/1423221/000142322120000005/nx01312020ex32.htm" TargetMode="External"/><Relationship Id="rId59" Type="http://schemas.openxmlformats.org/officeDocument/2006/relationships/hyperlink" Target="http://www.sec.gov/Archives/edgar/data/1423221/000095012908000988/h52992a1exv4w1.htm" TargetMode="External"/><Relationship Id="rId60" Type="http://schemas.openxmlformats.org/officeDocument/2006/relationships/hyperlink" Target="http://www.sec.gov/Archives/edgar/data/1423221/000110465922077705/tm222047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2024-03-08T15:11:30Z</dcterms:created>
  <dcterms:modified xsi:type="dcterms:W3CDTF">2024-03-08T15:11:30Z</dcterms:modified>
</cp:coreProperties>
</file>