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509270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474980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One)</w:t>
      </w:r>
    </w:p>
    <w:p>
      <w:pPr>
        <w:spacing w:after="0" w:line="139"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25"/>
          <w:szCs w:val="25"/>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January 31, 2021</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680" w:hanging="429"/>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wp:posOffset>
            </wp:positionH>
            <wp:positionV relativeFrom="paragraph">
              <wp:posOffset>-117475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04" w:lineRule="exact"/>
        <w:rPr>
          <w:sz w:val="24"/>
          <w:szCs w:val="24"/>
          <w:color w:val="auto"/>
        </w:rPr>
      </w:pPr>
    </w:p>
    <w:p>
      <w:pPr>
        <w:ind w:left="38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1-33913</w:t>
      </w:r>
    </w:p>
    <w:p>
      <w:pPr>
        <w:spacing w:after="0" w:line="9"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QUANEX BUILDING PRODUCTS CORPORATION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w:t>
      </w:r>
    </w:p>
    <w:p>
      <w:pPr>
        <w:spacing w:after="0" w:line="130" w:lineRule="exact"/>
        <w:rPr>
          <w:sz w:val="24"/>
          <w:szCs w:val="24"/>
          <w:color w:val="auto"/>
        </w:rPr>
      </w:pPr>
    </w:p>
    <w:tbl>
      <w:tblPr>
        <w:tblLayout w:type="fixed"/>
        <w:tblInd w:w="1860" w:type="dxa"/>
        <w:tblCellMar>
          <w:top w:w="0" w:type="dxa"/>
          <w:left w:w="0" w:type="dxa"/>
          <w:bottom w:w="0" w:type="dxa"/>
          <w:right w:w="0" w:type="dxa"/>
        </w:tblCellMar>
      </w:tblPr>
      <w:tr>
        <w:trPr>
          <w:trHeight w:val="207"/>
        </w:trPr>
        <w:tc>
          <w:tcPr>
            <w:tcW w:w="3940" w:type="dxa"/>
            <w:vAlign w:val="bottom"/>
          </w:tcPr>
          <w:p>
            <w:pPr>
              <w:jc w:val="center"/>
              <w:ind w:right="2005"/>
              <w:spacing w:after="0"/>
              <w:rPr>
                <w:sz w:val="20"/>
                <w:szCs w:val="20"/>
                <w:color w:val="auto"/>
              </w:rPr>
            </w:pPr>
            <w:r>
              <w:rPr>
                <w:rFonts w:ascii="Arial" w:cs="Arial" w:eastAsia="Arial" w:hAnsi="Arial"/>
                <w:sz w:val="16"/>
                <w:szCs w:val="16"/>
                <w:b w:val="1"/>
                <w:bCs w:val="1"/>
                <w:color w:val="auto"/>
                <w:w w:val="93"/>
              </w:rPr>
              <w:t>Delaware</w:t>
            </w:r>
          </w:p>
        </w:tc>
        <w:tc>
          <w:tcPr>
            <w:tcW w:w="3200" w:type="dxa"/>
            <w:vAlign w:val="bottom"/>
          </w:tcPr>
          <w:p>
            <w:pPr>
              <w:jc w:val="center"/>
              <w:ind w:left="2025"/>
              <w:spacing w:after="0"/>
              <w:rPr>
                <w:sz w:val="20"/>
                <w:szCs w:val="20"/>
                <w:color w:val="auto"/>
              </w:rPr>
            </w:pPr>
            <w:r>
              <w:rPr>
                <w:rFonts w:ascii="Arial" w:cs="Arial" w:eastAsia="Arial" w:hAnsi="Arial"/>
                <w:sz w:val="16"/>
                <w:szCs w:val="16"/>
                <w:b w:val="1"/>
                <w:bCs w:val="1"/>
                <w:color w:val="auto"/>
                <w:w w:val="91"/>
              </w:rPr>
              <w:t>26-1561397</w:t>
            </w:r>
          </w:p>
        </w:tc>
      </w:tr>
      <w:tr>
        <w:trPr>
          <w:trHeight w:val="144"/>
        </w:trPr>
        <w:tc>
          <w:tcPr>
            <w:tcW w:w="3940" w:type="dxa"/>
            <w:vAlign w:val="bottom"/>
          </w:tcPr>
          <w:p>
            <w:pPr>
              <w:jc w:val="center"/>
              <w:ind w:right="2005"/>
              <w:spacing w:after="0" w:line="145" w:lineRule="exact"/>
              <w:rPr>
                <w:sz w:val="20"/>
                <w:szCs w:val="20"/>
                <w:color w:val="auto"/>
              </w:rPr>
            </w:pPr>
            <w:r>
              <w:rPr>
                <w:rFonts w:ascii="Arial" w:cs="Arial" w:eastAsia="Arial" w:hAnsi="Arial"/>
                <w:sz w:val="14"/>
                <w:szCs w:val="14"/>
                <w:b w:val="1"/>
                <w:bCs w:val="1"/>
                <w:color w:val="auto"/>
                <w:w w:val="92"/>
              </w:rPr>
              <w:t>(State or other jurisdiction of</w:t>
            </w:r>
          </w:p>
        </w:tc>
        <w:tc>
          <w:tcPr>
            <w:tcW w:w="3200" w:type="dxa"/>
            <w:vAlign w:val="bottom"/>
          </w:tcPr>
          <w:p>
            <w:pPr>
              <w:jc w:val="center"/>
              <w:ind w:left="2005"/>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40" w:type="dxa"/>
            <w:vAlign w:val="bottom"/>
          </w:tcPr>
          <w:p>
            <w:pPr>
              <w:jc w:val="center"/>
              <w:ind w:right="2005"/>
              <w:spacing w:after="0"/>
              <w:rPr>
                <w:sz w:val="20"/>
                <w:szCs w:val="20"/>
                <w:color w:val="auto"/>
              </w:rPr>
            </w:pPr>
            <w:r>
              <w:rPr>
                <w:rFonts w:ascii="Arial" w:cs="Arial" w:eastAsia="Arial" w:hAnsi="Arial"/>
                <w:sz w:val="14"/>
                <w:szCs w:val="14"/>
                <w:b w:val="1"/>
                <w:bCs w:val="1"/>
                <w:color w:val="auto"/>
                <w:w w:val="93"/>
              </w:rPr>
              <w:t>incorporation or organization)</w:t>
            </w:r>
          </w:p>
        </w:tc>
        <w:tc>
          <w:tcPr>
            <w:tcW w:w="3200" w:type="dxa"/>
            <w:vAlign w:val="bottom"/>
          </w:tcPr>
          <w:p>
            <w:pPr>
              <w:jc w:val="center"/>
              <w:ind w:left="200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1800 West Loop South, Suite 1500, Houston, Texas 77027</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(713) 961-4600</w:t>
      </w:r>
    </w:p>
    <w:p>
      <w:pPr>
        <w:spacing w:after="0" w:line="8"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8" w:lineRule="exact"/>
        <w:rPr>
          <w:sz w:val="24"/>
          <w:szCs w:val="24"/>
          <w:color w:val="auto"/>
        </w:rPr>
      </w:pPr>
    </w:p>
    <w:tbl>
      <w:tblPr>
        <w:tblLayout w:type="fixed"/>
        <w:tblInd w:w="5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92"/>
              </w:rPr>
              <w:t>Trading Symbol(s)</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
        </w:trPr>
        <w:tc>
          <w:tcPr>
            <w:tcW w:w="9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0"/>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860" w:type="dxa"/>
            <w:vAlign w:val="bottom"/>
          </w:tcPr>
          <w:p>
            <w:pPr>
              <w:spacing w:after="0"/>
              <w:rPr>
                <w:sz w:val="21"/>
                <w:szCs w:val="21"/>
                <w:color w:val="auto"/>
              </w:rPr>
            </w:pPr>
          </w:p>
        </w:tc>
        <w:tc>
          <w:tcPr>
            <w:tcW w:w="2780" w:type="dxa"/>
            <w:vAlign w:val="bottom"/>
            <w:gridSpan w:val="2"/>
          </w:tcPr>
          <w:p>
            <w:pPr>
              <w:jc w:val="center"/>
              <w:ind w:right="1640"/>
              <w:spacing w:after="0"/>
              <w:rPr>
                <w:sz w:val="20"/>
                <w:szCs w:val="20"/>
                <w:color w:val="auto"/>
              </w:rPr>
            </w:pPr>
            <w:r>
              <w:rPr>
                <w:rFonts w:ascii="Arial" w:cs="Arial" w:eastAsia="Arial" w:hAnsi="Arial"/>
                <w:sz w:val="18"/>
                <w:szCs w:val="18"/>
                <w:color w:val="auto"/>
              </w:rPr>
              <w:t>NX</w:t>
            </w: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3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868" w:right="339" w:bottom="1440" w:gutter="0" w:footer="0" w:header="0"/>
        </w:sectPr>
      </w:pPr>
    </w:p>
    <w:p>
      <w:pPr>
        <w:spacing w:after="0" w:line="70"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w:t>
      </w:r>
    </w:p>
    <w:p>
      <w:pPr>
        <w:spacing w:after="0" w:line="65" w:lineRule="exact"/>
        <w:rPr>
          <w:sz w:val="24"/>
          <w:szCs w:val="24"/>
          <w:color w:val="auto"/>
        </w:rPr>
      </w:pPr>
    </w:p>
    <w:p>
      <w:pPr>
        <w:ind w:left="40"/>
        <w:spacing w:after="0" w:line="207" w:lineRule="exact"/>
        <w:tabs>
          <w:tab w:leader="none" w:pos="2660" w:val="left"/>
          <w:tab w:leader="none" w:pos="820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(Do not check if a smaller reporting company)</w:t>
      </w:r>
      <w:r>
        <w:rPr>
          <w:sz w:val="20"/>
          <w:szCs w:val="20"/>
          <w:color w:val="auto"/>
        </w:rPr>
        <w:tab/>
      </w:r>
      <w:r>
        <w:rPr>
          <w:rFonts w:ascii="Arial" w:cs="Arial" w:eastAsia="Arial" w:hAnsi="Arial"/>
          <w:sz w:val="16"/>
          <w:szCs w:val="16"/>
          <w:color w:val="auto"/>
        </w:rPr>
        <w:t>Smaller reporting company</w:t>
      </w:r>
    </w:p>
    <w:p>
      <w:pPr>
        <w:spacing w:after="0" w:line="2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Emerging growth company</w:t>
      </w:r>
    </w:p>
    <w:p>
      <w:pPr>
        <w:spacing w:after="0" w:line="7" w:lineRule="exact"/>
        <w:rPr>
          <w:sz w:val="24"/>
          <w:szCs w:val="24"/>
          <w:color w:val="auto"/>
        </w:rPr>
      </w:pPr>
    </w:p>
    <w:p>
      <w:pPr>
        <w:ind w:left="40"/>
        <w:spacing w:after="0" w:line="23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Securities Act.</w:t>
      </w:r>
    </w:p>
    <w:p>
      <w:pPr>
        <w:spacing w:after="0" w:line="35" w:lineRule="exact"/>
        <w:rPr>
          <w:sz w:val="24"/>
          <w:szCs w:val="24"/>
          <w:color w:val="auto"/>
        </w:rPr>
      </w:pPr>
    </w:p>
    <w:p>
      <w:pPr>
        <w:ind w:right="1260"/>
        <w:spacing w:after="0" w:line="26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February 26, 2021 was 33,640,169.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-283845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112395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78105</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7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2">
            <w:col w:w="10740" w:space="140"/>
            <w:col w:w="360"/>
          </w:cols>
          <w:pgMar w:left="320" w:top="868"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9060" w:type="dxa"/>
            <w:vAlign w:val="bottom"/>
            <w:gridSpan w:val="12"/>
          </w:tcPr>
          <w:p>
            <w:pPr>
              <w:jc w:val="center"/>
              <w:ind w:right="140"/>
              <w:spacing w:after="0"/>
              <w:rPr>
                <w:sz w:val="20"/>
                <w:szCs w:val="20"/>
                <w:color w:val="auto"/>
              </w:rPr>
            </w:pPr>
            <w:r>
              <w:rPr>
                <w:rFonts w:ascii="Arial" w:cs="Arial" w:eastAsia="Arial" w:hAnsi="Arial"/>
                <w:sz w:val="18"/>
                <w:szCs w:val="18"/>
                <w:b w:val="1"/>
                <w:bCs w:val="1"/>
                <w:color w:val="auto"/>
              </w:rPr>
              <w:t>QUANEX BUILDING PRODUCTS CORPORATION</w:t>
            </w:r>
          </w:p>
        </w:tc>
        <w:tc>
          <w:tcPr>
            <w:tcW w:w="1020" w:type="dxa"/>
            <w:vAlign w:val="bottom"/>
          </w:tcPr>
          <w:p>
            <w:pPr>
              <w:spacing w:after="0"/>
              <w:rPr>
                <w:sz w:val="20"/>
                <w:szCs w:val="20"/>
                <w:color w:val="auto"/>
              </w:rPr>
            </w:pPr>
          </w:p>
        </w:tc>
      </w:tr>
      <w:tr>
        <w:trPr>
          <w:trHeight w:val="459"/>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60" w:type="dxa"/>
            <w:vAlign w:val="bottom"/>
            <w:gridSpan w:val="10"/>
          </w:tcPr>
          <w:p>
            <w:pPr>
              <w:jc w:val="center"/>
              <w:ind w:right="402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4"/>
                <w:szCs w:val="24"/>
                <w:color w:val="auto"/>
              </w:rPr>
            </w:pPr>
          </w:p>
        </w:tc>
      </w:tr>
      <w:tr>
        <w:trPr>
          <w:trHeight w:val="513"/>
        </w:trPr>
        <w:tc>
          <w:tcPr>
            <w:tcW w:w="1160" w:type="dxa"/>
            <w:vAlign w:val="bottom"/>
          </w:tcPr>
          <w:p>
            <w:pPr>
              <w:ind w:left="20"/>
              <w:spacing w:after="0"/>
              <w:rPr>
                <w:sz w:val="20"/>
                <w:szCs w:val="20"/>
                <w:color w:val="auto"/>
              </w:rPr>
            </w:pPr>
            <w:r>
              <w:rPr>
                <w:rFonts w:ascii="Arial" w:cs="Arial" w:eastAsia="Arial" w:hAnsi="Arial"/>
                <w:sz w:val="18"/>
                <w:szCs w:val="18"/>
                <w:color w:val="auto"/>
              </w:rPr>
              <w:t>PART I.</w:t>
            </w:r>
          </w:p>
        </w:tc>
        <w:tc>
          <w:tcPr>
            <w:tcW w:w="9060" w:type="dxa"/>
            <w:vAlign w:val="bottom"/>
            <w:gridSpan w:val="1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FINANCIAL INFORMATION</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1</w:t>
              </w:r>
            </w:hyperlink>
          </w:p>
        </w:tc>
      </w:tr>
      <w:tr>
        <w:trPr>
          <w:trHeight w:val="44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1:</w:t>
            </w:r>
          </w:p>
        </w:tc>
        <w:tc>
          <w:tcPr>
            <w:tcW w:w="9060" w:type="dxa"/>
            <w:vAlign w:val="bottom"/>
            <w:gridSpan w:val="12"/>
          </w:tcPr>
          <w:p>
            <w:pPr>
              <w:spacing w:after="0"/>
              <w:rPr>
                <w:sz w:val="20"/>
                <w:szCs w:val="20"/>
                <w:color w:val="auto"/>
              </w:rPr>
            </w:pPr>
            <w:r>
              <w:rPr>
                <w:rFonts w:ascii="Arial" w:cs="Arial" w:eastAsia="Arial" w:hAnsi="Arial"/>
                <w:sz w:val="18"/>
                <w:szCs w:val="18"/>
                <w:b w:val="1"/>
                <w:bCs w:val="1"/>
                <w:color w:val="auto"/>
              </w:rPr>
              <w:t>Financial Statements (Unaudited)</w:t>
            </w:r>
          </w:p>
        </w:tc>
        <w:tc>
          <w:tcPr>
            <w:tcW w:w="10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337"/>
        </w:trPr>
        <w:tc>
          <w:tcPr>
            <w:tcW w:w="116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color w:val="0000FF"/>
              </w:rPr>
            </w:pPr>
            <w:hyperlink w:anchor="page3">
              <w:r>
                <w:rPr>
                  <w:rFonts w:ascii="Arial" w:cs="Arial" w:eastAsia="Arial" w:hAnsi="Arial"/>
                  <w:sz w:val="18"/>
                  <w:szCs w:val="18"/>
                  <w:u w:val="single" w:color="auto"/>
                  <w:color w:val="0000FF"/>
                </w:rPr>
                <w:t>Condensed Consolidated Balance Sheets –</w:t>
              </w:r>
              <w:r>
                <w:rPr>
                  <w:rFonts w:ascii="Arial" w:cs="Arial" w:eastAsia="Arial" w:hAnsi="Arial"/>
                  <w:sz w:val="18"/>
                  <w:szCs w:val="18"/>
                  <w:color w:val="0000FF"/>
                </w:rPr>
                <w:t xml:space="preserve"> </w:t>
              </w:r>
            </w:hyperlink>
            <w:r>
              <w:rPr>
                <w:rFonts w:ascii="Arial" w:cs="Arial" w:eastAsia="Arial" w:hAnsi="Arial"/>
                <w:sz w:val="18"/>
                <w:szCs w:val="18"/>
                <w:color w:val="0000FF"/>
              </w:rPr>
              <w:t>January 31, 2021 and October 31, 2020</w:t>
            </w:r>
          </w:p>
        </w:tc>
        <w:tc>
          <w:tcPr>
            <w:tcW w:w="10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0"/>
        </w:trPr>
        <w:tc>
          <w:tcPr>
            <w:tcW w:w="11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710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 xml:space="preserve">Condensed Consolidated Statements of Income – Three </w:t>
              </w:r>
            </w:hyperlink>
            <w:r>
              <w:rPr>
                <w:rFonts w:ascii="Arial" w:cs="Arial" w:eastAsia="Arial" w:hAnsi="Arial"/>
                <w:sz w:val="18"/>
                <w:szCs w:val="18"/>
                <w:color w:val="0000FF"/>
                <w:w w:val="89"/>
              </w:rPr>
              <w:t>Months Ended January 31, 2021 and 2020</w:t>
            </w:r>
          </w:p>
        </w:tc>
        <w:tc>
          <w:tcPr>
            <w:tcW w:w="196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358"/>
        </w:trPr>
        <w:tc>
          <w:tcPr>
            <w:tcW w:w="116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color w:val="0000FF"/>
                <w:w w:val="98"/>
              </w:rPr>
            </w:pPr>
            <w:hyperlink w:anchor="page4">
              <w:r>
                <w:rPr>
                  <w:rFonts w:ascii="Arial" w:cs="Arial" w:eastAsia="Arial" w:hAnsi="Arial"/>
                  <w:sz w:val="18"/>
                  <w:szCs w:val="18"/>
                  <w:u w:val="single" w:color="auto"/>
                  <w:color w:val="0000FF"/>
                  <w:w w:val="98"/>
                </w:rPr>
                <w:t>Condensed Consolidated Statements of Comprehensive Income</w:t>
              </w:r>
              <w:r>
                <w:rPr>
                  <w:rFonts w:ascii="Arial" w:cs="Arial" w:eastAsia="Arial" w:hAnsi="Arial"/>
                  <w:sz w:val="18"/>
                  <w:szCs w:val="18"/>
                  <w:color w:val="0000FF"/>
                  <w:w w:val="98"/>
                </w:rPr>
                <w:t xml:space="preserve"> - Three Months Ended </w:t>
              </w:r>
              <w:r>
                <w:rPr>
                  <w:rFonts w:ascii="Arial" w:cs="Arial" w:eastAsia="Arial" w:hAnsi="Arial"/>
                  <w:sz w:val="18"/>
                  <w:szCs w:val="18"/>
                  <w:u w:val="single" w:color="auto"/>
                  <w:color w:val="0000FF"/>
                  <w:w w:val="98"/>
                </w:rPr>
                <w:t>January 31,</w:t>
              </w:r>
              <w:r>
                <w:rPr>
                  <w:rFonts w:ascii="Arial" w:cs="Arial" w:eastAsia="Arial" w:hAnsi="Arial"/>
                  <w:sz w:val="18"/>
                  <w:szCs w:val="18"/>
                  <w:color w:val="0000FF"/>
                  <w:w w:val="98"/>
                </w:rPr>
                <w:t xml:space="preserve"> 2021 and 2020</w:t>
              </w:r>
            </w:hyperlink>
          </w:p>
        </w:tc>
        <w:tc>
          <w:tcPr>
            <w:tcW w:w="10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r>
      <w:tr>
        <w:trPr>
          <w:trHeight w:val="20"/>
        </w:trPr>
        <w:tc>
          <w:tcPr>
            <w:tcW w:w="11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color w:val="0000FF"/>
              </w:rPr>
            </w:pPr>
            <w:hyperlink w:anchor="page5">
              <w:r>
                <w:rPr>
                  <w:rFonts w:ascii="Arial" w:cs="Arial" w:eastAsia="Arial" w:hAnsi="Arial"/>
                  <w:sz w:val="18"/>
                  <w:szCs w:val="18"/>
                  <w:u w:val="single" w:color="auto"/>
                  <w:color w:val="0000FF"/>
                </w:rPr>
                <w:t>Condensed Consolidated Statements of Cash Flows –</w:t>
              </w:r>
              <w:r>
                <w:rPr>
                  <w:rFonts w:ascii="Arial" w:cs="Arial" w:eastAsia="Arial" w:hAnsi="Arial"/>
                  <w:sz w:val="18"/>
                  <w:szCs w:val="18"/>
                  <w:color w:val="0000FF"/>
                </w:rPr>
                <w:t xml:space="preserve"> </w:t>
              </w:r>
            </w:hyperlink>
            <w:r>
              <w:rPr>
                <w:rFonts w:ascii="Arial" w:cs="Arial" w:eastAsia="Arial" w:hAnsi="Arial"/>
                <w:sz w:val="18"/>
                <w:szCs w:val="18"/>
                <w:color w:val="0000FF"/>
              </w:rPr>
              <w:t>Three Months Ended January 31, 2021 and 2020</w:t>
            </w:r>
          </w:p>
        </w:tc>
        <w:tc>
          <w:tcPr>
            <w:tcW w:w="10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r>
      <w:tr>
        <w:trPr>
          <w:trHeight w:val="20"/>
        </w:trPr>
        <w:tc>
          <w:tcPr>
            <w:tcW w:w="116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900" w:type="dxa"/>
            <w:vAlign w:val="bottom"/>
            <w:gridSpan w:val="5"/>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58"/>
        </w:trPr>
        <w:tc>
          <w:tcPr>
            <w:tcW w:w="116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 Consolidated Statement of Stockholders’ Equity –</w:t>
              </w:r>
              <w:r>
                <w:rPr>
                  <w:rFonts w:ascii="Arial" w:cs="Arial" w:eastAsia="Arial" w:hAnsi="Arial"/>
                  <w:sz w:val="18"/>
                  <w:szCs w:val="18"/>
                  <w:color w:val="0000FF"/>
                </w:rPr>
                <w:t xml:space="preserve"> </w:t>
              </w:r>
            </w:hyperlink>
            <w:r>
              <w:rPr>
                <w:rFonts w:ascii="Arial" w:cs="Arial" w:eastAsia="Arial" w:hAnsi="Arial"/>
                <w:sz w:val="18"/>
                <w:szCs w:val="18"/>
                <w:color w:val="0000FF"/>
              </w:rPr>
              <w:t>Three Months Ended January 31, 2021 and 2020</w:t>
            </w:r>
          </w:p>
        </w:tc>
        <w:tc>
          <w:tcPr>
            <w:tcW w:w="10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r>
      <w:tr>
        <w:trPr>
          <w:trHeight w:val="20"/>
        </w:trPr>
        <w:tc>
          <w:tcPr>
            <w:tcW w:w="1160" w:type="dxa"/>
            <w:vAlign w:val="bottom"/>
          </w:tcPr>
          <w:p>
            <w:pPr>
              <w:spacing w:after="0" w:line="20" w:lineRule="exact"/>
              <w:rPr>
                <w:sz w:val="1"/>
                <w:szCs w:val="1"/>
                <w:color w:val="auto"/>
              </w:rPr>
            </w:pPr>
          </w:p>
        </w:tc>
        <w:tc>
          <w:tcPr>
            <w:tcW w:w="4500" w:type="dxa"/>
            <w:vAlign w:val="bottom"/>
            <w:gridSpan w:val="3"/>
          </w:tcPr>
          <w:p>
            <w:pPr>
              <w:spacing w:after="0" w:line="20" w:lineRule="exact"/>
              <w:rPr>
                <w:sz w:val="1"/>
                <w:szCs w:val="1"/>
                <w:color w:val="auto"/>
              </w:rPr>
            </w:pPr>
          </w:p>
        </w:tc>
        <w:tc>
          <w:tcPr>
            <w:tcW w:w="3520" w:type="dxa"/>
            <w:vAlign w:val="bottom"/>
            <w:gridSpan w:val="7"/>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98"/>
        </w:trPr>
        <w:tc>
          <w:tcPr>
            <w:tcW w:w="1160" w:type="dxa"/>
            <w:vAlign w:val="bottom"/>
          </w:tcPr>
          <w:p>
            <w:pPr>
              <w:spacing w:after="0"/>
              <w:rPr>
                <w:sz w:val="24"/>
                <w:szCs w:val="24"/>
                <w:color w:val="auto"/>
              </w:rPr>
            </w:pPr>
          </w:p>
        </w:tc>
        <w:tc>
          <w:tcPr>
            <w:tcW w:w="9060" w:type="dxa"/>
            <w:vAlign w:val="bottom"/>
            <w:gridSpan w:val="12"/>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Unaudited Condensed Consolidated Financial Statements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6</w:t>
              </w:r>
            </w:hyperlink>
          </w:p>
        </w:tc>
      </w:tr>
      <w:tr>
        <w:trPr>
          <w:trHeight w:val="44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060" w:type="dxa"/>
            <w:vAlign w:val="bottom"/>
            <w:gridSpan w:val="12"/>
          </w:tcPr>
          <w:p>
            <w:pPr>
              <w:spacing w:after="0"/>
              <w:rPr>
                <w:rFonts w:ascii="Arial" w:cs="Arial" w:eastAsia="Arial" w:hAnsi="Arial"/>
                <w:sz w:val="18"/>
                <w:szCs w:val="18"/>
                <w:b w:val="1"/>
                <w:bCs w:val="1"/>
                <w:color w:val="0000FF"/>
              </w:rPr>
            </w:pPr>
            <w:hyperlink w:anchor="page22">
              <w:r>
                <w:rPr>
                  <w:rFonts w:ascii="Arial" w:cs="Arial" w:eastAsia="Arial" w:hAnsi="Arial"/>
                  <w:sz w:val="18"/>
                  <w:szCs w:val="18"/>
                  <w:b w:val="1"/>
                  <w:bCs w:val="1"/>
                  <w:color w:val="0000FF"/>
                </w:rPr>
                <w:t>Management’s Discussion and Analysis of Financial Condition and Results of Operations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21</w:t>
              </w:r>
            </w:hyperlink>
          </w:p>
        </w:tc>
      </w:tr>
      <w:tr>
        <w:trPr>
          <w:trHeight w:val="44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3:</w:t>
            </w:r>
          </w:p>
        </w:tc>
        <w:tc>
          <w:tcPr>
            <w:tcW w:w="9060" w:type="dxa"/>
            <w:vAlign w:val="bottom"/>
            <w:gridSpan w:val="12"/>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28</w:t>
              </w:r>
            </w:hyperlink>
          </w:p>
        </w:tc>
      </w:tr>
      <w:tr>
        <w:trPr>
          <w:trHeight w:val="44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4:</w:t>
            </w:r>
          </w:p>
        </w:tc>
        <w:tc>
          <w:tcPr>
            <w:tcW w:w="9060" w:type="dxa"/>
            <w:vAlign w:val="bottom"/>
            <w:gridSpan w:val="12"/>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Controls and Procedures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29</w:t>
              </w:r>
            </w:hyperlink>
          </w:p>
        </w:tc>
      </w:tr>
      <w:tr>
        <w:trPr>
          <w:trHeight w:val="445"/>
        </w:trPr>
        <w:tc>
          <w:tcPr>
            <w:tcW w:w="1160" w:type="dxa"/>
            <w:vAlign w:val="bottom"/>
          </w:tcPr>
          <w:p>
            <w:pPr>
              <w:ind w:left="20"/>
              <w:spacing w:after="0"/>
              <w:rPr>
                <w:sz w:val="20"/>
                <w:szCs w:val="20"/>
                <w:color w:val="auto"/>
              </w:rPr>
            </w:pPr>
            <w:r>
              <w:rPr>
                <w:rFonts w:ascii="Arial" w:cs="Arial" w:eastAsia="Arial" w:hAnsi="Arial"/>
                <w:sz w:val="18"/>
                <w:szCs w:val="18"/>
                <w:color w:val="auto"/>
              </w:rPr>
              <w:t>PART II.</w:t>
            </w:r>
          </w:p>
        </w:tc>
        <w:tc>
          <w:tcPr>
            <w:tcW w:w="9060" w:type="dxa"/>
            <w:vAlign w:val="bottom"/>
            <w:gridSpan w:val="12"/>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OTHER INFORMATION</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r>
      <w:tr>
        <w:trPr>
          <w:trHeight w:val="44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2:</w:t>
            </w:r>
          </w:p>
        </w:tc>
        <w:tc>
          <w:tcPr>
            <w:tcW w:w="9060" w:type="dxa"/>
            <w:vAlign w:val="bottom"/>
            <w:gridSpan w:val="12"/>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Unregistered Sales of Equity Securities and Use of Proceeds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r>
      <w:tr>
        <w:trPr>
          <w:trHeight w:val="445"/>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Item 6:</w:t>
            </w:r>
          </w:p>
        </w:tc>
        <w:tc>
          <w:tcPr>
            <w:tcW w:w="9060" w:type="dxa"/>
            <w:vAlign w:val="bottom"/>
            <w:gridSpan w:val="12"/>
          </w:tcPr>
          <w:p>
            <w:pPr>
              <w:spacing w:after="0"/>
              <w:rPr>
                <w:rFonts w:ascii="Arial" w:cs="Arial" w:eastAsia="Arial" w:hAnsi="Arial"/>
                <w:sz w:val="18"/>
                <w:szCs w:val="18"/>
                <w:b w:val="1"/>
                <w:bCs w:val="1"/>
                <w:color w:val="0000FF"/>
              </w:rPr>
            </w:pPr>
            <w:hyperlink w:anchor="page32">
              <w:r>
                <w:rPr>
                  <w:rFonts w:ascii="Arial" w:cs="Arial" w:eastAsia="Arial" w:hAnsi="Arial"/>
                  <w:sz w:val="18"/>
                  <w:szCs w:val="18"/>
                  <w:b w:val="1"/>
                  <w:bCs w:val="1"/>
                  <w:color w:val="0000FF"/>
                </w:rPr>
                <w:t>Exhibits</w:t>
              </w:r>
            </w:hyperlink>
          </w:p>
        </w:tc>
        <w:tc>
          <w:tcPr>
            <w:tcW w:w="102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34</w:t>
              </w:r>
            </w:hyperlink>
          </w:p>
        </w:tc>
      </w:tr>
      <w:tr>
        <w:trPr>
          <w:trHeight w:val="1168"/>
        </w:trPr>
        <w:tc>
          <w:tcPr>
            <w:tcW w:w="1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QUANEX BUILDING PRODUCTS CORPORATION</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January 31,</w:t>
            </w:r>
          </w:p>
        </w:tc>
        <w:tc>
          <w:tcPr>
            <w:tcW w:w="220" w:type="dxa"/>
            <w:vAlign w:val="bottom"/>
          </w:tcPr>
          <w:p>
            <w:pPr>
              <w:spacing w:after="0"/>
              <w:rPr>
                <w:sz w:val="14"/>
                <w:szCs w:val="14"/>
                <w:color w:val="auto"/>
              </w:rPr>
            </w:pPr>
          </w:p>
        </w:tc>
        <w:tc>
          <w:tcPr>
            <w:tcW w:w="980" w:type="dxa"/>
            <w:vAlign w:val="bottom"/>
          </w:tcPr>
          <w:p>
            <w:pPr>
              <w:jc w:val="right"/>
              <w:ind w:right="151"/>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30"/>
        </w:trPr>
        <w:tc>
          <w:tcPr>
            <w:tcW w:w="8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80" w:type="dxa"/>
            <w:vAlign w:val="bottom"/>
            <w:gridSpan w:val="4"/>
          </w:tcPr>
          <w:p>
            <w:pPr>
              <w:jc w:val="right"/>
              <w:ind w:right="371"/>
              <w:spacing w:after="0" w:line="130" w:lineRule="exact"/>
              <w:rPr>
                <w:sz w:val="20"/>
                <w:szCs w:val="20"/>
                <w:color w:val="auto"/>
              </w:rPr>
            </w:pPr>
            <w:r>
              <w:rPr>
                <w:rFonts w:ascii="Arial" w:cs="Arial" w:eastAsia="Arial" w:hAnsi="Arial"/>
                <w:sz w:val="14"/>
                <w:szCs w:val="14"/>
                <w:b w:val="1"/>
                <w:bCs w:val="1"/>
                <w:color w:val="auto"/>
              </w:rPr>
              <w:t>(In thousands, except share</w:t>
            </w:r>
          </w:p>
        </w:tc>
        <w:tc>
          <w:tcPr>
            <w:tcW w:w="0" w:type="dxa"/>
            <w:vAlign w:val="bottom"/>
          </w:tcPr>
          <w:p>
            <w:pPr>
              <w:spacing w:after="0"/>
              <w:rPr>
                <w:sz w:val="1"/>
                <w:szCs w:val="1"/>
                <w:color w:val="auto"/>
              </w:rPr>
            </w:pPr>
          </w:p>
        </w:tc>
      </w:tr>
      <w:tr>
        <w:trPr>
          <w:trHeight w:val="188"/>
        </w:trPr>
        <w:tc>
          <w:tcPr>
            <w:tcW w:w="8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864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51,621</w:t>
            </w:r>
          </w:p>
        </w:tc>
        <w:tc>
          <w:tcPr>
            <w:tcW w:w="0" w:type="dxa"/>
            <w:vAlign w:val="bottom"/>
          </w:tcPr>
          <w:p>
            <w:pPr>
              <w:spacing w:after="0"/>
              <w:rPr>
                <w:sz w:val="1"/>
                <w:szCs w:val="1"/>
                <w:color w:val="auto"/>
              </w:rPr>
            </w:pPr>
          </w:p>
        </w:tc>
      </w:tr>
      <w:tr>
        <w:trPr>
          <w:trHeight w:val="229"/>
        </w:trPr>
        <w:tc>
          <w:tcPr>
            <w:tcW w:w="864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credit losses of $196 and $161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82,538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88,287</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76,076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61,181</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and other current assets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6,217</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209,253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Property, plant and equipment, net of accumulated depreciation of $346,212 and $340,144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182,371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184,104</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51,824</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149,941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91,806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93,068</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694,271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38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62,553</w:t>
            </w:r>
          </w:p>
        </w:tc>
        <w:tc>
          <w:tcPr>
            <w:tcW w:w="16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77,335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38,289</w:t>
            </w: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3,768</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Current operating lease liabilities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130,240</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112,090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116,728</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 current operating lease liabilities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46,086</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44,873</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Deferred pension and postretirement benefits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10,871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19,116</w:t>
            </w:r>
          </w:p>
        </w:tc>
        <w:tc>
          <w:tcPr>
            <w:tcW w:w="0" w:type="dxa"/>
            <w:vAlign w:val="bottom"/>
          </w:tcPr>
          <w:p>
            <w:pPr>
              <w:spacing w:after="0"/>
              <w:rPr>
                <w:sz w:val="1"/>
                <w:szCs w:val="1"/>
                <w:color w:val="auto"/>
              </w:rPr>
            </w:pP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13,946</w:t>
            </w:r>
          </w:p>
        </w:tc>
        <w:tc>
          <w:tcPr>
            <w:tcW w:w="0" w:type="dxa"/>
            <w:vAlign w:val="bottom"/>
          </w:tcPr>
          <w:p>
            <w:pPr>
              <w:spacing w:after="0"/>
              <w:rPr>
                <w:sz w:val="1"/>
                <w:szCs w:val="1"/>
                <w:color w:val="auto"/>
              </w:rPr>
            </w:pPr>
          </w:p>
        </w:tc>
      </w:tr>
      <w:tr>
        <w:trPr>
          <w:trHeight w:val="223"/>
        </w:trPr>
        <w:tc>
          <w:tcPr>
            <w:tcW w:w="8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316,563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335,826</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Preferred stock, no par value, shares authorized 1,000,000; issued and outstanding - none</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6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w w:val="91"/>
              </w:rPr>
              <w:t>Common stock, $0.01 par value, shares authorized 125,000,000; issued 37,273,510 and 37,296,166, respectively;</w:t>
            </w:r>
          </w:p>
        </w:tc>
        <w:tc>
          <w:tcPr>
            <w:tcW w:w="18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33,347,769 and 32,804,737, respectively</w:t>
            </w:r>
          </w:p>
        </w:tc>
        <w:tc>
          <w:tcPr>
            <w:tcW w:w="18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252,277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253,458</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0" w:type="dxa"/>
            <w:vAlign w:val="bottom"/>
          </w:tcPr>
          <w:p>
            <w:pPr>
              <w:spacing w:after="0"/>
              <w:rPr>
                <w:sz w:val="1"/>
                <w:szCs w:val="1"/>
                <w:color w:val="auto"/>
              </w:rPr>
            </w:pPr>
          </w:p>
        </w:tc>
      </w:tr>
      <w:tr>
        <w:trPr>
          <w:trHeight w:val="230"/>
        </w:trPr>
        <w:tc>
          <w:tcPr>
            <w:tcW w:w="86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(24,424)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(33,024)</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Treasury stock at cost, 3,925,741 and 4,491,429 shares,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(69,250)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377,708</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355,759</w:t>
            </w:r>
          </w:p>
        </w:tc>
        <w:tc>
          <w:tcPr>
            <w:tcW w:w="0" w:type="dxa"/>
            <w:vAlign w:val="bottom"/>
          </w:tcPr>
          <w:p>
            <w:pPr>
              <w:spacing w:after="0"/>
              <w:rPr>
                <w:sz w:val="1"/>
                <w:szCs w:val="1"/>
                <w:color w:val="auto"/>
              </w:rPr>
            </w:pPr>
          </w:p>
        </w:tc>
      </w:tr>
      <w:tr>
        <w:trPr>
          <w:trHeight w:val="248"/>
        </w:trPr>
        <w:tc>
          <w:tcPr>
            <w:tcW w:w="86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694,271</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2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January 31,</w:t>
            </w:r>
          </w:p>
        </w:tc>
        <w:tc>
          <w:tcPr>
            <w:tcW w:w="840" w:type="dxa"/>
            <w:vAlign w:val="bottom"/>
            <w:tcBorders>
              <w:bottom w:val="single" w:sz="8" w:color="auto"/>
            </w:tcBorders>
          </w:tcPr>
          <w:p>
            <w:pPr>
              <w:spacing w:after="0"/>
              <w:rPr>
                <w:sz w:val="16"/>
                <w:szCs w:val="16"/>
                <w:color w:val="auto"/>
              </w:rPr>
            </w:pPr>
          </w:p>
        </w:tc>
      </w:tr>
      <w:tr>
        <w:trPr>
          <w:trHeight w:val="187"/>
        </w:trPr>
        <w:tc>
          <w:tcPr>
            <w:tcW w:w="8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3"/>
        </w:trPr>
        <w:tc>
          <w:tcPr>
            <w:tcW w:w="8640" w:type="dxa"/>
            <w:vAlign w:val="bottom"/>
          </w:tcPr>
          <w:p>
            <w:pPr>
              <w:spacing w:after="0"/>
              <w:rPr>
                <w:sz w:val="15"/>
                <w:szCs w:val="15"/>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w w:val="91"/>
              </w:rPr>
              <w:t>(In thousands, except per share amounts)</w:t>
            </w: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230,147</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196,597</w:t>
            </w: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Cost and expenses: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176,397</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157,427</w:t>
            </w:r>
          </w:p>
        </w:tc>
      </w:tr>
      <w:tr>
        <w:trPr>
          <w:trHeight w:val="229"/>
        </w:trPr>
        <w:tc>
          <w:tcPr>
            <w:tcW w:w="86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30,861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24,132</w:t>
            </w: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11,015</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12,905</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8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11,276</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2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640" w:type="dxa"/>
            <w:vAlign w:val="bottom"/>
          </w:tcPr>
          <w:p>
            <w:pPr>
              <w:ind w:left="5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32,872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32,861</w:t>
            </w:r>
          </w:p>
        </w:tc>
      </w:tr>
      <w:tr>
        <w:trPr>
          <w:trHeight w:val="230"/>
        </w:trPr>
        <w:tc>
          <w:tcPr>
            <w:tcW w:w="86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33,212</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33,078</w:t>
            </w:r>
          </w:p>
        </w:tc>
      </w:tr>
      <w:tr>
        <w:trPr>
          <w:trHeight w:val="270"/>
        </w:trPr>
        <w:tc>
          <w:tcPr>
            <w:tcW w:w="8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per share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743"/>
        </w:trPr>
        <w:tc>
          <w:tcPr>
            <w:tcW w:w="8640" w:type="dxa"/>
            <w:vAlign w:val="bottom"/>
          </w:tcPr>
          <w:p>
            <w:pPr>
              <w:ind w:left="3040"/>
              <w:spacing w:after="0"/>
              <w:rPr>
                <w:sz w:val="20"/>
                <w:szCs w:val="20"/>
                <w:color w:val="auto"/>
              </w:rPr>
            </w:pPr>
            <w:r>
              <w:rPr>
                <w:rFonts w:ascii="Arial" w:cs="Arial" w:eastAsia="Arial" w:hAnsi="Arial"/>
                <w:sz w:val="18"/>
                <w:szCs w:val="18"/>
                <w:color w:val="auto"/>
                <w:w w:val="96"/>
              </w:rPr>
              <w:t>The accompanying notes are an integral part of the financial statements.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left="820" w:right="182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COMPREHENSIVE INCOME (Unaudited)</w:t>
      </w:r>
    </w:p>
    <w:p>
      <w:pPr>
        <w:spacing w:after="0" w:line="304" w:lineRule="exact"/>
        <w:rPr>
          <w:sz w:val="20"/>
          <w:szCs w:val="20"/>
          <w:color w:val="auto"/>
        </w:rPr>
      </w:pPr>
    </w:p>
    <w:tbl>
      <w:tblPr>
        <w:tblLayout w:type="fixed"/>
        <w:tblInd w:w="500" w:type="dxa"/>
        <w:tblCellMar>
          <w:top w:w="0" w:type="dxa"/>
          <w:left w:w="0" w:type="dxa"/>
          <w:bottom w:w="0" w:type="dxa"/>
          <w:right w:w="0" w:type="dxa"/>
        </w:tblCellMar>
      </w:tblPr>
      <w:tr>
        <w:trPr>
          <w:trHeight w:val="186"/>
        </w:trPr>
        <w:tc>
          <w:tcPr>
            <w:tcW w:w="8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center"/>
              <w:ind w:left="337"/>
              <w:spacing w:after="0"/>
              <w:rPr>
                <w:sz w:val="20"/>
                <w:szCs w:val="20"/>
                <w:color w:val="auto"/>
              </w:rPr>
            </w:pPr>
            <w:r>
              <w:rPr>
                <w:rFonts w:ascii="Arial" w:cs="Arial" w:eastAsia="Arial" w:hAnsi="Arial"/>
                <w:sz w:val="14"/>
                <w:szCs w:val="14"/>
                <w:b w:val="1"/>
                <w:bCs w:val="1"/>
                <w:color w:val="auto"/>
                <w:w w:val="93"/>
              </w:rPr>
              <w:t>January 31,</w:t>
            </w:r>
          </w:p>
        </w:tc>
        <w:tc>
          <w:tcPr>
            <w:tcW w:w="620" w:type="dxa"/>
            <w:vAlign w:val="bottom"/>
            <w:tcBorders>
              <w:bottom w:val="single" w:sz="8" w:color="auto"/>
            </w:tcBorders>
          </w:tcPr>
          <w:p>
            <w:pPr>
              <w:spacing w:after="0"/>
              <w:rPr>
                <w:sz w:val="16"/>
                <w:szCs w:val="16"/>
                <w:color w:val="auto"/>
              </w:rPr>
            </w:pPr>
          </w:p>
        </w:tc>
      </w:tr>
      <w:tr>
        <w:trPr>
          <w:trHeight w:val="187"/>
        </w:trPr>
        <w:tc>
          <w:tcPr>
            <w:tcW w:w="8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89"/>
              </w:rPr>
              <w:t>2020</w:t>
            </w:r>
          </w:p>
        </w:tc>
      </w:tr>
      <w:tr>
        <w:trPr>
          <w:trHeight w:val="183"/>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gridSpan w:val="4"/>
          </w:tcPr>
          <w:p>
            <w:pPr>
              <w:jc w:val="center"/>
              <w:ind w:right="133"/>
              <w:spacing w:after="0"/>
              <w:rPr>
                <w:sz w:val="20"/>
                <w:szCs w:val="20"/>
                <w:color w:val="auto"/>
              </w:rPr>
            </w:pPr>
            <w:r>
              <w:rPr>
                <w:rFonts w:ascii="Arial" w:cs="Arial" w:eastAsia="Arial" w:hAnsi="Arial"/>
                <w:sz w:val="14"/>
                <w:szCs w:val="14"/>
                <w:b w:val="1"/>
                <w:bCs w:val="1"/>
                <w:color w:val="auto"/>
                <w:w w:val="93"/>
              </w:rPr>
              <w:t>(In thousands)</w:t>
            </w:r>
          </w:p>
        </w:tc>
      </w:tr>
      <w:tr>
        <w:trPr>
          <w:trHeight w:val="231"/>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300" w:type="dxa"/>
            <w:vAlign w:val="bottom"/>
          </w:tcPr>
          <w:p>
            <w:pPr>
              <w:spacing w:after="0"/>
              <w:rPr>
                <w:sz w:val="20"/>
                <w:szCs w:val="20"/>
                <w:color w:val="auto"/>
              </w:rPr>
            </w:pPr>
            <w:r>
              <w:rPr>
                <w:rFonts w:ascii="Arial" w:cs="Arial" w:eastAsia="Arial" w:hAnsi="Arial"/>
                <w:sz w:val="18"/>
                <w:szCs w:val="18"/>
                <w:i w:val="1"/>
                <w:iCs w:val="1"/>
                <w:color w:val="auto"/>
              </w:rPr>
              <w:t>Other comprehensive income:</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gain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Change in pension from net unamortized gain adjustment (pretax)</w:t>
            </w:r>
          </w:p>
        </w:tc>
        <w:tc>
          <w:tcPr>
            <w:tcW w:w="2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2,519</w:t>
            </w:r>
          </w:p>
        </w:tc>
      </w:tr>
      <w:tr>
        <w:trPr>
          <w:trHeight w:val="22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Change in pension from net unamortized gain adjustment tax expense</w:t>
            </w: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8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4,653</w:t>
            </w:r>
          </w:p>
        </w:tc>
      </w:tr>
      <w:tr>
        <w:trPr>
          <w:trHeight w:val="248"/>
        </w:trPr>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125" w:right="8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QUANEX BUILDING PRODUCTS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52"/>
              <w:spacing w:after="0"/>
              <w:rPr>
                <w:sz w:val="20"/>
                <w:szCs w:val="20"/>
                <w:color w:val="auto"/>
              </w:rPr>
            </w:pPr>
            <w:r>
              <w:rPr>
                <w:rFonts w:ascii="Arial" w:cs="Arial" w:eastAsia="Arial" w:hAnsi="Arial"/>
                <w:sz w:val="14"/>
                <w:szCs w:val="14"/>
                <w:b w:val="1"/>
                <w:bCs w:val="1"/>
                <w:color w:val="auto"/>
                <w:w w:val="95"/>
              </w:rPr>
              <w:t>January 31,</w:t>
            </w:r>
          </w:p>
        </w:tc>
        <w:tc>
          <w:tcPr>
            <w:tcW w:w="820" w:type="dxa"/>
            <w:vAlign w:val="bottom"/>
            <w:tcBorders>
              <w:bottom w:val="single" w:sz="8" w:color="auto"/>
            </w:tcBorders>
          </w:tcPr>
          <w:p>
            <w:pPr>
              <w:spacing w:after="0"/>
              <w:rPr>
                <w:sz w:val="16"/>
                <w:szCs w:val="16"/>
                <w:color w:val="auto"/>
              </w:rPr>
            </w:pPr>
          </w:p>
        </w:tc>
      </w:tr>
      <w:tr>
        <w:trPr>
          <w:trHeight w:val="187"/>
        </w:trPr>
        <w:tc>
          <w:tcPr>
            <w:tcW w:w="8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r>
      <w:tr>
        <w:trPr>
          <w:trHeight w:val="183"/>
        </w:trPr>
        <w:tc>
          <w:tcPr>
            <w:tcW w:w="8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3"/>
              </w:rPr>
              <w:t>(In thousands)</w:t>
            </w:r>
          </w:p>
        </w:tc>
        <w:tc>
          <w:tcPr>
            <w:tcW w:w="820" w:type="dxa"/>
            <w:vAlign w:val="bottom"/>
          </w:tcPr>
          <w:p>
            <w:pPr>
              <w:spacing w:after="0"/>
              <w:rPr>
                <w:sz w:val="15"/>
                <w:szCs w:val="15"/>
                <w:color w:val="auto"/>
              </w:rPr>
            </w:pPr>
          </w:p>
        </w:tc>
      </w:tr>
      <w:tr>
        <w:trPr>
          <w:trHeight w:val="231"/>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29"/>
        </w:trPr>
        <w:tc>
          <w:tcPr>
            <w:tcW w:w="8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7,852</w:t>
            </w:r>
          </w:p>
        </w:tc>
        <w:tc>
          <w:tcPr>
            <w:tcW w:w="26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cash used for operating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12,905</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Deferred income tax</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r>
      <w:tr>
        <w:trPr>
          <w:trHeight w:val="230"/>
        </w:trPr>
        <w:tc>
          <w:tcPr>
            <w:tcW w:w="8560" w:type="dxa"/>
            <w:vAlign w:val="bottom"/>
          </w:tcPr>
          <w:p>
            <w:pPr>
              <w:ind w:left="140"/>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accounts receivable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18,641</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Increase in inventory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(14,061)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(10,657)</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other current assets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Decrease in accounts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(14,577)</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(12,063)</w:t>
            </w:r>
          </w:p>
        </w:tc>
      </w:tr>
      <w:tr>
        <w:trPr>
          <w:trHeight w:val="230"/>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accrued liabilities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(12,519)</w:t>
            </w:r>
          </w:p>
        </w:tc>
      </w:tr>
      <w:tr>
        <w:trPr>
          <w:trHeight w:val="229"/>
        </w:trPr>
        <w:tc>
          <w:tcPr>
            <w:tcW w:w="8560" w:type="dxa"/>
            <w:vAlign w:val="bottom"/>
          </w:tcPr>
          <w:p>
            <w:pPr>
              <w:ind w:left="480"/>
              <w:spacing w:after="0"/>
              <w:rPr>
                <w:sz w:val="20"/>
                <w:szCs w:val="20"/>
                <w:color w:val="auto"/>
              </w:rPr>
            </w:pPr>
            <w:r>
              <w:rPr>
                <w:rFonts w:ascii="Arial" w:cs="Arial" w:eastAsia="Arial" w:hAnsi="Arial"/>
                <w:sz w:val="18"/>
                <w:szCs w:val="18"/>
                <w:color w:val="auto"/>
              </w:rPr>
              <w:t>Decrease in income taxes payable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increase in deferred pension and postretirement benefits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8560" w:type="dxa"/>
            <w:vAlign w:val="bottom"/>
          </w:tcPr>
          <w:p>
            <w:pPr>
              <w:ind w:left="480"/>
              <w:spacing w:after="0"/>
              <w:rPr>
                <w:sz w:val="20"/>
                <w:szCs w:val="20"/>
                <w:color w:val="auto"/>
              </w:rPr>
            </w:pPr>
            <w:r>
              <w:rPr>
                <w:rFonts w:ascii="Arial" w:cs="Arial" w:eastAsia="Arial" w:hAnsi="Arial"/>
                <w:sz w:val="18"/>
                <w:szCs w:val="18"/>
                <w:color w:val="auto"/>
              </w:rPr>
              <w:t>Decrease in other long-term liabilities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29"/>
        </w:trPr>
        <w:tc>
          <w:tcPr>
            <w:tcW w:w="85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Cash used for operating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(3,395)</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(3,657)</w:t>
            </w:r>
          </w:p>
        </w:tc>
      </w:tr>
      <w:tr>
        <w:trPr>
          <w:trHeight w:val="230"/>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(5,246)</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(9,312)</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disposition of capital assets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(5,182)</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(9,312)</w:t>
            </w: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Borrowings under credit facilities</w:t>
            </w:r>
          </w:p>
        </w:tc>
        <w:tc>
          <w:tcPr>
            <w:tcW w:w="2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34,500</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of credit facility borrowings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Repayments of other long-term debt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(541)</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29"/>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dividends paid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Issuance of common stock</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10,030</w:t>
            </w: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3,075</w:t>
            </w:r>
          </w:p>
        </w:tc>
      </w:tr>
      <w:tr>
        <w:trPr>
          <w:trHeight w:val="23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 paid to settle shares forfeited upon vesting of stock</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 of treasury stock</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(4,639)</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provided by financing activities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5,038</w:t>
            </w:r>
          </w:p>
        </w:tc>
      </w:tr>
      <w:tr>
        <w:trPr>
          <w:trHeight w:val="230"/>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 cash and cash equivalents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51,621</w:t>
            </w:r>
          </w:p>
        </w:tc>
        <w:tc>
          <w:tcPr>
            <w:tcW w:w="2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30,868</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43,426</w:t>
            </w: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left="500" w:right="2180"/>
        <w:spacing w:after="0" w:line="275" w:lineRule="auto"/>
        <w:rPr>
          <w:sz w:val="20"/>
          <w:szCs w:val="20"/>
          <w:color w:val="auto"/>
        </w:rPr>
      </w:pPr>
      <w:r>
        <w:rPr>
          <w:rFonts w:ascii="Arial" w:cs="Arial" w:eastAsia="Arial" w:hAnsi="Arial"/>
          <w:sz w:val="18"/>
          <w:szCs w:val="18"/>
          <w:b w:val="1"/>
          <w:bCs w:val="1"/>
          <w:color w:val="auto"/>
        </w:rPr>
        <w:t>QUANEX BUILDING PRODUCTS CORPORATION CONDENSED CONSOLIDATED STATEMENTS OF STOCKHOLDERS’ EQUITY (Unaudited)</w:t>
      </w: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0" w:type="dxa"/>
            <w:vAlign w:val="bottom"/>
          </w:tcPr>
          <w:p>
            <w:pPr>
              <w:spacing w:after="0"/>
              <w:rPr>
                <w:sz w:val="14"/>
                <w:szCs w:val="14"/>
                <w:color w:val="auto"/>
              </w:rPr>
            </w:pPr>
          </w:p>
        </w:tc>
        <w:tc>
          <w:tcPr>
            <w:tcW w:w="12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Common</w:t>
            </w:r>
          </w:p>
        </w:tc>
        <w:tc>
          <w:tcPr>
            <w:tcW w:w="1160" w:type="dxa"/>
            <w:vAlign w:val="bottom"/>
            <w:vMerge w:val="continue"/>
          </w:tcPr>
          <w:p>
            <w:pPr>
              <w:spacing w:after="0"/>
              <w:rPr>
                <w:sz w:val="11"/>
                <w:szCs w:val="11"/>
                <w:color w:val="auto"/>
              </w:rPr>
            </w:pP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Retained</w:t>
            </w: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Other</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vMerge w:val="restart"/>
          </w:tcPr>
          <w:p>
            <w:pPr>
              <w:spacing w:after="0"/>
              <w:rPr>
                <w:sz w:val="20"/>
                <w:szCs w:val="20"/>
                <w:color w:val="auto"/>
              </w:rPr>
            </w:pPr>
            <w:r>
              <w:rPr>
                <w:rFonts w:ascii="Arial" w:cs="Arial" w:eastAsia="Arial" w:hAnsi="Arial"/>
                <w:sz w:val="16"/>
                <w:szCs w:val="16"/>
                <w:b w:val="1"/>
                <w:bCs w:val="1"/>
                <w:color w:val="auto"/>
                <w:w w:val="92"/>
              </w:rPr>
              <w:t>Three Months Ended January 31, 2021</w:t>
            </w:r>
          </w:p>
        </w:tc>
        <w:tc>
          <w:tcPr>
            <w:tcW w:w="15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8"/>
              </w:rPr>
              <w:t>Paid-in</w:t>
            </w:r>
          </w:p>
        </w:tc>
        <w:tc>
          <w:tcPr>
            <w:tcW w:w="1020" w:type="dxa"/>
            <w:vAlign w:val="bottom"/>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vMerge w:val="continue"/>
          </w:tcPr>
          <w:p>
            <w:pPr>
              <w:spacing w:after="0"/>
              <w:rPr>
                <w:sz w:val="11"/>
                <w:szCs w:val="11"/>
                <w:color w:val="auto"/>
              </w:rPr>
            </w:pPr>
          </w:p>
        </w:tc>
        <w:tc>
          <w:tcPr>
            <w:tcW w:w="1200" w:type="dxa"/>
            <w:vAlign w:val="bottom"/>
          </w:tcPr>
          <w:p>
            <w:pPr>
              <w:jc w:val="center"/>
              <w:ind w:left="28"/>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53"/>
        </w:trPr>
        <w:tc>
          <w:tcPr>
            <w:tcW w:w="2700" w:type="dxa"/>
            <w:vAlign w:val="bottom"/>
            <w:tcBorders>
              <w:bottom w:val="single" w:sz="8" w:color="auto"/>
            </w:tcBorders>
            <w:vMerge w:val="continue"/>
          </w:tcPr>
          <w:p>
            <w:pPr>
              <w:spacing w:after="0"/>
              <w:rPr>
                <w:sz w:val="12"/>
                <w:szCs w:val="12"/>
                <w:color w:val="auto"/>
              </w:rPr>
            </w:pPr>
          </w:p>
        </w:tc>
        <w:tc>
          <w:tcPr>
            <w:tcW w:w="15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Capital</w:t>
            </w:r>
          </w:p>
        </w:tc>
        <w:tc>
          <w:tcPr>
            <w:tcW w:w="10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Earnings</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Loss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5700"/>
        <w:spacing w:after="0"/>
        <w:rPr>
          <w:sz w:val="20"/>
          <w:szCs w:val="20"/>
          <w:color w:val="auto"/>
        </w:rPr>
      </w:pPr>
      <w:r>
        <w:rPr>
          <w:rFonts w:ascii="Arial" w:cs="Arial" w:eastAsia="Arial" w:hAnsi="Arial"/>
          <w:sz w:val="14"/>
          <w:szCs w:val="14"/>
          <w:b w:val="1"/>
          <w:bCs w:val="1"/>
          <w:color w:val="auto"/>
        </w:rPr>
        <w:t>(In thousands, no per share amounts shown except in verbiage)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shares purchased, at cost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Expense related to stock-based compensation</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10,030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Performance restricted stock units vested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Balance at January 31, 2021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252,277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218,732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(24,424)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377,708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1"/>
                <w:szCs w:val="11"/>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January 31, 2020</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Comprehensive</w:t>
            </w:r>
          </w:p>
        </w:tc>
        <w:tc>
          <w:tcPr>
            <w:tcW w:w="1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Loss</w:t>
            </w:r>
          </w:p>
        </w:tc>
        <w:tc>
          <w:tcPr>
            <w:tcW w:w="16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9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October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Common dividends ($0.08 per share)</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gridSpan w:val="2"/>
          </w:tcPr>
          <w:p>
            <w:pPr>
              <w:spacing w:after="0" w:line="176" w:lineRule="exact"/>
              <w:rPr>
                <w:sz w:val="20"/>
                <w:szCs w:val="20"/>
                <w:color w:val="auto"/>
              </w:rPr>
            </w:pPr>
            <w:r>
              <w:rPr>
                <w:rFonts w:ascii="Arial" w:cs="Arial" w:eastAsia="Arial" w:hAnsi="Arial"/>
                <w:sz w:val="18"/>
                <w:szCs w:val="18"/>
                <w:color w:val="auto"/>
                <w:w w:val="93"/>
              </w:rPr>
              <w:t>Change in pension from net unamortized loss (net of tax</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expense of $609)</w:t>
            </w: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Stock-based compensation activity:</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Stock-based compensation benefit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ind w:left="120"/>
              <w:spacing w:after="0"/>
              <w:rPr>
                <w:sz w:val="20"/>
                <w:szCs w:val="20"/>
                <w:color w:val="auto"/>
              </w:rPr>
            </w:pPr>
            <w:r>
              <w:rPr>
                <w:rFonts w:ascii="Arial" w:cs="Arial" w:eastAsia="Arial" w:hAnsi="Arial"/>
                <w:sz w:val="18"/>
                <w:szCs w:val="18"/>
                <w:color w:val="auto"/>
              </w:rPr>
              <w:t>Restricted stock awards granted</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share awards vested</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329,933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5" w:right="51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 and Basis of Presentation</w:t>
      </w:r>
    </w:p>
    <w:p>
      <w:pPr>
        <w:spacing w:after="0" w:line="17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Quanex Building Products Corporation is a component supplier to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have organized our business into three reportable business segments. For additional discussion of our reportable business segments, see Note 11, "Segment Information."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United Kingdom (U.K.), and also serve customers in international markets through our operating plants in the U.K. and Germany, as well as through sales and marketing efforts in other countries.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116" w:lineRule="exact"/>
        <w:rPr>
          <w:sz w:val="20"/>
          <w:szCs w:val="20"/>
          <w:color w:val="auto"/>
        </w:rPr>
      </w:pPr>
    </w:p>
    <w:p>
      <w:pPr>
        <w:jc w:val="both"/>
        <w:ind w:firstLine="445"/>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include the accounts of Quanex Building Products Corporation. All intercompany accounts and transactions have been eliminated in consolidation. These financial statements have been prepared by us, without audit, pursuant to the rules and regulations of the Securities and Exchange Commission (SEC). Certain information and footnote disclosures normally included in financial statements prepared in accordance with accounting principles generally accepted in the United States of America (U.S. GAAP) have been condensed or omitted pursuant to such rules and regulations. The condensed consolidated balance sheet as of October 31, 2020 was derived from audited financial information but does not include all disclosures required by U.S. GAAP. The accompanying financial statements should be read in conjunction with the audited consolidated financial statements and the notes thereto, included in our Annual Report on Form 10-K for the fiscal year ended October 31, 2020. In our opinion, the accompanying financial statements contain all adjustments (which consist of normal recurring adjustments, except as disclosed herein) necessary to fairly present our financial position, results of operations and cash flows for the interim periods. The results of operations for the periods presented are not necessarily indicative of the results to be expected for the full year or for any future periods.</w:t>
      </w:r>
    </w:p>
    <w:p>
      <w:pPr>
        <w:spacing w:after="0" w:line="114"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preparing financial statements, we make informed judgments and estimates that affect the reported amounts of assets and liabilities as of the date of the financial statements and affect the reported amounts of revenues and expenses during the reporting period. We review our estimates on an on-going basis, including those related to impairment of long-lived assets and goodwill, contingencies and income taxes. Changes in facts and circumstances may result in revised estimates and actual results may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recognize revenue that reflects the consideration we expect to receive for product sales upon transfer to customers. Revenue for product sales is recognized when control of the promised products is transferred to our customers, and we are entitled to consideration in exchange for such transfer. We account for a contract when a customer provides us with a firm purchase order that identifies the products to be provided, the payment terms for those products, and when collectability of the consideration due is probable.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71"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 performance obligation is a promise to provide the customer with a good or service. Our performance obligations include product sales, with each product included in a customer contract being recognized as a separate performance obligation. For contracts with multiple performance obligations, the standalone selling price of each product is generally readily observable.</w:t>
      </w:r>
    </w:p>
    <w:p>
      <w:pPr>
        <w:spacing w:after="0" w:line="13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Revenue from product sales is recognized at a point in time when the product is transferred to the customer, in accordance with the shipping terms, which is generally upon shipment. We estimate a provision for sales returns and warranty allowances to account for product returns related to general returns and product nonconformance.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Pricing and sales incentives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Pricing is established at or prior to the time of sale with our customers and we record sales at the agreed-upon net selling price, reflective of current and prospective discounts.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generally expense incremental costs of obtaining a contract when incurred because the amortization period would be less than one year.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Additionally, we do not disclose the value of unsatisfied performance obligations for contracts with an original expected length of one year or less.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account for shipping and handling services as fulfillment services; accordingly, freight revenue is combined with the product deliverable rather than being accounted for as a distinct performance obligation within the terms of the agreement. Shipping and handling costs incurred by us for the delivery of goods to customers are considered a cost to fulfill the contract and are included in Cost of sales in the accompanying Condensed Consolidated Statements of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Deferred revenue, which is not significant, is recorded when we have remaining unsatisfied performance obligations for which we have received consideration.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produce a wide variety of products that are used in the fenestration industry, including window spacer systems; extruded vinyl products; metal fabricated products; and astragals, thresholds and screens. In addition, we produce certain non-fenestration products, including kitchen and bath cabinet doors and components, flooring and trim moldings, solar edge tape, plastic decking, fencing, water retention barriers, conservatory roof components, and other products.</w:t>
      </w:r>
    </w:p>
    <w:p>
      <w:pPr>
        <w:spacing w:after="0" w:line="14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following table summarizes our product sales for the three months ended January 31, 2021 and 2020 into groupings by segment which we believe depicts how the nature, amount, timing and uncertainty of our revenues and cash flows are affected by economic factors. For further details regarding our results by segment, refer to Note 11 “Segment Information”.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3"/>
              </w:rPr>
              <w:t>Three Months Ended</w:t>
            </w:r>
          </w:p>
        </w:tc>
      </w:tr>
      <w:tr>
        <w:trPr>
          <w:trHeight w:val="195"/>
        </w:trPr>
        <w:tc>
          <w:tcPr>
            <w:tcW w:w="9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ind w:left="354"/>
              <w:spacing w:after="0"/>
              <w:rPr>
                <w:sz w:val="20"/>
                <w:szCs w:val="20"/>
                <w:color w:val="auto"/>
              </w:rPr>
            </w:pPr>
            <w:r>
              <w:rPr>
                <w:rFonts w:ascii="Arial" w:cs="Arial" w:eastAsia="Arial" w:hAnsi="Arial"/>
                <w:sz w:val="14"/>
                <w:szCs w:val="14"/>
                <w:b w:val="1"/>
                <w:bCs w:val="1"/>
                <w:color w:val="auto"/>
                <w:w w:val="95"/>
              </w:rPr>
              <w:t>January 31,</w:t>
            </w:r>
          </w:p>
        </w:tc>
        <w:tc>
          <w:tcPr>
            <w:tcW w:w="680" w:type="dxa"/>
            <w:vAlign w:val="bottom"/>
            <w:tcBorders>
              <w:bottom w:val="single" w:sz="8" w:color="auto"/>
            </w:tcBorders>
          </w:tcPr>
          <w:p>
            <w:pPr>
              <w:spacing w:after="0"/>
              <w:rPr>
                <w:sz w:val="16"/>
                <w:szCs w:val="16"/>
                <w:color w:val="auto"/>
              </w:rPr>
            </w:pPr>
          </w:p>
        </w:tc>
      </w:tr>
      <w:tr>
        <w:trPr>
          <w:trHeight w:val="196"/>
        </w:trPr>
        <w:tc>
          <w:tcPr>
            <w:tcW w:w="9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6"/>
              </w:rPr>
              <w:t>2020</w:t>
            </w:r>
          </w:p>
        </w:tc>
      </w:tr>
      <w:tr>
        <w:trPr>
          <w:trHeight w:val="187"/>
        </w:trPr>
        <w:tc>
          <w:tcPr>
            <w:tcW w:w="9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00" w:type="dxa"/>
            <w:vAlign w:val="bottom"/>
            <w:gridSpan w:val="4"/>
          </w:tcPr>
          <w:p>
            <w:pPr>
              <w:jc w:val="center"/>
              <w:ind w:right="151"/>
              <w:spacing w:after="0"/>
              <w:rPr>
                <w:sz w:val="20"/>
                <w:szCs w:val="20"/>
                <w:color w:val="auto"/>
              </w:rPr>
            </w:pPr>
            <w:r>
              <w:rPr>
                <w:rFonts w:ascii="Arial" w:cs="Arial" w:eastAsia="Arial" w:hAnsi="Arial"/>
                <w:sz w:val="14"/>
                <w:szCs w:val="14"/>
                <w:b w:val="1"/>
                <w:bCs w:val="1"/>
                <w:color w:val="auto"/>
                <w:w w:val="93"/>
              </w:rPr>
              <w:t>(In thousands)</w:t>
            </w:r>
          </w:p>
        </w:tc>
      </w:tr>
      <w:tr>
        <w:trPr>
          <w:trHeight w:val="231"/>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Fenestration:</w:t>
            </w: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112,300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96,847</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fenestration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United States - non-fenestration</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4,563</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r>
      <w:tr>
        <w:trPr>
          <w:trHeight w:val="223"/>
        </w:trPr>
        <w:tc>
          <w:tcPr>
            <w:tcW w:w="9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128,116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110,452</w:t>
            </w: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European Fenestration: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International - fenestration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41,354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30,964</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 - non-fenestration</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5,802</w:t>
            </w:r>
          </w:p>
        </w:tc>
      </w:tr>
      <w:tr>
        <w:trPr>
          <w:trHeight w:val="223"/>
        </w:trPr>
        <w:tc>
          <w:tcPr>
            <w:tcW w:w="9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49,091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36,766</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North American Cabinet Components: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9100" w:type="dxa"/>
            <w:vAlign w:val="bottom"/>
          </w:tcPr>
          <w:p>
            <w:pPr>
              <w:ind w:left="20"/>
              <w:spacing w:after="0"/>
              <w:rPr>
                <w:sz w:val="20"/>
                <w:szCs w:val="20"/>
                <w:color w:val="auto"/>
              </w:rPr>
            </w:pPr>
            <w:r>
              <w:rPr>
                <w:rFonts w:ascii="Arial" w:cs="Arial" w:eastAsia="Arial" w:hAnsi="Arial"/>
                <w:sz w:val="18"/>
                <w:szCs w:val="18"/>
                <w:color w:val="auto"/>
              </w:rPr>
              <w:t>United States - fenestration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3,147</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 - non-fenestration</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46,450</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 non-fenestration</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r>
      <w:tr>
        <w:trPr>
          <w:trHeight w:val="223"/>
        </w:trPr>
        <w:tc>
          <w:tcPr>
            <w:tcW w:w="9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50,044</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Unallocated Corporate &amp; Other</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23"/>
        </w:trPr>
        <w:tc>
          <w:tcPr>
            <w:tcW w:w="9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196,597</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171"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We have established an allowance for credit losses to estimate the risk of losses, which represents an estimate of expected losses over the remaining contractual life of our receivables. The allowance is determined using two methods. The amounts calculated from each of these methods are combined to determine the total amount reserved. First, a specific reserve is established for individual accounts where information indicates the customers may have an inability to meet financial obligations. Second, a reserve is determined for all customers based on a range of percentages applied to aging categories. These percentages are based on historical collection rates, write-off experience, and forecasts of future economic conditions. Actual write-offs are charged against the allowance when collection efforts have been unsuccessful.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On March 11, 2020, the World Health Organization (WHO) declared the outbreak of COVID-19 as a global pandemic and advised aggressive containment action. The COVID-19 pandemic and its impacts are continuing to have an adverse effect on many sectors of the economy. Measures providing for business shutdowns generally exclude certain essential services commonly including critical infrastructure such as construction and the businesses that support that critical infrastructure. To date, we have not experienced significant challenges or expenses implementing crisis management plans intended for containment and prevention. While we could expect some negative impacts on our business, results of operations, cash flows and financial position, the overall financial impact cannot be reasonably estimated at this time.</w:t>
      </w:r>
    </w:p>
    <w:p>
      <w:pPr>
        <w:spacing w:after="0" w:line="138"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The health and safety of our employees are high priority. In response to the COVID-19 pandemic, we have taken additional measures to limit possible infections at the workplace by implementing social distancing, sanitizing the workspace, and requiring employees to wear masks and other measures necessary to ensure safety as infection surges dictate.</w:t>
      </w:r>
    </w:p>
    <w:p>
      <w:pPr>
        <w:spacing w:after="0" w:line="13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As a result of the economic and business impact of COVID-19, we may be required to revise certain accounting estimates and judgments such as, but not limited to, those related to the valuation of goodwill, intangibles, right-of-use assets, long-lived assets, accounts receivable (including allowances for credit losses), and inventory, which could have a material adverse effect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at January 31, 2021 and October 31, 2020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31,</w:t>
            </w:r>
          </w:p>
        </w:tc>
        <w:tc>
          <w:tcPr>
            <w:tcW w:w="280" w:type="dxa"/>
            <w:vAlign w:val="bottom"/>
          </w:tcPr>
          <w:p>
            <w:pPr>
              <w:spacing w:after="0"/>
              <w:rPr>
                <w:sz w:val="14"/>
                <w:szCs w:val="14"/>
                <w:color w:val="auto"/>
              </w:rPr>
            </w:pPr>
          </w:p>
        </w:tc>
        <w:tc>
          <w:tcPr>
            <w:tcW w:w="1360" w:type="dxa"/>
            <w:vAlign w:val="bottom"/>
          </w:tcPr>
          <w:p>
            <w:pPr>
              <w:jc w:val="right"/>
              <w:ind w:right="375"/>
              <w:spacing w:after="0"/>
              <w:rPr>
                <w:sz w:val="20"/>
                <w:szCs w:val="20"/>
                <w:color w:val="auto"/>
              </w:rPr>
            </w:pPr>
            <w:r>
              <w:rPr>
                <w:rFonts w:ascii="Arial" w:cs="Arial" w:eastAsia="Arial" w:hAnsi="Arial"/>
                <w:sz w:val="14"/>
                <w:szCs w:val="14"/>
                <w:b w:val="1"/>
                <w:bCs w:val="1"/>
                <w:color w:val="auto"/>
              </w:rPr>
              <w:t>October 31,</w:t>
            </w:r>
          </w:p>
        </w:tc>
      </w:tr>
      <w:tr>
        <w:trPr>
          <w:trHeight w:val="188"/>
        </w:trPr>
        <w:tc>
          <w:tcPr>
            <w:tcW w:w="7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40,822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33,298</w:t>
            </w: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Finished goods and work in process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38,732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32,347</w:t>
            </w: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23"/>
        </w:trPr>
        <w:tc>
          <w:tcPr>
            <w:tcW w:w="7700" w:type="dxa"/>
            <w:vAlign w:val="bottom"/>
          </w:tcPr>
          <w:p>
            <w:pPr>
              <w:ind w:left="36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81,614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67,665</w:t>
            </w:r>
          </w:p>
        </w:tc>
      </w:tr>
      <w:tr>
        <w:trPr>
          <w:trHeight w:val="230"/>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Inventory reserves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w:t>
            </w:r>
          </w:p>
        </w:tc>
      </w:tr>
      <w:tr>
        <w:trPr>
          <w:trHeight w:val="223"/>
        </w:trPr>
        <w:tc>
          <w:tcPr>
            <w:tcW w:w="7700" w:type="dxa"/>
            <w:vAlign w:val="bottom"/>
          </w:tcPr>
          <w:p>
            <w:pPr>
              <w:ind w:left="56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61,181</w:t>
            </w:r>
          </w:p>
        </w:tc>
      </w:tr>
      <w:tr>
        <w:trPr>
          <w:trHeight w:val="21"/>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Fixed costs related to excess manufacturing capacity, if any, have been expensed in the period they were incurred and, therefore, are not capitalized into inventory.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 in the carrying amount of goodwill for the three months ended January 31, 2021 was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jc w:val="right"/>
              <w:ind w:right="275"/>
              <w:spacing w:after="0"/>
              <w:rPr>
                <w:sz w:val="20"/>
                <w:szCs w:val="20"/>
                <w:color w:val="auto"/>
              </w:rPr>
            </w:pPr>
            <w:r>
              <w:rPr>
                <w:rFonts w:ascii="Arial" w:cs="Arial" w:eastAsia="Arial" w:hAnsi="Arial"/>
                <w:sz w:val="16"/>
                <w:szCs w:val="16"/>
                <w:b w:val="1"/>
                <w:bCs w:val="1"/>
                <w:color w:val="auto"/>
                <w:w w:val="99"/>
              </w:rPr>
              <w:t>Three Months Ended</w:t>
            </w:r>
          </w:p>
        </w:tc>
      </w:tr>
      <w:tr>
        <w:trPr>
          <w:trHeight w:val="192"/>
        </w:trPr>
        <w:tc>
          <w:tcPr>
            <w:tcW w:w="9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January 31,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146,154</w:t>
            </w:r>
          </w:p>
        </w:tc>
      </w:tr>
      <w:tr>
        <w:trPr>
          <w:trHeight w:val="230"/>
        </w:trPr>
        <w:tc>
          <w:tcPr>
            <w:tcW w:w="9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r>
      <w:tr>
        <w:trPr>
          <w:trHeight w:val="24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149,941</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At our last annual test date, August 31, 2020, we evaluated the recoverability of goodwill at each of our five reporting units with goodwill balances and determined that our goodwill was not impaired. We evaluated for indicators of impairment during the three months ended January 31, 2021 and determined that there were no triggering events related to the impacts of COVID-19 or any other areas of our operations. However, the long term effects of the COVID-19 pandemic on the demand and pricing of our products may result in future impairment charges. For a summary of the change in the carrying amount of goodwill by segment, see Note 11, "Segment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Amortizable intangible assets consisted of the following as of January 31, 2021 and October 31, 2020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gridSpan w:val="5"/>
          </w:tcPr>
          <w:p>
            <w:pPr>
              <w:ind w:left="860"/>
              <w:spacing w:after="0"/>
              <w:rPr>
                <w:sz w:val="20"/>
                <w:szCs w:val="20"/>
                <w:color w:val="auto"/>
              </w:rPr>
            </w:pPr>
            <w:r>
              <w:rPr>
                <w:rFonts w:ascii="Arial" w:cs="Arial" w:eastAsia="Arial" w:hAnsi="Arial"/>
                <w:sz w:val="14"/>
                <w:szCs w:val="14"/>
                <w:b w:val="1"/>
                <w:bCs w:val="1"/>
                <w:color w:val="auto"/>
              </w:rPr>
              <w:t>January 31, 2021</w:t>
            </w:r>
          </w:p>
        </w:tc>
        <w:tc>
          <w:tcPr>
            <w:tcW w:w="160" w:type="dxa"/>
            <w:vAlign w:val="bottom"/>
          </w:tcPr>
          <w:p>
            <w:pPr>
              <w:spacing w:after="0"/>
              <w:rPr>
                <w:sz w:val="16"/>
                <w:szCs w:val="16"/>
                <w:color w:val="auto"/>
              </w:rPr>
            </w:pPr>
          </w:p>
        </w:tc>
        <w:tc>
          <w:tcPr>
            <w:tcW w:w="294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October 31, 2020</w:t>
            </w:r>
          </w:p>
        </w:tc>
      </w:tr>
      <w:tr>
        <w:trPr>
          <w:trHeight w:val="135"/>
        </w:trPr>
        <w:tc>
          <w:tcPr>
            <w:tcW w:w="48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36"/>
              <w:spacing w:after="0" w:line="135"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216"/>
              <w:spacing w:after="0" w:line="135" w:lineRule="exact"/>
              <w:rPr>
                <w:sz w:val="20"/>
                <w:szCs w:val="20"/>
                <w:color w:val="auto"/>
              </w:rPr>
            </w:pPr>
            <w:r>
              <w:rPr>
                <w:rFonts w:ascii="Arial" w:cs="Arial" w:eastAsia="Arial" w:hAnsi="Arial"/>
                <w:sz w:val="14"/>
                <w:szCs w:val="14"/>
                <w:b w:val="1"/>
                <w:bCs w:val="1"/>
                <w:color w:val="auto"/>
              </w:rPr>
              <w:t>Accumulated</w:t>
            </w:r>
          </w:p>
        </w:tc>
      </w:tr>
      <w:tr>
        <w:trPr>
          <w:trHeight w:val="188"/>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220" w:type="dxa"/>
            <w:vAlign w:val="bottom"/>
          </w:tcPr>
          <w:p>
            <w:pPr>
              <w:jc w:val="right"/>
              <w:ind w:right="216"/>
              <w:spacing w:after="0"/>
              <w:rPr>
                <w:sz w:val="20"/>
                <w:szCs w:val="20"/>
                <w:color w:val="auto"/>
              </w:rPr>
            </w:pPr>
            <w:r>
              <w:rPr>
                <w:rFonts w:ascii="Arial" w:cs="Arial" w:eastAsia="Arial" w:hAnsi="Arial"/>
                <w:sz w:val="14"/>
                <w:szCs w:val="14"/>
                <w:b w:val="1"/>
                <w:bCs w:val="1"/>
                <w:color w:val="auto"/>
              </w:rPr>
              <w:t>Amortization</w:t>
            </w:r>
          </w:p>
        </w:tc>
      </w:tr>
      <w:tr>
        <w:trPr>
          <w:trHeight w:val="224"/>
        </w:trPr>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146,236</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154,004</w:t>
            </w:r>
          </w:p>
        </w:tc>
        <w:tc>
          <w:tcPr>
            <w:tcW w:w="2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80,441</w:t>
            </w:r>
          </w:p>
        </w:tc>
      </w:tr>
      <w:tr>
        <w:trPr>
          <w:trHeight w:val="230"/>
        </w:trPr>
        <w:tc>
          <w:tcPr>
            <w:tcW w:w="4800" w:type="dxa"/>
            <w:vAlign w:val="bottom"/>
          </w:tcPr>
          <w:p>
            <w:pPr>
              <w:ind w:left="360"/>
              <w:spacing w:after="0"/>
              <w:rPr>
                <w:sz w:val="20"/>
                <w:szCs w:val="20"/>
                <w:color w:val="auto"/>
              </w:rPr>
            </w:pPr>
            <w:r>
              <w:rPr>
                <w:rFonts w:ascii="Arial" w:cs="Arial" w:eastAsia="Arial" w:hAnsi="Arial"/>
                <w:sz w:val="18"/>
                <w:szCs w:val="18"/>
                <w:color w:val="auto"/>
              </w:rPr>
              <w:t>Trademarks and trade names</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56,443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37,314</w:t>
            </w:r>
          </w:p>
        </w:tc>
      </w:tr>
      <w:tr>
        <w:trPr>
          <w:trHeight w:val="230"/>
        </w:trPr>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Patents and other technology</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22,543</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21,745</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21,312</w:t>
            </w: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225,222</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133,416</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232,135</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139,067</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had aggregate amortization expense related to intangible assets for the three months ended January 31, 2021 of $3.4 million and $3.7 million for the comparable prior year period. We retired fully amortized identifiable assets of $9.9 million related to customer relationships during the three months ended January 31,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Estimated remaining amortization expense, based on current intangible balances, for each of the fiscal years ending October 31, is as follows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692"/>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gridSpan w:val="4"/>
          </w:tcPr>
          <w:p>
            <w:pPr>
              <w:jc w:val="right"/>
              <w:ind w:right="312"/>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nine months)</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2022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38,897</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91,806</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Debt and Finance Lease Obligations</w:t>
            </w: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120" w:type="dxa"/>
            <w:vAlign w:val="bottom"/>
          </w:tcPr>
          <w:p>
            <w:pPr>
              <w:ind w:left="460"/>
              <w:spacing w:after="0"/>
              <w:rPr>
                <w:sz w:val="20"/>
                <w:szCs w:val="20"/>
                <w:color w:val="auto"/>
              </w:rPr>
            </w:pPr>
            <w:r>
              <w:rPr>
                <w:rFonts w:ascii="Arial" w:cs="Arial" w:eastAsia="Arial" w:hAnsi="Arial"/>
                <w:sz w:val="18"/>
                <w:szCs w:val="18"/>
                <w:color w:val="auto"/>
                <w:w w:val="96"/>
              </w:rPr>
              <w:t>Long-term debt consisted of the following at January 31, 2021 and October 31, 2020 (in thousands):</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3"/>
              </w:rPr>
              <w:t>January 31,</w:t>
            </w:r>
          </w:p>
        </w:tc>
        <w:tc>
          <w:tcPr>
            <w:tcW w:w="260" w:type="dxa"/>
            <w:vAlign w:val="bottom"/>
          </w:tcPr>
          <w:p>
            <w:pPr>
              <w:spacing w:after="0"/>
              <w:rPr>
                <w:sz w:val="22"/>
                <w:szCs w:val="22"/>
                <w:color w:val="auto"/>
              </w:rPr>
            </w:pPr>
          </w:p>
        </w:tc>
        <w:tc>
          <w:tcPr>
            <w:tcW w:w="122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88"/>
        </w:trPr>
        <w:tc>
          <w:tcPr>
            <w:tcW w:w="8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103,000</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Finance lease obligations and other</w:t>
            </w:r>
          </w:p>
        </w:tc>
        <w:tc>
          <w:tcPr>
            <w:tcW w:w="24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15,619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deferred financing fees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81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112,794</w:t>
            </w:r>
          </w:p>
        </w:tc>
        <w:tc>
          <w:tcPr>
            <w:tcW w:w="16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117,420</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23"/>
        </w:trPr>
        <w:tc>
          <w:tcPr>
            <w:tcW w:w="8120" w:type="dxa"/>
            <w:vAlign w:val="bottom"/>
          </w:tcPr>
          <w:p>
            <w:pPr>
              <w:ind w:left="48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112,090</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116,728</w:t>
            </w:r>
          </w:p>
        </w:tc>
        <w:tc>
          <w:tcPr>
            <w:tcW w:w="0" w:type="dxa"/>
            <w:vAlign w:val="bottom"/>
          </w:tcPr>
          <w:p>
            <w:pPr>
              <w:spacing w:after="0"/>
              <w:rPr>
                <w:sz w:val="1"/>
                <w:szCs w:val="1"/>
                <w:color w:val="auto"/>
              </w:rPr>
            </w:pPr>
          </w:p>
        </w:tc>
      </w:tr>
      <w:tr>
        <w:trPr>
          <w:trHeight w:val="21"/>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As more fully described in our Annual Report on Form 10-K for the fiscal year ended October 31, 2020, on October 18, 2018, we amended and extended our prior credit facility by entering into a $325.0 million revolving credit facility (the “2018 Credit Facility”), with Wells Fargo Bank, National Association, as Agent, Swingline Lender and Issuing Lender, and Bank of America, N.A. serving as Syndication Agent. The 2018 Credit Facility has a five-year term, maturing on October 18, 2023, and requires interest payments calculated, at our election and depending upon our Consolidated Leverage Ratio, at either a Base Rate plus an applicable margin or the LIBOR Rate plus an applicable margin. At the time of the initial borrowing, the applicable rate was LIBOR + 1.50%. In addition, we are subject to commitment fees for the unused portion of the 2018 Credit Facility.</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applicable margin and commitment fees are outlined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Pricing Level</w:t>
            </w:r>
          </w:p>
        </w:tc>
        <w:tc>
          <w:tcPr>
            <w:tcW w:w="34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Consolidated Leverage Ratio</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c>
          <w:tcPr>
            <w:tcW w:w="23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4"/>
              </w:rPr>
              <w:t>LIBOR Rate Loans</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than or equal to 1.50 to 1.00</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0.200%</w:t>
            </w:r>
          </w:p>
        </w:tc>
        <w:tc>
          <w:tcPr>
            <w:tcW w:w="23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1.25%</w:t>
            </w: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0.25%</w:t>
            </w:r>
          </w:p>
        </w:tc>
        <w:tc>
          <w:tcPr>
            <w:tcW w:w="0" w:type="dxa"/>
            <w:vAlign w:val="bottom"/>
          </w:tcPr>
          <w:p>
            <w:pPr>
              <w:spacing w:after="0"/>
              <w:rPr>
                <w:sz w:val="1"/>
                <w:szCs w:val="1"/>
                <w:color w:val="auto"/>
              </w:rPr>
            </w:pPr>
          </w:p>
        </w:tc>
      </w:tr>
      <w:tr>
        <w:trPr>
          <w:trHeight w:val="176"/>
        </w:trPr>
        <w:tc>
          <w:tcPr>
            <w:tcW w:w="1380" w:type="dxa"/>
            <w:vAlign w:val="bottom"/>
            <w:vMerge w:val="restart"/>
          </w:tcPr>
          <w:p>
            <w:pPr>
              <w:jc w:val="center"/>
              <w:spacing w:after="0"/>
              <w:rPr>
                <w:sz w:val="20"/>
                <w:szCs w:val="20"/>
                <w:color w:val="auto"/>
              </w:rPr>
            </w:pPr>
            <w:r>
              <w:rPr>
                <w:rFonts w:ascii="Arial" w:cs="Arial" w:eastAsia="Arial" w:hAnsi="Arial"/>
                <w:sz w:val="18"/>
                <w:szCs w:val="18"/>
                <w:color w:val="auto"/>
              </w:rPr>
              <w:t>II</w:t>
            </w:r>
          </w:p>
        </w:tc>
        <w:tc>
          <w:tcPr>
            <w:tcW w:w="3420" w:type="dxa"/>
            <w:vAlign w:val="bottom"/>
          </w:tcPr>
          <w:p>
            <w:pPr>
              <w:ind w:left="160"/>
              <w:spacing w:after="0" w:line="176" w:lineRule="exact"/>
              <w:rPr>
                <w:sz w:val="20"/>
                <w:szCs w:val="20"/>
                <w:color w:val="auto"/>
              </w:rPr>
            </w:pPr>
            <w:r>
              <w:rPr>
                <w:rFonts w:ascii="Arial" w:cs="Arial" w:eastAsia="Arial" w:hAnsi="Arial"/>
                <w:sz w:val="18"/>
                <w:szCs w:val="18"/>
                <w:color w:val="auto"/>
                <w:w w:val="96"/>
              </w:rPr>
              <w:t>Greater than 1.50 to 1.00, but less than or</w:t>
            </w:r>
          </w:p>
        </w:tc>
        <w:tc>
          <w:tcPr>
            <w:tcW w:w="1940" w:type="dxa"/>
            <w:vAlign w:val="bottom"/>
            <w:vMerge w:val="restart"/>
          </w:tcPr>
          <w:p>
            <w:pPr>
              <w:jc w:val="center"/>
              <w:spacing w:after="0"/>
              <w:rPr>
                <w:sz w:val="20"/>
                <w:szCs w:val="20"/>
                <w:color w:val="auto"/>
              </w:rPr>
            </w:pPr>
            <w:r>
              <w:rPr>
                <w:rFonts w:ascii="Arial" w:cs="Arial" w:eastAsia="Arial" w:hAnsi="Arial"/>
                <w:sz w:val="18"/>
                <w:szCs w:val="18"/>
                <w:color w:val="auto"/>
                <w:w w:val="88"/>
              </w:rPr>
              <w:t>0.225%</w:t>
            </w:r>
          </w:p>
        </w:tc>
        <w:tc>
          <w:tcPr>
            <w:tcW w:w="230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1.50%</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93"/>
              </w:rPr>
              <w:t>0.50%</w:t>
            </w:r>
          </w:p>
        </w:tc>
        <w:tc>
          <w:tcPr>
            <w:tcW w:w="0" w:type="dxa"/>
            <w:vAlign w:val="bottom"/>
          </w:tcPr>
          <w:p>
            <w:pPr>
              <w:spacing w:after="0"/>
              <w:rPr>
                <w:sz w:val="1"/>
                <w:szCs w:val="1"/>
                <w:color w:val="auto"/>
              </w:rPr>
            </w:pPr>
          </w:p>
        </w:tc>
      </w:tr>
      <w:tr>
        <w:trPr>
          <w:trHeight w:val="229"/>
        </w:trPr>
        <w:tc>
          <w:tcPr>
            <w:tcW w:w="1380" w:type="dxa"/>
            <w:vAlign w:val="bottom"/>
            <w:vMerge w:val="continue"/>
          </w:tcPr>
          <w:p>
            <w:pPr>
              <w:spacing w:after="0"/>
              <w:rPr>
                <w:sz w:val="19"/>
                <w:szCs w:val="19"/>
                <w:color w:val="auto"/>
              </w:rPr>
            </w:pPr>
          </w:p>
        </w:tc>
        <w:tc>
          <w:tcPr>
            <w:tcW w:w="3420" w:type="dxa"/>
            <w:vAlign w:val="bottom"/>
          </w:tcPr>
          <w:p>
            <w:pPr>
              <w:ind w:left="160"/>
              <w:spacing w:after="0"/>
              <w:rPr>
                <w:sz w:val="20"/>
                <w:szCs w:val="20"/>
                <w:color w:val="auto"/>
              </w:rPr>
            </w:pPr>
            <w:r>
              <w:rPr>
                <w:rFonts w:ascii="Arial" w:cs="Arial" w:eastAsia="Arial" w:hAnsi="Arial"/>
                <w:sz w:val="18"/>
                <w:szCs w:val="18"/>
                <w:color w:val="auto"/>
              </w:rPr>
              <w:t>equal to 2.25 to 1.00</w:t>
            </w:r>
          </w:p>
        </w:tc>
        <w:tc>
          <w:tcPr>
            <w:tcW w:w="194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342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w w:val="96"/>
              </w:rPr>
              <w:t>Greater than 2.25 to 1.00, but less than or</w:t>
            </w:r>
          </w:p>
        </w:tc>
        <w:tc>
          <w:tcPr>
            <w:tcW w:w="19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0.250%</w:t>
            </w:r>
          </w:p>
        </w:tc>
        <w:tc>
          <w:tcPr>
            <w:tcW w:w="230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color w:val="auto"/>
                <w:w w:val="90"/>
              </w:rPr>
              <w:t>1.75%</w:t>
            </w:r>
          </w:p>
        </w:tc>
        <w:tc>
          <w:tcPr>
            <w:tcW w:w="22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0.75%</w:t>
            </w:r>
          </w:p>
        </w:tc>
        <w:tc>
          <w:tcPr>
            <w:tcW w:w="0" w:type="dxa"/>
            <w:vAlign w:val="bottom"/>
          </w:tcPr>
          <w:p>
            <w:pPr>
              <w:spacing w:after="0"/>
              <w:rPr>
                <w:sz w:val="1"/>
                <w:szCs w:val="1"/>
                <w:color w:val="auto"/>
              </w:rPr>
            </w:pPr>
          </w:p>
        </w:tc>
      </w:tr>
      <w:tr>
        <w:trPr>
          <w:trHeight w:val="229"/>
        </w:trPr>
        <w:tc>
          <w:tcPr>
            <w:tcW w:w="1380" w:type="dxa"/>
            <w:vAlign w:val="bottom"/>
            <w:vMerge w:val="continue"/>
            <w:shd w:val="clear" w:color="auto" w:fill="CCEEFF"/>
          </w:tcPr>
          <w:p>
            <w:pPr>
              <w:spacing w:after="0"/>
              <w:rPr>
                <w:sz w:val="19"/>
                <w:szCs w:val="19"/>
                <w:color w:val="auto"/>
              </w:rPr>
            </w:pPr>
          </w:p>
        </w:tc>
        <w:tc>
          <w:tcPr>
            <w:tcW w:w="3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equal to 3.00 to 1.00</w:t>
            </w:r>
          </w:p>
        </w:tc>
        <w:tc>
          <w:tcPr>
            <w:tcW w:w="1940" w:type="dxa"/>
            <w:vAlign w:val="bottom"/>
            <w:vMerge w:val="continue"/>
            <w:shd w:val="clear" w:color="auto" w:fill="CCEEFF"/>
          </w:tcPr>
          <w:p>
            <w:pPr>
              <w:spacing w:after="0"/>
              <w:rPr>
                <w:sz w:val="19"/>
                <w:szCs w:val="19"/>
                <w:color w:val="auto"/>
              </w:rPr>
            </w:pPr>
          </w:p>
        </w:tc>
        <w:tc>
          <w:tcPr>
            <w:tcW w:w="2300" w:type="dxa"/>
            <w:vAlign w:val="bottom"/>
            <w:vMerge w:val="continue"/>
            <w:shd w:val="clear" w:color="auto" w:fill="CCEEFF"/>
          </w:tcPr>
          <w:p>
            <w:pPr>
              <w:spacing w:after="0"/>
              <w:rPr>
                <w:sz w:val="19"/>
                <w:szCs w:val="19"/>
                <w:color w:val="auto"/>
              </w:rPr>
            </w:pPr>
          </w:p>
        </w:tc>
        <w:tc>
          <w:tcPr>
            <w:tcW w:w="2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rPr>
              <w:t>IV</w:t>
            </w:r>
          </w:p>
        </w:tc>
        <w:tc>
          <w:tcPr>
            <w:tcW w:w="3420" w:type="dxa"/>
            <w:vAlign w:val="bottom"/>
          </w:tcPr>
          <w:p>
            <w:pPr>
              <w:ind w:left="160"/>
              <w:spacing w:after="0"/>
              <w:rPr>
                <w:sz w:val="20"/>
                <w:szCs w:val="20"/>
                <w:color w:val="auto"/>
              </w:rPr>
            </w:pPr>
            <w:r>
              <w:rPr>
                <w:rFonts w:ascii="Arial" w:cs="Arial" w:eastAsia="Arial" w:hAnsi="Arial"/>
                <w:sz w:val="18"/>
                <w:szCs w:val="18"/>
                <w:color w:val="auto"/>
              </w:rPr>
              <w:t>Greater than 3.00 to 1.00</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0.300%</w:t>
            </w:r>
          </w:p>
        </w:tc>
        <w:tc>
          <w:tcPr>
            <w:tcW w:w="2300" w:type="dxa"/>
            <w:vAlign w:val="bottom"/>
          </w:tcPr>
          <w:p>
            <w:pPr>
              <w:jc w:val="center"/>
              <w:ind w:right="30"/>
              <w:spacing w:after="0"/>
              <w:rPr>
                <w:sz w:val="20"/>
                <w:szCs w:val="20"/>
                <w:color w:val="auto"/>
              </w:rPr>
            </w:pPr>
            <w:r>
              <w:rPr>
                <w:rFonts w:ascii="Arial" w:cs="Arial" w:eastAsia="Arial" w:hAnsi="Arial"/>
                <w:sz w:val="18"/>
                <w:szCs w:val="18"/>
                <w:color w:val="auto"/>
                <w:w w:val="90"/>
              </w:rPr>
              <w:t>2.00%</w:t>
            </w: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event of default, outstanding borrowings would accrue interest at the Default Rate, as defined, whereby the obligations will bear interest at a per annum rate equal to 2% above the total per annum rate otherwise applicable.</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2018 Credit Facility provides for incremental revolving credit commitments for a minimum principal amount of $10.0 million, up to an aggregate amount of $150.0 million, subject to the lender's discretion to elect or decline the incremental increase. We can also borrow up to the lesser of $15.0 million or the revolving credit commitment, as defined, under a Swingline feature of the Credit Facility.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2018 Credit Facility contains a: (1) Consolidated Interest Coverage Ratio requirement whereby we must not permit the Consolidated Interest Coverage Ratio, as defined, to be less than 2.25 to 1.00, and (2) Consolidated Leverage Ratio requirement, whereby we must not permit the Consolidated Leverage Ratio, as defined, to be greater than 3.25 to 1.00.</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to maintaining these financial covenants, the 2018 Credit Facility also limits our ability to enter into certain business transactions, such as to incur indebtedness or liens, to acquire businesses or dispose of material assets, make restricted payments, pay dividends (limited to $20.0 million per year) and other transactions as further defined in the 2018 Credit Facility. Some of these limitations, however, do not take effect so long as total leverage is less than or equal to 2.75 to 1.00 and available liquidity exceeds $25 million. Substantially all of our domestic assets, with the exception of real property, are used as collateral for the Credit Agreement.</w:t>
      </w:r>
    </w:p>
    <w:p>
      <w:pPr>
        <w:spacing w:after="0" w:line="12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of January 31, 2021, we had $98.0 million of borrowings outstanding under the 2018 Credit Facility (reduced by unamortized debt issuance costs of $0.8 million), $4.5 million of outstanding letters of credit and $15.6 million outstanding primarily under finance leases and other debt. We had $222.5 million available for use under the 2018 Credit Facility at January 31, 2021. Outstanding borrowings under the 2018 Credit Facility accrue interest at 1.37% per annum. Our weighted average borrowing rate for borrowings outstanding during the three months ended January 31, 2021 and 2020 was 1.56% and 3.27%, respectively. We were in compliance with our debt covenants as of January 31, 2021.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non-contributory, single employer defined benefit pension plan covers a majority of our employees in the U.S. The net periodic pension cost for this plan for the three months ended January 31, 2021 and 2020 was as follows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20" w:type="dxa"/>
            <w:vAlign w:val="bottom"/>
          </w:tcPr>
          <w:p>
            <w:pPr>
              <w:spacing w:after="0"/>
              <w:rPr>
                <w:sz w:val="16"/>
                <w:szCs w:val="16"/>
                <w:color w:val="auto"/>
              </w:rPr>
            </w:pPr>
          </w:p>
        </w:tc>
      </w:tr>
      <w:tr>
        <w:trPr>
          <w:trHeight w:val="195"/>
        </w:trPr>
        <w:tc>
          <w:tcPr>
            <w:tcW w:w="77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r>
      <w:tr>
        <w:trPr>
          <w:trHeight w:val="187"/>
        </w:trPr>
        <w:tc>
          <w:tcPr>
            <w:tcW w:w="7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513"/>
              <w:spacing w:after="0"/>
              <w:rPr>
                <w:sz w:val="20"/>
                <w:szCs w:val="20"/>
                <w:color w:val="auto"/>
              </w:rPr>
            </w:pPr>
            <w:r>
              <w:rPr>
                <w:rFonts w:ascii="Arial" w:cs="Arial" w:eastAsia="Arial" w:hAnsi="Arial"/>
                <w:sz w:val="18"/>
                <w:szCs w:val="18"/>
                <w:color w:val="auto"/>
                <w:w w:val="86"/>
              </w:rPr>
              <w:t>538</w:t>
            </w: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center"/>
              <w:ind w:left="513"/>
              <w:spacing w:after="0"/>
              <w:rPr>
                <w:sz w:val="20"/>
                <w:szCs w:val="20"/>
                <w:color w:val="auto"/>
              </w:rPr>
            </w:pPr>
            <w:r>
              <w:rPr>
                <w:rFonts w:ascii="Arial" w:cs="Arial" w:eastAsia="Arial" w:hAnsi="Arial"/>
                <w:sz w:val="18"/>
                <w:szCs w:val="18"/>
                <w:color w:val="auto"/>
                <w:w w:val="86"/>
              </w:rPr>
              <w:t>293</w:t>
            </w:r>
          </w:p>
        </w:tc>
      </w:tr>
      <w:tr>
        <w:trPr>
          <w:trHeight w:val="230"/>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3"/>
              <w:spacing w:after="0"/>
              <w:rPr>
                <w:sz w:val="20"/>
                <w:szCs w:val="20"/>
                <w:color w:val="auto"/>
              </w:rPr>
            </w:pPr>
            <w:r>
              <w:rPr>
                <w:rFonts w:ascii="Arial" w:cs="Arial" w:eastAsia="Arial" w:hAnsi="Arial"/>
                <w:sz w:val="18"/>
                <w:szCs w:val="18"/>
                <w:color w:val="auto"/>
                <w:w w:val="95"/>
              </w:rPr>
              <w:t>(491)</w:t>
            </w:r>
          </w:p>
        </w:tc>
      </w:tr>
      <w:tr>
        <w:trPr>
          <w:trHeight w:val="23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13"/>
              <w:spacing w:after="0"/>
              <w:rPr>
                <w:sz w:val="20"/>
                <w:szCs w:val="20"/>
                <w:color w:val="auto"/>
              </w:rPr>
            </w:pPr>
            <w:r>
              <w:rPr>
                <w:rFonts w:ascii="Arial" w:cs="Arial" w:eastAsia="Arial" w:hAnsi="Arial"/>
                <w:sz w:val="18"/>
                <w:szCs w:val="18"/>
                <w:color w:val="auto"/>
                <w:w w:val="86"/>
              </w:rPr>
              <w:t>108</w:t>
            </w:r>
          </w:p>
        </w:tc>
      </w:tr>
      <w:tr>
        <w:trPr>
          <w:trHeight w:val="248"/>
        </w:trPr>
        <w:tc>
          <w:tcPr>
            <w:tcW w:w="7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periodic pension (benefit) cost</w:t>
            </w: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center"/>
              <w:ind w:left="513"/>
              <w:spacing w:after="0"/>
              <w:rPr>
                <w:sz w:val="20"/>
                <w:szCs w:val="20"/>
                <w:color w:val="auto"/>
              </w:rPr>
            </w:pPr>
            <w:r>
              <w:rPr>
                <w:rFonts w:ascii="Arial" w:cs="Arial" w:eastAsia="Arial" w:hAnsi="Arial"/>
                <w:sz w:val="18"/>
                <w:szCs w:val="18"/>
                <w:color w:val="auto"/>
                <w:w w:val="86"/>
              </w:rPr>
              <w:t>448</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On January 1, 2020, we enacted changes to our pension plan whereby the benefits for all participants were frozen and thereafter those participants will receive increased benefits in the Company sponsored defined contribution plan in lieu of participation in a defined benefit plan.</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a result of this action, we remeasured the pension assets and obligations for the pension plan, which resulted in a decrease to our projected benefit obligation and a corresponding net actuarial gain that was recorded in accumulated other comprehensive income.</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During September 2020, we contributed $3.7 million to fund our plan, and we expect to make a contribution to our plan in September 2021 of approximately $0.5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Plans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also have a supplemental benefit plan covering certain executive officers and key employees and a non-qualified deferred compensation plan covering members of the Board of Directors and certain key employees. As of January 31, 2021 and October 31, 2020, our liability under the supplemental benefit plan was approximately $2.7 million and $2.6 million, respectively. As of January 31, 2021 and October 31, 2020, the liability associated with the deferred compensation plan was approximately $4.2 million and $3.3 million, respectively. We record the current portion of liabilities associated with these plans under the caption "Accrued Liabilities," and the long-term portion under the caption "Other Liabilities" in the accompanying condensed consolidated balance sheets.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 determine our income tax expense or benefit for interim periods, consistent with accounting standards, we apply the estimated annual effective income tax rate to year-to-date results. Our estimated annual effective tax rates for the three months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ended January 31, 2021 and 2020 was 26.0% and 20.5%, respectively, excluding discrete items. The 2021 effective tax rate was primarily impacted by a discrete benefit of $0.5 million related to the vesting or exercise of equity-based compensation awards and a charge of $0.8 million for the true-up of our deferred taxes from prior year filings. The 2020 effective tax rate was primarily impacted by a discrete charge of $0.4 million related to the vesting or exercise of equity-based compensation awards.</w:t>
      </w:r>
    </w:p>
    <w:p>
      <w:pPr>
        <w:spacing w:after="0" w:line="13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As of January 31, 2021, our liability for uncertain tax positions (UTP) of $0.5 million, compared to $0.6 million for the comparable prior year period, relates to certain state tax items regarding the interpretation of tax laws and regulations. Judgment is required in assessing the future tax consequences of events that have been recognized in our financial statements or tax returns. The outcome of the future tax consequences of legal proceedings, if any, as well as the outcome of competent authority proceedings, changes in regulatory tax laws, or interpretation of those tax laws could impact our financial statements. We are subject to the effect of these matters occurring in various jurisdictions. The disallowance of the UTP would not materially affect the annual effective tax rate. We do not believe any of the UTP at January 31, 2021 will be recognized within the next twelve months.</w:t>
      </w:r>
    </w:p>
    <w:p>
      <w:pPr>
        <w:spacing w:after="0" w:line="11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evaluate the likelihood of realization of our deferred tax assets by considering both positive and negative evidence. We maintain a valuation allowance for certain state net operating losses which totaled $1.5 million at January 31, 2021 and October 31, 2020.</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Final regulations were published by the Internal Revenue Service regarding Uniform Capitalization (UNICAP) that became effective during fiscal 2020. On March 27, 2020, The Coronavirus Aid, Relief, and Economic Security (CARES) Act was signed into law. In addition, the Consolidated Appropriations Act, 2021 (CAA) was signed into law on December 27, 2020. We evaluated the UNICAP regulations and the CARES Act and determined that there were no material impacts on our condensed consolidated financial statements. We are evaluating the CAA and do not believe there will be a material impact on our condensed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and Environmental Compliance Costs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applicable state and federal laws, we may be responsible for, among other things, all or part of the costs required to remove or remediate wastes or hazardous substances at locations we, or our predecessors, have owned or operated. From time to time, we also have been alleged to be liable for all or part of the costs incurred to clean up third-party sites where there might have been an alleged improper disposal of hazardous substances. At present, we are not involved in any such matters.</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we incur routine expenses and capital expenditures associated with compliance with existing environmental regulations, including control of air emissions and water discharges, and plant decommissioning costs. We have not incurred any material expenses or capital expenditures related to environmental matters during the past three fiscal years, and do not expect to incur a material amount of such costs in fiscal 2021. While we will continue to have future expenditures related to environmental matters, any such amounts are impossible to reasonably estimate at this time. Based upon our experience to date, we do not believe that our compliance with environmental requirements will have a material adverse effect on our operations, financial condition or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From time to time, we, along with our subsidiaries, are involved in various litigation matters arising in the ordinary course of our business, including those arising from or related to contractual matters, commercial disputes, intellectual property, personal injury, environmental matters, product performance or warranties, product liability, insurance coverage and personnel and employment disputes. We regularly review with legal counsel the status of all ongoing proceedings, and we maintain insurance against these risks to the extent deemed prudent by our management and to the extent such insurance is available. However, there is no assurance that we will prevail in these matters or that our insurers will accept full coverage of these matters, and we could, in the future, incur judgments, enter into settlements of claims, or revise our expectations regarding the outcome or insurability of matters we face, which could materially impact our results of operations.</w:t>
      </w:r>
    </w:p>
    <w:p>
      <w:pPr>
        <w:spacing w:after="0" w:line="123"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We have been and are currently party to multiple claims, some of which are in litigation, relating to alleged defects in a commercial sealant product that was manufactured and sold during the 2000's. While we believe that our product was not defective and that we would prevail in these commercial sealant product claims if taken to trial, the timing, ultimate resolution and potential impact of these claims is not currently determinable. Nevertheless, after taking into account all currently available information, including our defenses, the advice of our counsel, and the extent and currently-expected availability of our existing insurance coverage, we believe that the eventual outcome of these commercial sealant claims will not have a material adverse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effect on our overall financial condition, results of operations or cash flows, and we have not recorded any accrual with regard to these claims.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 of Assets and Liabilities</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data developed based on the best information available in the circumstances (unobservable inputs). The fair value hierarchy consists of three broad levels, which gives the highest priority to Level 1 and the lowest priority to Level 3. The three levels of the fair value hierarchy are described below:</w:t>
      </w:r>
    </w:p>
    <w:p>
      <w:pPr>
        <w:spacing w:after="0" w:line="68" w:lineRule="exact"/>
        <w:rPr>
          <w:sz w:val="20"/>
          <w:szCs w:val="20"/>
          <w:color w:val="auto"/>
        </w:rPr>
      </w:pPr>
    </w:p>
    <w:p>
      <w:pPr>
        <w:ind w:left="480" w:hanging="148"/>
        <w:spacing w:after="0"/>
        <w:tabs>
          <w:tab w:leader="none" w:pos="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28" w:lineRule="exact"/>
        <w:rPr>
          <w:rFonts w:ascii="Arial" w:cs="Arial" w:eastAsia="Arial" w:hAnsi="Arial"/>
          <w:sz w:val="17"/>
          <w:szCs w:val="17"/>
          <w:color w:val="auto"/>
        </w:rPr>
      </w:pPr>
    </w:p>
    <w:p>
      <w:pPr>
        <w:jc w:val="both"/>
        <w:ind w:left="500" w:hanging="168"/>
        <w:spacing w:after="0" w:line="259" w:lineRule="auto"/>
        <w:tabs>
          <w:tab w:leader="none" w:pos="49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including quoted prices for similar assets or liabilities in active markets; quoted prices for identical or similar assets or liabilities in markets that are not active; inputs other than quoted prices that are observable for the asset or liability (e.g., interest rates) and inputs that are derived principally from or corroborated by observable market data by correlation or other means.</w:t>
      </w:r>
    </w:p>
    <w:p>
      <w:pPr>
        <w:spacing w:after="0" w:line="78" w:lineRule="exact"/>
        <w:rPr>
          <w:rFonts w:ascii="Arial" w:cs="Arial" w:eastAsia="Arial" w:hAnsi="Arial"/>
          <w:sz w:val="18"/>
          <w:szCs w:val="18"/>
          <w:color w:val="auto"/>
        </w:rPr>
      </w:pPr>
    </w:p>
    <w:p>
      <w:pPr>
        <w:ind w:left="480" w:hanging="148"/>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that are both significant to the fair value measurement and unobservable.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Carrying amounts reported on the balance sheet for cash, cash equivalents, accounts receivable and accounts payable approximate fair value due to the short-term maturity of these instruments. Our outstanding debt is variable rate debt that re-prices frequently, thereby limiting our exposure to significant change in interest rate risk. As a result, the fair value of our debt instrument approximates carrying value at January 31, 2021, and October 31, 2020 (Level 2 measurement).</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performance share awards are marked-to-market on a quarterly basis during a three-year vesting period based on market data (Level 2 measurement). For further information, refer to Note 9, "Stock-Based Compensation - Performance Share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established and maintain an Omnibus Incentive Plan (2020 Plan) that provides for the granting of restricted stock awards, stock options, restricted stock units, performance share awards, performance restricted stock units, and other stock-based and cash-based awards. The 2020 Plan is administered by the Compensation and Management Development Committee of the Board of Directors.</w:t>
      </w:r>
    </w:p>
    <w:p>
      <w:pPr>
        <w:spacing w:after="0" w:line="130"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The aggregate number of shares of common stock authorized for grant under the 2020 Plan is 3,139,895 as approved by shareholders. Any officer, key employee and/or non-employee director is eligible for awards under the 2020 Plan. We grant restricted stock units to non-employee directors on the first business day of each fiscal year. As approved by the Compensation &amp; Management Development Committee of our Board of Directors annually, we grant a mix of restricted stock awards, restricted stock units, performance shares and/or performance restricted stock units to officers, management and key employees. We also historically granted stock options to certain officers, directors and key employees. Occasionally, we may make additional grants to key employees at other times during the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Restricted stock awards are granted to key employees and officers annually, and typically cliff vest over a three-year period with service and continued employment as the only vesting criteria. The recipient of the restricted stock award is entitled to all of the rights of a shareholder, except that the award is nontransferable during the vesting period. The fair value of the restricted stock award is established on the grant date and then expensed over the vesting period resulting in an increase in additional paid-in-capital. Shares are generally issued from treasury stock at the time of grant.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non-vested restricted stock awards activity during the three months ended January 31, 2021 is presented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Restricted Stock Awards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jc w:val="right"/>
              <w:ind w:right="41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8"/>
        </w:trPr>
        <w:tc>
          <w:tcPr>
            <w:tcW w:w="714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Grant Date Fair Value per Share</w:t>
            </w:r>
          </w:p>
        </w:tc>
        <w:tc>
          <w:tcPr>
            <w:tcW w:w="0" w:type="dxa"/>
            <w:vAlign w:val="bottom"/>
          </w:tcPr>
          <w:p>
            <w:pPr>
              <w:spacing w:after="0"/>
              <w:rPr>
                <w:sz w:val="1"/>
                <w:szCs w:val="1"/>
                <w:color w:val="auto"/>
              </w:rPr>
            </w:pPr>
          </w:p>
        </w:tc>
      </w:tr>
      <w:tr>
        <w:trPr>
          <w:trHeight w:val="224"/>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October 31, 2020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0" w:type="dxa"/>
            <w:vAlign w:val="bottom"/>
          </w:tcPr>
          <w:p>
            <w:pPr>
              <w:spacing w:after="0"/>
              <w:rPr>
                <w:sz w:val="1"/>
                <w:szCs w:val="1"/>
                <w:color w:val="auto"/>
              </w:rPr>
            </w:pPr>
          </w:p>
        </w:tc>
      </w:tr>
      <w:tr>
        <w:trPr>
          <w:trHeight w:val="229"/>
        </w:trPr>
        <w:tc>
          <w:tcPr>
            <w:tcW w:w="71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73,300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Vested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20.70</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January 31, 2021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216,400</w:t>
            </w:r>
          </w:p>
        </w:tc>
        <w:tc>
          <w:tcPr>
            <w:tcW w:w="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total weighted average grant-date fair value of restricted stock awards that vested during each of the three months ended January 31, 2021 and 2020 was $0.9 million and $1.1 million, respectively. As of January 31, 2021, total unrecognized compensation cost related to unamortized restricted stock awards was $2.7 million. We expect to recognize this expense over the remaining weighted average vesting period of 2.2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Historically, stock options have been awarded to key employees, officers and non-employee directors. In December 2017, the Compensation &amp; Management Development Committee of the Board of Directors approved a change to the long-term incentive award program eliminating the grant of stock options and replacing this award with a grant of performance restricted stock units as further described below. As a result, the final stock options were granted during the fiscal year ended October 31, 2017. Stock options typically vested ratably over a three-year period with service and continued employment as the vesting conditions. Our stock options may be exercised up to a maximum of ten years from the date of grant. The fair value of the stock options was determined on the grant date and expensed over the vesting period resulting in an increase in additional paid-in-capital. For employees who were nearing retirement-eligibility, we recognized stock option expense ratably over the shorter of the vesting period or the period from the grant-date to the retirement-eligibility date.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a Black-Scholes pricing model to estimate the fair value of stock options. A description of the methodology for the valuation assumptions was disclosed in our Annual Report on Form 10-K for the fiscal year ended October 31, 2020.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stock option activity for the three months ended January 31, 2021:</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 Average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5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Stock Options</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7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Remaining Contractual</w:t>
            </w:r>
          </w:p>
        </w:tc>
        <w:tc>
          <w:tcPr>
            <w:tcW w:w="200" w:type="dxa"/>
            <w:vAlign w:val="bottom"/>
          </w:tcPr>
          <w:p>
            <w:pPr>
              <w:spacing w:after="0"/>
              <w:rPr>
                <w:sz w:val="11"/>
                <w:szCs w:val="11"/>
                <w:color w:val="auto"/>
              </w:rPr>
            </w:pPr>
          </w:p>
        </w:tc>
        <w:tc>
          <w:tcPr>
            <w:tcW w:w="1120" w:type="dxa"/>
            <w:vAlign w:val="bottom"/>
          </w:tcPr>
          <w:p>
            <w:pPr>
              <w:jc w:val="center"/>
              <w:ind w:right="119"/>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Exercise Price</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Term (in years)</w:t>
            </w:r>
          </w:p>
        </w:tc>
        <w:tc>
          <w:tcPr>
            <w:tcW w:w="200" w:type="dxa"/>
            <w:vAlign w:val="bottom"/>
          </w:tcPr>
          <w:p>
            <w:pPr>
              <w:spacing w:after="0"/>
              <w:rPr>
                <w:sz w:val="16"/>
                <w:szCs w:val="16"/>
                <w:color w:val="auto"/>
              </w:rPr>
            </w:pPr>
          </w:p>
        </w:tc>
        <w:tc>
          <w:tcPr>
            <w:tcW w:w="112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Value (000s)</w:t>
            </w:r>
          </w:p>
        </w:tc>
        <w:tc>
          <w:tcPr>
            <w:tcW w:w="0" w:type="dxa"/>
            <w:vAlign w:val="bottom"/>
          </w:tcPr>
          <w:p>
            <w:pPr>
              <w:spacing w:after="0"/>
              <w:rPr>
                <w:sz w:val="1"/>
                <w:szCs w:val="1"/>
                <w:color w:val="auto"/>
              </w:rPr>
            </w:pPr>
          </w:p>
        </w:tc>
      </w:tr>
      <w:tr>
        <w:trPr>
          <w:trHeight w:val="224"/>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October 31, 2020</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1,095,329</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(536,561)</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Forfeited/Expired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557,768</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tcPr>
          <w:p>
            <w:pPr>
              <w:ind w:left="20"/>
              <w:spacing w:after="0" w:line="203" w:lineRule="exact"/>
              <w:rPr>
                <w:sz w:val="20"/>
                <w:szCs w:val="20"/>
                <w:color w:val="auto"/>
              </w:rPr>
            </w:pPr>
            <w:r>
              <w:rPr>
                <w:rFonts w:ascii="Arial" w:cs="Arial" w:eastAsia="Arial" w:hAnsi="Arial"/>
                <w:sz w:val="18"/>
                <w:szCs w:val="18"/>
                <w:color w:val="auto"/>
              </w:rPr>
              <w:t>Vested at January 31, 2021</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557,768</w:t>
            </w:r>
          </w:p>
        </w:tc>
        <w:tc>
          <w:tcPr>
            <w:tcW w:w="3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203" w:lineRule="exact"/>
              <w:rPr>
                <w:sz w:val="20"/>
                <w:szCs w:val="20"/>
                <w:color w:val="auto"/>
              </w:rPr>
            </w:pPr>
            <w:r>
              <w:rPr>
                <w:rFonts w:ascii="Arial" w:cs="Arial" w:eastAsia="Arial" w:hAnsi="Arial"/>
                <w:sz w:val="18"/>
                <w:szCs w:val="18"/>
                <w:color w:val="auto"/>
              </w:rPr>
              <w:t>19.07</w:t>
            </w:r>
          </w:p>
        </w:tc>
        <w:tc>
          <w:tcPr>
            <w:tcW w:w="200" w:type="dxa"/>
            <w:vAlign w:val="bottom"/>
          </w:tcPr>
          <w:p>
            <w:pPr>
              <w:spacing w:after="0"/>
              <w:rPr>
                <w:sz w:val="17"/>
                <w:szCs w:val="17"/>
                <w:color w:val="auto"/>
              </w:rPr>
            </w:pP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January 31, 2021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557,768</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Intrinsic value is the amount by which the market price of the common stock on the date of exercise exceeds the exercise price of the stock option. The total intrinsic value of stock options exercised during the three months ended January 31, 2021 and 2020 was $2.3 million and $0.5 million, respectively. The weighted-average grant date fair value of stock options that vested during the three months ended January 31, 2020 was $0.4 million. As of January 31, 2020, all compensation cost related to stock options has been recognized.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Restricted stock units may be awarded to key employees and officers from time to time, and annually to non-employee directors. The non-employee director restricted stock units vest immediately but are payable only upon the director's cessation of service unless an election is made by the non-employee director to settle and pay the award on an earlier specified date. Restricted stock units awarded to employees and officers typically cliff vest after a three-year period with service and continued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8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employment as the vesting conditions. Restricted stock units are not considered outstanding shares and do not have voting rights, although the holder does receive a cash payment equivalent to the dividend paid, on a one-for-one basis, on our outstanding common shares. Once the criteria is met, each restricted stock unit is payable to the holder in cash based on the market value of one share of our common stock. Accordingly, we record a liability for the restricted stock units on our balance sheet and recognize any changes in the market value during each reporting period as compensation expense.</w:t>
      </w:r>
    </w:p>
    <w:p>
      <w:pPr>
        <w:spacing w:after="0" w:line="10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three months ended January 31, 2021 and 2020, non-employee directors received 28,826 and 25,326 restricted stock units, respectively, at a grant date fair value of $18.79 per share and $19.02 per share, respectively, which vested immediately. As of January 31, 2021, there were 21,774 non-vested restricted stock units, which were awarded in January 2020 to key employees at a weighted average grant date fair value of $17.08. During the three months ended January 31, 2021 we paid $0.1 million to settle vested restricted stock units. There were no corresponding payments to settle vested restricted stock during the three months ended January 31,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Awards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awarded annual grants of performance shares to key employees and officers. Beginning with the fiscal year ended October 31, 2019, performance share awards issued vest with return on net assets (RONA) as the vesting condition and pay out 100% in cash, and are accounted for as liability.</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expected cash settlement of the performance share award is recorded as a liability and is being marked to market over the three-year term of the award and can fluctuate depending on the number of shares ultimately expected to vest. Depending on the achievement of the performance conditions, 0% to 200% of the awarded performance shares may ultimately vest.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performance share grants and the grant date fair value for the RONA performance metrics: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Grant Date</w:t>
            </w:r>
          </w:p>
        </w:tc>
        <w:tc>
          <w:tcPr>
            <w:tcW w:w="290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Shares Awarded</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Return on Net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Assets</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2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131,500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40,900</w:t>
            </w:r>
          </w:p>
        </w:tc>
        <w:tc>
          <w:tcPr>
            <w:tcW w:w="0" w:type="dxa"/>
            <w:vAlign w:val="bottom"/>
          </w:tcPr>
          <w:p>
            <w:pPr>
              <w:spacing w:after="0"/>
              <w:rPr>
                <w:sz w:val="1"/>
                <w:szCs w:val="1"/>
                <w:color w:val="auto"/>
              </w:rPr>
            </w:pPr>
          </w:p>
        </w:tc>
      </w:tr>
      <w:tr>
        <w:trPr>
          <w:trHeight w:val="229"/>
        </w:trPr>
        <w:tc>
          <w:tcPr>
            <w:tcW w:w="6120" w:type="dxa"/>
            <w:vAlign w:val="bottom"/>
          </w:tcPr>
          <w:p>
            <w:pPr>
              <w:ind w:left="20"/>
              <w:spacing w:after="0"/>
              <w:rPr>
                <w:sz w:val="20"/>
                <w:szCs w:val="20"/>
                <w:color w:val="auto"/>
              </w:rPr>
            </w:pPr>
            <w:r>
              <w:rPr>
                <w:rFonts w:ascii="Arial" w:cs="Arial" w:eastAsia="Arial" w:hAnsi="Arial"/>
                <w:sz w:val="18"/>
                <w:szCs w:val="18"/>
                <w:color w:val="auto"/>
              </w:rPr>
              <w:t>December 5, 2019</w:t>
            </w:r>
          </w:p>
        </w:tc>
        <w:tc>
          <w:tcPr>
            <w:tcW w:w="2780" w:type="dxa"/>
            <w:vAlign w:val="bottom"/>
          </w:tcPr>
          <w:p>
            <w:pPr>
              <w:jc w:val="right"/>
              <w:spacing w:after="0"/>
              <w:rPr>
                <w:sz w:val="20"/>
                <w:szCs w:val="20"/>
                <w:color w:val="auto"/>
              </w:rPr>
            </w:pPr>
            <w:r>
              <w:rPr>
                <w:rFonts w:ascii="Arial" w:cs="Arial" w:eastAsia="Arial" w:hAnsi="Arial"/>
                <w:sz w:val="18"/>
                <w:szCs w:val="18"/>
                <w:color w:val="auto"/>
              </w:rPr>
              <w:t>57,400</w:t>
            </w:r>
          </w:p>
        </w:tc>
        <w:tc>
          <w:tcPr>
            <w:tcW w:w="120" w:type="dxa"/>
            <w:vAlign w:val="bottom"/>
          </w:tcPr>
          <w:p>
            <w:pPr>
              <w:spacing w:after="0"/>
              <w:rPr>
                <w:sz w:val="19"/>
                <w:szCs w:val="19"/>
                <w:color w:val="auto"/>
              </w:rPr>
            </w:pP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December 2020, the December 2017 grant vested, however, no shares were awarded as performance criteria were not met. We recorded compensation expense of $2.7 million for the three months ended January 31, 2021 related to the expected payout of our performance share awards that were outstanding as of January 31, 2021. We recorded a decrease in compensation expense of $0.5 million for the three months ended January 31, 2020 related to the expected payout of our performance share awards that were outstanding as of January 31, 2020.</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Performance share awards are not considered outstanding shares and do not have voting rights, although dividends are accrued over the performance period and will be payable in cash based upon the number of performance shares ultimately earned.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award performance restricted stock units to key employees and officers. These awards cliff vest upon a three-year service period with the absolute total shareholder return of our common stock over this three-year term as the vesting criteria. The number of shares earned is variable depending on the metric achieved, and the settlement method is 100% in our common stock, with accrued dividends paid in cash at the time of vesting, assuming the shares had been outstanding throughout the performance period.</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 value the performance restricted stock units, we used a Monte Carlo simulation model to arrive at a grant-date fair value. This amount will be adjusted for forfeitures and expensed over the three-year term of the award with a credit to additional paid-in-capital. Depending on the achievement of the performance conditions, a minimum of 0% and a maximum of 150% of the awarded performance restricted stock units may vest. Specifically, the awards vest on a continuum with the following Absolute Total Shareholder Return (A-TSR) milestones: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Level</w:t>
            </w:r>
          </w:p>
        </w:tc>
        <w:tc>
          <w:tcPr>
            <w:tcW w:w="5300" w:type="dxa"/>
            <w:vAlign w:val="bottom"/>
            <w:gridSpan w:val="2"/>
          </w:tcPr>
          <w:p>
            <w:pPr>
              <w:ind w:left="20"/>
              <w:spacing w:after="0"/>
              <w:rPr>
                <w:sz w:val="20"/>
                <w:szCs w:val="20"/>
                <w:color w:val="auto"/>
              </w:rPr>
            </w:pPr>
            <w:r>
              <w:rPr>
                <w:rFonts w:ascii="Arial" w:cs="Arial" w:eastAsia="Arial" w:hAnsi="Arial"/>
                <w:sz w:val="18"/>
                <w:szCs w:val="18"/>
                <w:b w:val="1"/>
                <w:bCs w:val="1"/>
                <w:color w:val="auto"/>
              </w:rPr>
              <w:t>Vesting Criteria</w:t>
            </w:r>
          </w:p>
        </w:tc>
        <w:tc>
          <w:tcPr>
            <w:tcW w:w="3460" w:type="dxa"/>
            <w:vAlign w:val="bottom"/>
          </w:tcPr>
          <w:p>
            <w:pPr>
              <w:ind w:left="660"/>
              <w:spacing w:after="0"/>
              <w:rPr>
                <w:sz w:val="20"/>
                <w:szCs w:val="20"/>
                <w:color w:val="auto"/>
              </w:rPr>
            </w:pPr>
            <w:r>
              <w:rPr>
                <w:rFonts w:ascii="Arial" w:cs="Arial" w:eastAsia="Arial" w:hAnsi="Arial"/>
                <w:sz w:val="18"/>
                <w:szCs w:val="18"/>
                <w:b w:val="1"/>
                <w:bCs w:val="1"/>
                <w:color w:val="auto"/>
              </w:rPr>
              <w:t>Percentage of Award Vested</w:t>
            </w:r>
          </w:p>
        </w:tc>
      </w:tr>
      <w:tr>
        <w:trPr>
          <w:trHeight w:val="223"/>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100" w:type="dxa"/>
            <w:vAlign w:val="bottom"/>
            <w:tcBorders>
              <w:top w:val="single" w:sz="8" w:color="CCEEFF"/>
            </w:tcBorders>
            <w:shd w:val="clear" w:color="auto" w:fill="CCEEFF"/>
          </w:tcPr>
          <w:p>
            <w:pPr>
              <w:spacing w:after="0"/>
              <w:rPr>
                <w:sz w:val="19"/>
                <w:szCs w:val="19"/>
                <w:color w:val="auto"/>
              </w:rPr>
            </w:pPr>
          </w:p>
        </w:tc>
        <w:tc>
          <w:tcPr>
            <w:tcW w:w="5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A-TSR greater than or equal to 50%</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150%</w:t>
            </w:r>
          </w:p>
        </w:tc>
      </w:tr>
      <w:tr>
        <w:trPr>
          <w:trHeight w:val="229"/>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2</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50% and greater than or equal to 20%</w:t>
            </w:r>
          </w:p>
        </w:tc>
        <w:tc>
          <w:tcPr>
            <w:tcW w:w="346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Level 3</w:t>
            </w: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A-TSR less than 20% and greater than or equal to -20%</w:t>
            </w:r>
          </w:p>
        </w:tc>
        <w:tc>
          <w:tcPr>
            <w:tcW w:w="3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Level 4</w:t>
            </w: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A-TSR less than -20%</w:t>
            </w:r>
          </w:p>
        </w:tc>
        <w:tc>
          <w:tcPr>
            <w:tcW w:w="3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4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performance restricted stock unit grants and the grant date fair value for the A-TSR performance metric: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gridSpan w:val="2"/>
            <w:vMerge w:val="restart"/>
          </w:tcPr>
          <w:p>
            <w:pPr>
              <w:ind w:left="3440"/>
              <w:spacing w:after="0"/>
              <w:rPr>
                <w:sz w:val="20"/>
                <w:szCs w:val="20"/>
                <w:color w:val="auto"/>
              </w:rPr>
            </w:pPr>
            <w:r>
              <w:rPr>
                <w:rFonts w:ascii="Arial" w:cs="Arial" w:eastAsia="Arial" w:hAnsi="Arial"/>
                <w:sz w:val="18"/>
                <w:szCs w:val="18"/>
                <w:b w:val="1"/>
                <w:bCs w:val="1"/>
                <w:color w:val="auto"/>
              </w:rPr>
              <w:t>Grant Date</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 Awarded</w:t>
            </w: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Grand Date</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Shares Forfeited</w:t>
            </w:r>
          </w:p>
        </w:tc>
        <w:tc>
          <w:tcPr>
            <w:tcW w:w="0" w:type="dxa"/>
            <w:vAlign w:val="bottom"/>
          </w:tcPr>
          <w:p>
            <w:pPr>
              <w:spacing w:after="0"/>
              <w:rPr>
                <w:sz w:val="1"/>
                <w:szCs w:val="1"/>
                <w:color w:val="auto"/>
              </w:rPr>
            </w:pPr>
          </w:p>
        </w:tc>
      </w:tr>
      <w:tr>
        <w:trPr>
          <w:trHeight w:val="189"/>
        </w:trPr>
        <w:tc>
          <w:tcPr>
            <w:tcW w:w="786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December 5, 2018</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25,500</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rPr>
                <w:sz w:val="20"/>
                <w:szCs w:val="20"/>
                <w:color w:val="auto"/>
              </w:rPr>
            </w:pPr>
            <w:r>
              <w:rPr>
                <w:rFonts w:ascii="Arial" w:cs="Arial" w:eastAsia="Arial" w:hAnsi="Arial"/>
                <w:sz w:val="18"/>
                <w:szCs w:val="18"/>
                <w:color w:val="auto"/>
              </w:rPr>
              <w:t>December 5, 2019</w:t>
            </w:r>
          </w:p>
        </w:tc>
        <w:tc>
          <w:tcPr>
            <w:tcW w:w="1040" w:type="dxa"/>
            <w:vAlign w:val="bottom"/>
          </w:tcPr>
          <w:p>
            <w:pPr>
              <w:jc w:val="right"/>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 2020</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three months ended January 31, 2021, 32,322 performance restricted stock units vested. We recorded compensation expense of approximately $0.2 million and $0.1 million, respectively, for the three months ending January 31, 2021 and 2020 related to our performance restricted stock units.</w:t>
      </w:r>
    </w:p>
    <w:p>
      <w:pPr>
        <w:spacing w:after="0" w:line="130"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performance restricted stock units are not considered outstanding shares, do not have voting rights, and are excluded from diluted weighted-average shares used to calculate earnings per share until the performance criteria is probable to result in the issuance of contingent shares. As of January 31, 2021, we have deemed 71,484 shares related to the December 2018 grant of performance restricted stock units as probable to vest.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record treasury stock purchases under the cost method whereby the entire cost of the acquired stock is recorded as treasury stock. Shares are generally issued from treasury stock at the time of grant of restricted stock awards, upon the exercise of stock options, and upon the vesting of performance shares and performance restricted stock units. On the subsequent issuance of treasury shares, we record proceeds in excess of cost as an increase in additional paid in capital. A deficiency of such proceeds relative to costs would be applied to reduce paid-in-capital associated with prior issuances to the extent available, with the remainder recorded as a charge to retained earnings. There were no charges to retained earnings during the three months ended January 31, 2021.</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treasury stock activity during the three months ended January 31, 2021:</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60" w:type="dxa"/>
            <w:vAlign w:val="bottom"/>
          </w:tcPr>
          <w:p>
            <w:pPr>
              <w:spacing w:after="0"/>
              <w:rPr>
                <w:sz w:val="16"/>
                <w:szCs w:val="16"/>
                <w:color w:val="auto"/>
              </w:rPr>
            </w:pPr>
          </w:p>
        </w:tc>
        <w:tc>
          <w:tcPr>
            <w:tcW w:w="2180" w:type="dxa"/>
            <w:vAlign w:val="bottom"/>
          </w:tcPr>
          <w:p>
            <w:pPr>
              <w:jc w:val="right"/>
              <w:ind w:right="35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9060" w:type="dxa"/>
            <w:vAlign w:val="bottom"/>
            <w:tcBorders>
              <w:bottom w:val="single" w:sz="8" w:color="CCEEFF"/>
            </w:tcBorders>
          </w:tcPr>
          <w:p>
            <w:pPr>
              <w:spacing w:after="0"/>
              <w:rPr>
                <w:sz w:val="16"/>
                <w:szCs w:val="16"/>
                <w:color w:val="auto"/>
              </w:rPr>
            </w:pPr>
          </w:p>
        </w:tc>
        <w:tc>
          <w:tcPr>
            <w:tcW w:w="21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January 31, 2021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 as of November 1, 2020</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4,491,429</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Restricted stock awards granted</w:t>
            </w:r>
          </w:p>
        </w:tc>
        <w:tc>
          <w:tcPr>
            <w:tcW w:w="2180" w:type="dxa"/>
            <w:vAlign w:val="bottom"/>
          </w:tcPr>
          <w:p>
            <w:pPr>
              <w:jc w:val="right"/>
              <w:spacing w:after="0"/>
              <w:rPr>
                <w:sz w:val="20"/>
                <w:szCs w:val="20"/>
                <w:color w:val="auto"/>
              </w:rPr>
            </w:pPr>
            <w:r>
              <w:rPr>
                <w:rFonts w:ascii="Arial" w:cs="Arial" w:eastAsia="Arial" w:hAnsi="Arial"/>
                <w:sz w:val="18"/>
                <w:szCs w:val="18"/>
                <w:color w:val="auto"/>
              </w:rPr>
              <w:t>(73,300)</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 awards vested</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(32,322)</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Stock options exercised</w:t>
            </w:r>
          </w:p>
        </w:tc>
        <w:tc>
          <w:tcPr>
            <w:tcW w:w="2180" w:type="dxa"/>
            <w:vAlign w:val="bottom"/>
          </w:tcPr>
          <w:p>
            <w:pPr>
              <w:jc w:val="right"/>
              <w:spacing w:after="0"/>
              <w:rPr>
                <w:sz w:val="20"/>
                <w:szCs w:val="20"/>
                <w:color w:val="auto"/>
              </w:rPr>
            </w:pPr>
            <w:r>
              <w:rPr>
                <w:rFonts w:ascii="Arial" w:cs="Arial" w:eastAsia="Arial" w:hAnsi="Arial"/>
                <w:sz w:val="18"/>
                <w:szCs w:val="18"/>
                <w:color w:val="auto"/>
              </w:rPr>
              <w:t>(536,561)</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repurchases</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76,495</w:t>
            </w:r>
          </w:p>
        </w:tc>
      </w:tr>
      <w:tr>
        <w:trPr>
          <w:trHeight w:val="223"/>
        </w:trPr>
        <w:tc>
          <w:tcPr>
            <w:tcW w:w="9060" w:type="dxa"/>
            <w:vAlign w:val="bottom"/>
          </w:tcPr>
          <w:p>
            <w:pPr>
              <w:ind w:left="20"/>
              <w:spacing w:after="0"/>
              <w:rPr>
                <w:sz w:val="20"/>
                <w:szCs w:val="20"/>
                <w:color w:val="auto"/>
              </w:rPr>
            </w:pPr>
            <w:r>
              <w:rPr>
                <w:rFonts w:ascii="Arial" w:cs="Arial" w:eastAsia="Arial" w:hAnsi="Arial"/>
                <w:sz w:val="18"/>
                <w:szCs w:val="18"/>
                <w:color w:val="auto"/>
              </w:rPr>
              <w:t>Balance at January 31, 2021</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3,925,741</w:t>
            </w:r>
          </w:p>
        </w:tc>
      </w:tr>
      <w:tr>
        <w:trPr>
          <w:trHeight w:val="20"/>
        </w:trPr>
        <w:tc>
          <w:tcPr>
            <w:tcW w:w="90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Income</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Other income, included under the caption "Other, net" on the accompanying condensed consolidated statements of income, consisted of the following for the three months ended January 31, 2021 and 2020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Pr>
          <w:p>
            <w:pPr>
              <w:spacing w:after="0"/>
              <w:rPr>
                <w:sz w:val="16"/>
                <w:szCs w:val="16"/>
                <w:color w:val="auto"/>
              </w:rPr>
            </w:pPr>
          </w:p>
        </w:tc>
      </w:tr>
      <w:tr>
        <w:trPr>
          <w:trHeight w:val="195"/>
        </w:trPr>
        <w:tc>
          <w:tcPr>
            <w:tcW w:w="72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January 31,</w:t>
            </w:r>
          </w:p>
        </w:tc>
        <w:tc>
          <w:tcPr>
            <w:tcW w:w="1240" w:type="dxa"/>
            <w:vAlign w:val="bottom"/>
            <w:tcBorders>
              <w:bottom w:val="single" w:sz="8" w:color="auto"/>
            </w:tcBorders>
          </w:tcPr>
          <w:p>
            <w:pPr>
              <w:spacing w:after="0"/>
              <w:rPr>
                <w:sz w:val="16"/>
                <w:szCs w:val="16"/>
                <w:color w:val="auto"/>
              </w:rPr>
            </w:pPr>
          </w:p>
        </w:tc>
      </w:tr>
      <w:tr>
        <w:trPr>
          <w:trHeight w:val="187"/>
        </w:trPr>
        <w:tc>
          <w:tcPr>
            <w:tcW w:w="72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2020</w:t>
            </w:r>
          </w:p>
        </w:tc>
      </w:tr>
      <w:tr>
        <w:trPr>
          <w:trHeight w:val="22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transaction losses</w:t>
            </w:r>
          </w:p>
        </w:tc>
        <w:tc>
          <w:tcPr>
            <w:tcW w:w="1240" w:type="dxa"/>
            <w:vAlign w:val="bottom"/>
            <w:shd w:val="clear" w:color="auto" w:fill="CCEEFF"/>
          </w:tcPr>
          <w:p>
            <w:pPr>
              <w:jc w:val="right"/>
              <w:ind w:right="105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Foreign currency derivative gains (losses)</w:t>
            </w:r>
          </w:p>
        </w:tc>
        <w:tc>
          <w:tcPr>
            <w:tcW w:w="12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service benefit</w:t>
            </w:r>
          </w:p>
        </w:tc>
        <w:tc>
          <w:tcPr>
            <w:tcW w:w="1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29"/>
        </w:trPr>
        <w:tc>
          <w:tcPr>
            <w:tcW w:w="7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2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auto"/>
            </w:tcBorders>
          </w:tcPr>
          <w:p>
            <w:pPr>
              <w:jc w:val="right"/>
              <w:ind w:right="105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1"/>
        </w:trPr>
        <w:tc>
          <w:tcPr>
            <w:tcW w:w="7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7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present three reportable business segments (1) NA Fenestration, comprising three operating segments primarily focused on the fenestration market in North America including vinyl profiles, insulating glass spacers, screens &amp; other fenestration components; (2) EU Fenestration, comprising our U.K.-based vinyl extrusion business, manufacturing vinyl profiles &amp; conservatories, and the European insulating glass business manufacturing insulating glass spacers; and (3) NA Cabinet Components, comprising our cabinet door and components operations. We maintain an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general and administrative costs associated with the corporate office are allocated to the reportable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the accompanying condensed consolidated financial statements. Corporate general and administrative expense allocated during the three month period ended January 31, 2021 was $5.2 million and $5.5 million for the comparable prior year period.</w:t>
      </w:r>
    </w:p>
    <w:p>
      <w:pPr>
        <w:spacing w:after="0" w:line="1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ASC Topic 280-10-50, “Segment Reporting” (ASC 280) permits aggregation of operating segments based on factors including, but not limited to: (1) similar nature of products serving the building products industry, primarily the fenestration business; (2) similar production processes, although there are some differences in the amount of automation amongst operating plants; (3) similar types or classes of customers, namely the primary OEMs; (4) similar distribution methods for product delivery, although the extent of the use of third-party distributors will vary amongst the businesses; (5) similar regulatory environment; and (6) converging long-term economic similarities.</w:t>
      </w:r>
    </w:p>
    <w:p>
      <w:pPr>
        <w:spacing w:after="0" w:line="134"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Segment information for the three months ended January 31, 2021 and 2020, and total assets as of January 31, 2021 and October 31, 2020 are summarized in the following table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 Fenestration</w:t>
            </w:r>
          </w:p>
        </w:tc>
        <w:tc>
          <w:tcPr>
            <w:tcW w:w="120" w:type="dxa"/>
            <w:vAlign w:val="bottom"/>
          </w:tcPr>
          <w:p>
            <w:pPr>
              <w:spacing w:after="0"/>
              <w:rPr>
                <w:sz w:val="14"/>
                <w:szCs w:val="14"/>
                <w:color w:val="auto"/>
              </w:rPr>
            </w:pPr>
          </w:p>
        </w:tc>
        <w:tc>
          <w:tcPr>
            <w:tcW w:w="1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EU Fenestration</w:t>
            </w:r>
          </w:p>
        </w:tc>
        <w:tc>
          <w:tcPr>
            <w:tcW w:w="16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NA Cabinet</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Comp.</w:t>
            </w:r>
          </w:p>
        </w:tc>
        <w:tc>
          <w:tcPr>
            <w:tcW w:w="24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CCEEFF"/>
            </w:tcBorders>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Three Months Ended January 31, 2021</w:t>
            </w: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Net sales</w:t>
            </w:r>
          </w:p>
        </w:tc>
        <w:tc>
          <w:tcPr>
            <w:tcW w:w="15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128,116</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49,091</w:t>
            </w: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53,994</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(1,054)</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230,147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8,187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(7,542)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Three Months Ended January 31, 2020</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 of January 31, 2021</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Total assets</w:t>
            </w:r>
          </w:p>
        </w:tc>
        <w:tc>
          <w:tcPr>
            <w:tcW w:w="2640" w:type="dxa"/>
            <w:vAlign w:val="bottom"/>
            <w:tcBorders>
              <w:top w:val="single" w:sz="8" w:color="CCEEFF"/>
            </w:tcBorders>
            <w:gridSpan w:val="2"/>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250,683</w:t>
            </w:r>
          </w:p>
        </w:tc>
        <w:tc>
          <w:tcPr>
            <w:tcW w:w="1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227,164</w:t>
            </w:r>
          </w:p>
        </w:tc>
        <w:tc>
          <w:tcPr>
            <w:tcW w:w="18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177,577</w:t>
            </w: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38,847</w:t>
            </w:r>
          </w:p>
        </w:tc>
        <w:tc>
          <w:tcPr>
            <w:tcW w:w="1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694,271</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b w:val="1"/>
                <w:bCs w:val="1"/>
                <w:color w:val="auto"/>
                <w:w w:val="90"/>
              </w:rPr>
              <w:t>As of October 31, 2020</w:t>
            </w:r>
          </w:p>
        </w:tc>
        <w:tc>
          <w:tcPr>
            <w:tcW w:w="264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252,703</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223,248</w:t>
            </w:r>
          </w:p>
        </w:tc>
        <w:tc>
          <w:tcPr>
            <w:tcW w:w="1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174,713</w:t>
            </w:r>
          </w:p>
        </w:tc>
        <w:tc>
          <w:tcPr>
            <w:tcW w:w="16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40,921</w:t>
            </w:r>
          </w:p>
        </w:tc>
        <w:tc>
          <w:tcPr>
            <w:tcW w:w="1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691,585</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change in the carrying amount of goodwill by reportable business segment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NA Fenestration</w:t>
            </w: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EU Fenestration</w:t>
            </w:r>
          </w:p>
        </w:tc>
        <w:tc>
          <w:tcPr>
            <w:tcW w:w="18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NA Cabinet</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Unallocated Corp.</w:t>
            </w:r>
          </w:p>
        </w:tc>
        <w:tc>
          <w:tcPr>
            <w:tcW w:w="300" w:type="dxa"/>
            <w:vAlign w:val="bottom"/>
          </w:tcPr>
          <w:p>
            <w:pPr>
              <w:spacing w:after="0"/>
              <w:rPr>
                <w:sz w:val="14"/>
                <w:szCs w:val="14"/>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4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Comp.</w:t>
            </w:r>
          </w:p>
        </w:tc>
        <w:tc>
          <w:tcPr>
            <w:tcW w:w="24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&amp; Other</w:t>
            </w: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October 31, 2020</w:t>
            </w: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68,295</w:t>
            </w:r>
          </w:p>
        </w:tc>
        <w:tc>
          <w:tcPr>
            <w:tcW w:w="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146,154</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38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January 31, 2021</w:t>
            </w: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38,712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72,082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149,941</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further details of Goodwill, see Note 3, "Goodwill &amp; Intangible Assets", located herewith.</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did not allocate non-operating loss or income tax benefit to the reportable segments. The following table reconciles operating income as reported above to net income for the three months ended January 31, 2021 and 2020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9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w:t>
            </w:r>
          </w:p>
        </w:tc>
        <w:tc>
          <w:tcPr>
            <w:tcW w:w="700" w:type="dxa"/>
            <w:vAlign w:val="bottom"/>
            <w:tcBorders>
              <w:bottom w:val="single" w:sz="8" w:color="auto"/>
            </w:tcBorders>
          </w:tcPr>
          <w:p>
            <w:pPr>
              <w:spacing w:after="0"/>
              <w:rPr>
                <w:sz w:val="16"/>
                <w:szCs w:val="16"/>
                <w:color w:val="auto"/>
              </w:rPr>
            </w:pPr>
          </w:p>
        </w:tc>
      </w:tr>
      <w:tr>
        <w:trPr>
          <w:trHeight w:val="187"/>
        </w:trPr>
        <w:tc>
          <w:tcPr>
            <w:tcW w:w="90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9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9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r>
        <w:trPr>
          <w:trHeight w:val="248"/>
        </w:trPr>
        <w:tc>
          <w:tcPr>
            <w:tcW w:w="9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9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compute basic earnings per share by dividing net income by the weighted average number of common shares outstanding during the period. Diluted earnings per common and potential common shares include the weighted average of additional shares associated with the incremental effect of dilutive employee stock options, non-vested restricted stock as determined using the treasury stock method prescribed by U.S. GAAP and contingent shares associated with performance share awards, if dilutive.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QUANEX BUILDING PRODUCTS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UNAUDITED CONDENSED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Basic and diluted earnings per share for the three months ended January 31, 2021 and 2020 were calculated as follows (in thousands,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 Income</w:t>
            </w:r>
          </w:p>
        </w:tc>
        <w:tc>
          <w:tcPr>
            <w:tcW w:w="1560" w:type="dxa"/>
            <w:vAlign w:val="bottom"/>
          </w:tcPr>
          <w:p>
            <w:pPr>
              <w:jc w:val="right"/>
              <w:ind w:right="133"/>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560" w:type="dxa"/>
            <w:vAlign w:val="bottom"/>
          </w:tcPr>
          <w:p>
            <w:pPr>
              <w:jc w:val="right"/>
              <w:ind w:right="49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CEEFF"/>
            </w:tcBorders>
            <w:shd w:val="clear" w:color="auto" w:fill="CCEEFF"/>
          </w:tcPr>
          <w:p>
            <w:pPr>
              <w:spacing w:after="0"/>
              <w:rPr>
                <w:sz w:val="15"/>
                <w:szCs w:val="15"/>
                <w:color w:val="auto"/>
              </w:rPr>
            </w:pPr>
          </w:p>
        </w:tc>
        <w:tc>
          <w:tcPr>
            <w:tcW w:w="6720" w:type="dxa"/>
            <w:vAlign w:val="bottom"/>
            <w:tcBorders>
              <w:top w:val="single" w:sz="8" w:color="CCEEFF"/>
            </w:tcBorders>
            <w:gridSpan w:val="2"/>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Three Months Ended January 31, 2021</w:t>
            </w:r>
          </w:p>
        </w:tc>
        <w:tc>
          <w:tcPr>
            <w:tcW w:w="24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Basic earnings per common share</w:t>
            </w:r>
          </w:p>
        </w:tc>
        <w:tc>
          <w:tcPr>
            <w:tcW w:w="4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7,852</w:t>
            </w:r>
          </w:p>
        </w:tc>
        <w:tc>
          <w:tcPr>
            <w:tcW w:w="2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32,872</w:t>
            </w:r>
          </w:p>
        </w:tc>
        <w:tc>
          <w:tcPr>
            <w:tcW w:w="3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33,212</w:t>
            </w:r>
          </w:p>
        </w:tc>
        <w:tc>
          <w:tcPr>
            <w:tcW w:w="3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40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72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Three Months Ended January 31, 2020</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7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Basic earnings per common share</w:t>
            </w:r>
          </w:p>
        </w:tc>
        <w:tc>
          <w:tcPr>
            <w:tcW w:w="40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32,861</w:t>
            </w:r>
          </w:p>
        </w:tc>
        <w:tc>
          <w:tcPr>
            <w:tcW w:w="38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gridSpan w:val="2"/>
          </w:tcPr>
          <w:p>
            <w:pPr>
              <w:ind w:left="120"/>
              <w:spacing w:after="0"/>
              <w:rPr>
                <w:sz w:val="20"/>
                <w:szCs w:val="20"/>
                <w:color w:val="auto"/>
              </w:rPr>
            </w:pPr>
            <w:r>
              <w:rPr>
                <w:rFonts w:ascii="Arial" w:cs="Arial" w:eastAsia="Arial" w:hAnsi="Arial"/>
                <w:sz w:val="18"/>
                <w:szCs w:val="18"/>
                <w:color w:val="auto"/>
              </w:rPr>
              <w:t>Performance shares</w:t>
            </w: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Performance restricted stock units</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33,078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had no common stock equivalents that were potentially dilutive in future earnings per share calculations for the three months ended January 31, 2021 and 772,756 for the comparable prior year period. We also had no restricted stock award equivalents that were potentially dilutive in future earnings per calculations for the three months ended January 31, 2021 and 56,000 corresponding equivalents for the corresponding prior year period. Such dilution will be dependent on the excess of the market price of our stock over the exercise price and other components of the treasury stock method.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New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Recently Adopted</w:t>
      </w:r>
    </w:p>
    <w:p>
      <w:pPr>
        <w:spacing w:after="0" w:line="158"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 xml:space="preserve">In June 2016, the Financial Accounting Standards Board issued Accounting Standards Update No.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326)</w:t>
      </w:r>
      <w:r>
        <w:rPr>
          <w:rFonts w:ascii="Arial" w:cs="Arial" w:eastAsia="Arial" w:hAnsi="Arial"/>
          <w:sz w:val="16"/>
          <w:szCs w:val="16"/>
          <w:color w:val="auto"/>
        </w:rPr>
        <w:t>. This ASU sets forth a "current expected credit loss" model, which requires the measurement of all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Unless the context indicates otherwise, references to "Quanex", the "Company", "we", "us" and "our" refer to the consolidated business operations of Quanex Building Products Corporation and its subsidiaries.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 xml:space="preserve">Certain of the statements contained in this document and in documents incorporated by reference herein, including those made under the caption </w:t>
      </w:r>
      <w:r>
        <w:rPr>
          <w:rFonts w:ascii="Arial" w:cs="Arial" w:eastAsia="Arial" w:hAnsi="Arial"/>
          <w:sz w:val="17"/>
          <w:szCs w:val="17"/>
          <w:i w:val="1"/>
          <w:iCs w:val="1"/>
          <w:color w:val="auto"/>
        </w:rPr>
        <w:t xml:space="preserve">“Management’s Discussion and Analysis of Financial Condition and Results of Operations” </w:t>
      </w:r>
      <w:r>
        <w:rPr>
          <w:rFonts w:ascii="Arial" w:cs="Arial" w:eastAsia="Arial" w:hAnsi="Arial"/>
          <w:sz w:val="17"/>
          <w:szCs w:val="17"/>
          <w:color w:val="auto"/>
        </w:rPr>
        <w:t>are “forward-looking” statements as defined under the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Litigation Reform Act of 1995. Generally, the words “expect,” “believe,” “intend,” “estimate,” “anticipate,” “project,” “will” and similar expressions identify forward-looking statements, which generally are not historical in nature. Forward looking statements are (1) all statements which address future operating performance, (2) events or developments that we expect or anticipate will occur in the future, including statements relating to volume, sales, operating income and earnings per share, and (3) statements expressing general outlook about future operating results. Forward-looking statements are subject to certain risks and uncertainties that could cause actual results to differ materially from our historical experience and our current projections or expectations. As and when made, we believe that these forward-looking statements are reasonable. However, caution should be taken not to place undue reliance on any such forward-looking statements since such statements speak only as of the date when made and there can be no assurance that such forward-looking statements will occur. We are not obligated to publicly update or revise any forward-looking statements, whether as a result of new information, future events or otherwise. Factors that could cause actual results to differ materially from those expressed or implied by the forward-looking statements include, but are not limited to the following:</w:t>
      </w:r>
    </w:p>
    <w:p>
      <w:pPr>
        <w:spacing w:after="0" w:line="44" w:lineRule="exact"/>
        <w:rPr>
          <w:sz w:val="20"/>
          <w:szCs w:val="20"/>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impacts from public health issues (including pandemics, such as the current COVID-19 pandemic and quarantines) on the economy, demand for our products or our operations, including the responses of governmental authorities to contain such public health issues;</w:t>
      </w:r>
    </w:p>
    <w:p>
      <w:pPr>
        <w:spacing w:after="0" w:line="21" w:lineRule="exact"/>
        <w:rPr>
          <w:rFonts w:ascii="Arial" w:cs="Arial" w:eastAsia="Arial" w:hAnsi="Arial"/>
          <w:sz w:val="18"/>
          <w:szCs w:val="18"/>
          <w:color w:val="auto"/>
        </w:rPr>
      </w:pPr>
    </w:p>
    <w:p>
      <w:pPr>
        <w:ind w:left="660" w:hanging="166"/>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conditions, particularly in the new home construction, and residential remodeling and replacement (R&amp;R) activity markets in the United States, United Kingdom, Germany and elsewhere;</w:t>
      </w:r>
    </w:p>
    <w:p>
      <w:pPr>
        <w:spacing w:after="0" w:line="21"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non-pass-through raw material costs;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domestic and international economic conditions;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purchases by our principal customers;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internal operating plans and acquisition strategies;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our plans with respect to information technology (IT) systems and processes;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control costs and increase profitability;</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environmental laws and regulations;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warranty obligations;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energy costs;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and interpretations thereof;</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service our debt facilities and remain in good standing with our lenders;</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availability or applicability of our insurance coverage;</w:t>
      </w:r>
    </w:p>
    <w:p>
      <w:pPr>
        <w:spacing w:after="0" w:line="76"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 good relationship with our suppliers, subcontractors, and key customers; and</w:t>
      </w:r>
    </w:p>
    <w:p>
      <w:pPr>
        <w:spacing w:after="0" w:line="90"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resolution of litigation and other legal proceedings.</w:t>
      </w:r>
    </w:p>
    <w:p>
      <w:pPr>
        <w:spacing w:after="0" w:line="14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For information on additional factors that could cause actual results to differ materially, please refer to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in our Annual Report on Form 10-K for the fiscal year ended October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Third-Party Information</w:t>
      </w:r>
    </w:p>
    <w:p>
      <w:pPr>
        <w:spacing w:after="0" w:line="16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this report, we rely on and refer to information regarding industry data obtained from market research, publicly available information, industry publications, U.S. government sources and other third parties. Although we believe this information is reliable, we cannot guarantee the accuracy or completeness of the information and have not independently verified it.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should be read in conjunction with the accompanying unaudited condensed consolidated financial statements and related notes as of January 31, 2021, and for the three months ended January 31, 2021 and 2020, included elsewhere herein. For additional information pertaining to our business, including risk factors which should be considered before investing in our common stock, refer to our Annual Report on Form 10-K for the fiscal year ended October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manufacture components for original equipment manufacturers (OEMs) in the building products industry. These components can be categorized as window and door (fenestration) components and kitchen and bath cabinet components. Examples of fenestration components include (1) energy-efficient flexible insulating glass spacers, (2) extruded vinyl profiles, (3) window and door screens, and (4) precision-formed metal and wood products. We also manufacture cabinet doors and other components for OEMs in the kitchen and bathroom cabinet industry. In addition, we provide certain other non-fenestration components and products, which include solar panel sealants, trim moldings, vinyl decking, fencing, water retention barriers, and conservatory roof components. We use low-cost, short lead-time production processes and engineering expertise to provide our customers with specialized products for their specific window, door, and cabinet applications. We believe these capabilities provide us with unique competitive advantages. We serve a primary customer base in North America and the U.K., and also serve customers in international markets through our operating plants in the U.K. and Germany, as well as through sales and marketing efforts in other countries.</w:t>
      </w:r>
    </w:p>
    <w:p>
      <w:pPr>
        <w:spacing w:after="0" w:line="127"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We continue to invest in organic growth initiatives and we intend to continue evaluating business acquisitions that allow us to expand our existing fenestration and cabinet component footprint, enhance our product offerings, provide new complementary technology, enhance our leadership position within the markets we serve and expand into new markets or service lines. We have disposed of non-core businesses in the past, and continue to evaluate our business portfolio to ensure that we are investing in markets where we believe there is potential future growth.</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currently have three reportable business segments: (1) North American Fenestration segment (“NA Fenestration”), comprising three operating segments, manufacturing vinyl profiles, IG spacers, screens and other fenestration components; (2) European Fenestration segment (“EU Fenestration”), comprising our U.K.-based vinyl extrusion business, manufacturing vinyl profiles and conservatories, and the European insulating glass business manufacturing IG spacers; and (3) North American Cabinet Components segment (“NA Cabinet Components”), comprising our North American cabinet door and components business and two wood-manufacturing plants. We maintain a grouping called Unallocated Corporate &amp; Other, which includes transaction expenses, stock-based compensation, long-term incentive awards based on the performance of our common stock and other factors, certain severance, legal, and other costs not deemed to be allocable to all segments, depreciation of corporate assets, interest expense, other, net, income taxes and inter-segment eliminations, and executive incentive compensation and medical expense fluctuations relative to planned costs as determined during the annual planning process. Other corporate general and administrative costs have been allocated to the reportable business segments, based upon a relative measure of profitability in order to more accurately reflect each reportable business segment's administrative costs. We allocate corporate expenses to businesses acquired mid-year from the date of acquisition. The accounting policies of our operating segments are the same as those used to prepare our accompanying condensed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Transactions and Events</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March 11, 2020, the WHO declared the outbreak of COVID-19 to be a global pandemic and recommended containment and mitigation measures. Our first priority with regard to the COVID-19 pandemic is to do everything we can to ensure the safety, health and welfare of our employees, customers, suppliers and other partners. With the implementation of health and safety practices at our facilities, we are continuing to supply the industry during this uncertain time, recognizing the essential role the construction industry plays in providing housing and necessary infrastructure.</w:t>
      </w:r>
    </w:p>
    <w:p>
      <w:pPr>
        <w:spacing w:after="0" w:line="10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As federal, state and local governments react to the public health crisis, significant uncertainties have been created in the economy. The COVID-19 pandemic and its related effects continue to have a significant adverse effect on many sectors of the economy and we may be further impacted.</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part of our response to the COVID-19 pandemic, we have taken the following measures:</w:t>
      </w:r>
    </w:p>
    <w:p>
      <w:pPr>
        <w:spacing w:after="0" w:line="171" w:lineRule="exact"/>
        <w:rPr>
          <w:sz w:val="20"/>
          <w:szCs w:val="20"/>
          <w:color w:val="auto"/>
        </w:rPr>
      </w:pPr>
    </w:p>
    <w:p>
      <w:pPr>
        <w:jc w:val="both"/>
        <w:ind w:left="580" w:hanging="167"/>
        <w:spacing w:after="0" w:line="263" w:lineRule="auto"/>
        <w:tabs>
          <w:tab w:leader="none" w:pos="5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continuing to provide our products to support critical infrastructure needs while following national, state, and local guidelines required to continue operations during the existence of the pandemic and related local declarations of emergency. However, local or regional hotspots of the pandemic could result in other locations being temporarily idled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due to the need to deep clean areas where an employee who has tested positive for COVID-19 worked or any similar impacts in our supply chain.</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work with our customers to the extent idling affects fulfillment timing.</w:t>
      </w:r>
    </w:p>
    <w:p>
      <w:pPr>
        <w:spacing w:after="0" w:line="157" w:lineRule="exact"/>
        <w:rPr>
          <w:sz w:val="20"/>
          <w:szCs w:val="20"/>
          <w:color w:val="auto"/>
        </w:rPr>
      </w:pPr>
    </w:p>
    <w:p>
      <w:pPr>
        <w:ind w:left="580" w:hanging="167"/>
        <w:spacing w:after="0" w:line="261"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taken precautionary measures intended to help minimize the risk of the virus to our employees, including temporarily requiring some employees to work remotely.</w:t>
      </w:r>
    </w:p>
    <w:p>
      <w:pPr>
        <w:spacing w:after="0" w:line="116" w:lineRule="exact"/>
        <w:rPr>
          <w:rFonts w:ascii="Arial" w:cs="Arial" w:eastAsia="Arial" w:hAnsi="Arial"/>
          <w:sz w:val="18"/>
          <w:szCs w:val="18"/>
          <w:color w:val="auto"/>
        </w:rPr>
      </w:pPr>
    </w:p>
    <w:p>
      <w:pPr>
        <w:jc w:val="both"/>
        <w:ind w:left="580" w:right="20" w:hanging="167"/>
        <w:spacing w:after="0" w:line="248" w:lineRule="auto"/>
        <w:tabs>
          <w:tab w:leader="none" w:pos="5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monitor the rapidly evolving situation and guidance from international and domestic authorities, including federal, state and local public health authorities and may take additional actions based on their recommendations. In these circumstances, there may be developments outside our control requiring us to adjust our operating plan.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Overview and Outlook</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the primary drivers of our operating results continue to be North American new home construction and residential remodeling and replacement (R&amp;R) activity. We believe that housing starts and window shipments are indicators of activity levels in the homebuilding and window industries, and we use this data, as published by or derived from third-party sources, to evaluate the market. We have evaluated the market using data from the National Association of Homebuilders (NAHB) with regard to housing starts, and published reports by Ducker Worldwide, LLC (Ducker), a consulting and research firm, with regard to window shipments in the U.S. We obtain market data from Catalina Research, a consulting and research firm, for insight into the U.S. residential wood cabinet demand.</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January 2021, the NAHB forecasted calendar-year housing starts to be 1.4 million for calendar years 2020, 2021, and 2022. The February 2021 Ducker forecast indicated that window shipments in the R&amp;R market are expected to increase approximately 2% for calendar year 2020 and approximately 3% for each of the 2021 and 2022 calendar years. The estimated increase in window shipments for the year ended December 31, 2020 includes an increase in new construction shipments of approximately 3% and an increase in R&amp;R shipments of approximately 2%. In February 2021, Catalina Research estimated that residential semi-custom cabinet demand in the U.S. is estimated to decline 2.8% in 2020 but rebound to growth of 3.6% for 2021. In line with market forecasts, we expect that some sales originally planned for the year ended October 31, 2021 may be realized during the years ended October 31, 2021 and 2022.</w:t>
      </w:r>
    </w:p>
    <w:p>
      <w:pPr>
        <w:spacing w:after="0" w:line="12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Several commodities in our business are subject to pricing fluctuations, including polyvinyl resin (PVC), titanium dioxide (TiO2), petroleum products, aluminum and wood. For the majority of our customers and critical suppliers, we have price adjusters in place which effectively share the base pass-through price changes for our primary commodities with our customers commensurate with the market at large. Our long-term exposure to these price fluctuations is somewhat mitigated due to the contractual component of the adjuster program. However, these adjusters are not in place with all customers and for all commodities, and there is a level of exposure to such volatility due to the lag associated with the timing of price updates in accordance with our customer agreements, particularly with regard to hardwoods. In addition, some of these commodities, such as silicone, are in high demand, particularly in Europe, which can affect the cost of the raw materials, a portion of which we may not be able to fully recover. Thus far we have not experienced notable supply or logistics disruptions.</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June 23, 2016, citizens of the U.K. voted to exit the European Union (E.U.) (referred to as Brexit). In October 2019, the U.K. and E.U. ratified a withdrawal agreement, and subsequently the U.K. left the E.U. on January 31, 2020. The E.U. rules for trade, travel, and business for the U.K. lapsed on December 31, 2020. In early 2021, the U.K. and the E.U. agreed on a 100% tariff liberalization trade agreement. There will be no tariffs or quotas on the movement of goods produced between the U.K. and the E.U. During this settling in period we could experience extended lead times for raw material imports.</w:t>
      </w:r>
    </w:p>
    <w:p>
      <w:pPr>
        <w:spacing w:after="0" w:line="10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Given the lack of comparable precedent, it is difficult for us to predict the future impacts on our U.K. based operations, which accounted for approximately 15% of our total sales for the year ended October 31, 2020. Since we manufacture and sell a majority of our U.K. products within the U.K., there is minimal risk to our ability to physically deliver goods and complete sales. The primary risk mitigation focus for our U.K. operations centers on the availability and pricing of raw materials. While we source the majority of our raw materials from within the U.K., many of the primary upstream raw materials our vendors use are being sourced from outside of the U.K., which could expose us to cross-border issues and raw material price impacts. We will mitigate this potential impact of Brexit on the import of goods to the U.K. by strategically managing our inventory levels and logistical channels.</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global economy remains uncertain due to currency devaluations, political unrest, terror threats, global pandemics such as COVID-19, and even the political landscape in the U.S. These and other macro-economic factors have impacted the global financial markets, which may have contributed to significant changes in foreign currencies. We continue to monitor our exposure to changes in exchange rates.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January 31, 2021 Compared to Three Months Ended January 31, 2020</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ind w:right="80"/>
              <w:spacing w:after="0"/>
              <w:rPr>
                <w:sz w:val="20"/>
                <w:szCs w:val="20"/>
                <w:color w:val="auto"/>
              </w:rPr>
            </w:pPr>
            <w:r>
              <w:rPr>
                <w:rFonts w:ascii="Arial" w:cs="Arial" w:eastAsia="Arial" w:hAnsi="Arial"/>
                <w:sz w:val="16"/>
                <w:szCs w:val="16"/>
                <w:b w:val="1"/>
                <w:bCs w:val="1"/>
                <w:color w:val="auto"/>
                <w:w w:val="92"/>
              </w:rPr>
              <w:t>Three Months Ended January 31,</w:t>
            </w:r>
          </w:p>
        </w:tc>
        <w:tc>
          <w:tcPr>
            <w:tcW w:w="1120" w:type="dxa"/>
            <w:vAlign w:val="bottom"/>
            <w:tcBorders>
              <w:bottom w:val="single" w:sz="8" w:color="auto"/>
            </w:tcBorders>
          </w:tcPr>
          <w:p>
            <w:pPr>
              <w:spacing w:after="0"/>
              <w:rPr>
                <w:sz w:val="18"/>
                <w:szCs w:val="18"/>
                <w:color w:val="auto"/>
              </w:rPr>
            </w:pPr>
          </w:p>
        </w:tc>
      </w:tr>
      <w:tr>
        <w:trPr>
          <w:trHeight w:val="210"/>
        </w:trPr>
        <w:tc>
          <w:tcPr>
            <w:tcW w:w="6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Change $</w:t>
            </w: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 Variance</w:t>
            </w:r>
          </w:p>
        </w:tc>
      </w:tr>
      <w:tr>
        <w:trPr>
          <w:trHeight w:val="206"/>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(Dollars in millions)</w:t>
            </w:r>
          </w:p>
        </w:tc>
        <w:tc>
          <w:tcPr>
            <w:tcW w:w="1120" w:type="dxa"/>
            <w:vAlign w:val="bottom"/>
          </w:tcPr>
          <w:p>
            <w:pPr>
              <w:spacing w:after="0"/>
              <w:rPr>
                <w:sz w:val="17"/>
                <w:szCs w:val="17"/>
                <w:color w:val="auto"/>
              </w:rPr>
            </w:pPr>
          </w:p>
        </w:tc>
      </w:tr>
      <w:tr>
        <w:trPr>
          <w:trHeight w:val="235"/>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Cost of sales (excluding depreciation and amortization)</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period-over-period results by reportable segment follow.</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Operating Income by Reportable Segment: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Fenestration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w w:val="94"/>
              </w:rPr>
              <w:t>Three Months Ended January 31,</w:t>
            </w:r>
          </w:p>
        </w:tc>
        <w:tc>
          <w:tcPr>
            <w:tcW w:w="1200" w:type="dxa"/>
            <w:vAlign w:val="bottom"/>
            <w:tcBorders>
              <w:bottom w:val="single" w:sz="8" w:color="auto"/>
            </w:tcBorders>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110.5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16%</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(12)%</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5%</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27%</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600%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increased $17.6 million, or 16%, for the three months ended January 31, 2021 compared to the same period in 2020,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a $14.8 million increase in volumes and an increase in price and raw material surcharges of $2.8 million.</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$10.7 million for the three months ended January 31, 2021 compared to the same period in 2020.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primarily due to higher volumes during the period.</w:t>
      </w:r>
    </w:p>
    <w:p>
      <w:pPr>
        <w:spacing w:after="0" w:line="89"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 S</w:t>
      </w:r>
      <w:r>
        <w:rPr>
          <w:rFonts w:ascii="Arial" w:cs="Arial" w:eastAsia="Arial" w:hAnsi="Arial"/>
          <w:sz w:val="18"/>
          <w:szCs w:val="18"/>
          <w:color w:val="auto"/>
        </w:rPr>
        <w:t>elling, general and administrative expenses decreased $0.7 million for the three months ended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 primarily due to lower compensation and general expenses year-over-year.</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 xml:space="preserve">Restructuring Charges. </w:t>
      </w:r>
      <w:r>
        <w:rPr>
          <w:rFonts w:ascii="Arial" w:cs="Arial" w:eastAsia="Arial" w:hAnsi="Arial"/>
          <w:sz w:val="18"/>
          <w:szCs w:val="18"/>
          <w:color w:val="auto"/>
        </w:rPr>
        <w:t>Restructuring charges for the three months ended January 31, 2020 relate to facility lease expense for a U.S. vinyl extrusion</w:t>
      </w:r>
      <w:r>
        <w:rPr>
          <w:rFonts w:ascii="Arial" w:cs="Arial" w:eastAsia="Arial" w:hAnsi="Arial"/>
          <w:sz w:val="18"/>
          <w:szCs w:val="18"/>
          <w:i w:val="1"/>
          <w:iCs w:val="1"/>
          <w:color w:val="auto"/>
        </w:rPr>
        <w:t xml:space="preserve"> </w:t>
      </w:r>
      <w:r>
        <w:rPr>
          <w:rFonts w:ascii="Arial" w:cs="Arial" w:eastAsia="Arial" w:hAnsi="Arial"/>
          <w:sz w:val="18"/>
          <w:szCs w:val="18"/>
          <w:color w:val="auto"/>
        </w:rPr>
        <w:t>plant which was closed in January 2017. We exited the lease during December 2020.</w:t>
      </w:r>
    </w:p>
    <w:p>
      <w:pPr>
        <w:spacing w:after="0" w:line="10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decreased $1.9 million for the three months ended January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in 2020. Depreciation and amortization expense associated with property, plant, and equipment placed into service during the trailing twelve months ended January 31, 2021 was more than offset by the run-off of depreciation expense associated with existing assets and disposals during this period.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 Fenestration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33"/>
              <w:spacing w:after="0"/>
              <w:rPr>
                <w:sz w:val="20"/>
                <w:szCs w:val="20"/>
                <w:color w:val="auto"/>
              </w:rPr>
            </w:pPr>
            <w:r>
              <w:rPr>
                <w:rFonts w:ascii="Arial" w:cs="Arial" w:eastAsia="Arial" w:hAnsi="Arial"/>
                <w:sz w:val="16"/>
                <w:szCs w:val="16"/>
                <w:b w:val="1"/>
                <w:bCs w:val="1"/>
                <w:color w:val="auto"/>
                <w:w w:val="94"/>
              </w:rPr>
              <w:t>Three Months Ended January 31,</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653"/>
              <w:spacing w:after="0"/>
              <w:rPr>
                <w:sz w:val="20"/>
                <w:szCs w:val="20"/>
                <w:color w:val="auto"/>
              </w:rPr>
            </w:pPr>
            <w:r>
              <w:rPr>
                <w:rFonts w:ascii="Arial" w:cs="Arial" w:eastAsia="Arial" w:hAnsi="Arial"/>
                <w:sz w:val="13"/>
                <w:szCs w:val="13"/>
                <w:b w:val="1"/>
                <w:bCs w:val="1"/>
                <w:color w:val="auto"/>
              </w:rPr>
              <w:t>(Dollars in millions)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5"/>
              </w:rPr>
              <w:t>(26)%</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1"/>
              </w:rPr>
              <w:t>156%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income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2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17 %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4"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$12.4 million, or 34%, for the three months ended January 31, 2021 compared to the same period in 2020. 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$9.6 million as a result of higher volumes, $1.7 million of foreign currency rate changes, and $1.1 million of base price increases.</w:t>
      </w:r>
    </w:p>
    <w:p>
      <w:pPr>
        <w:spacing w:after="0" w:line="79"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i w:val="1"/>
          <w:iCs w:val="1"/>
          <w:color w:val="auto"/>
        </w:rPr>
        <w:t xml:space="preserve">Cost of Sales. </w:t>
      </w:r>
      <w:r>
        <w:rPr>
          <w:rFonts w:ascii="Arial" w:cs="Arial" w:eastAsia="Arial" w:hAnsi="Arial"/>
          <w:sz w:val="18"/>
          <w:szCs w:val="18"/>
          <w:color w:val="auto"/>
        </w:rPr>
        <w:t>The cost of sales increased $6.6 million for the three months ended January 31, 2021 compared to the same period in 2020. Cost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increased primarily due to higher volumes during the period.</w:t>
      </w:r>
    </w:p>
    <w:p>
      <w:pPr>
        <w:spacing w:after="0" w:line="103"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i w:val="1"/>
          <w:iCs w:val="1"/>
          <w:color w:val="auto"/>
        </w:rPr>
        <w:t xml:space="preserve">Selling, General and Administrative. </w:t>
      </w:r>
      <w:r>
        <w:rPr>
          <w:rFonts w:ascii="Arial" w:cs="Arial" w:eastAsia="Arial" w:hAnsi="Arial"/>
          <w:sz w:val="17"/>
          <w:szCs w:val="17"/>
          <w:color w:val="auto"/>
        </w:rPr>
        <w:t>Selling, general and administrative expense increased $0.7 million, or 12%,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31, 2021 compared to the same period in 2020. The increase is primarily due to higher general expenses and foreign currency impacts.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 Cabinet Components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2"/>
              </w:rPr>
              <w:t>Three Months Ended January 31,</w:t>
            </w:r>
          </w:p>
        </w:tc>
        <w:tc>
          <w:tcPr>
            <w:tcW w:w="1200" w:type="dxa"/>
            <w:vAlign w:val="bottom"/>
            <w:tcBorders>
              <w:bottom w:val="single" w:sz="8" w:color="auto"/>
            </w:tcBorders>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Change</w:t>
            </w:r>
          </w:p>
        </w:tc>
        <w:tc>
          <w:tcPr>
            <w:tcW w:w="12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66"/>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center"/>
              <w:ind w:right="333"/>
              <w:spacing w:after="0"/>
              <w:rPr>
                <w:sz w:val="20"/>
                <w:szCs w:val="20"/>
                <w:color w:val="auto"/>
              </w:rPr>
            </w:pPr>
            <w:r>
              <w:rPr>
                <w:rFonts w:ascii="Arial" w:cs="Arial" w:eastAsia="Arial" w:hAnsi="Arial"/>
                <w:sz w:val="13"/>
                <w:szCs w:val="13"/>
                <w:b w:val="1"/>
                <w:bCs w:val="1"/>
                <w:color w:val="auto"/>
                <w:w w:val="89"/>
              </w:rPr>
              <w:t>(Dollars in millions)</w:t>
            </w:r>
          </w:p>
        </w:tc>
        <w:tc>
          <w:tcPr>
            <w:tcW w:w="1200" w:type="dxa"/>
            <w:vAlign w:val="bottom"/>
          </w:tcPr>
          <w:p>
            <w:pPr>
              <w:spacing w:after="0"/>
              <w:rPr>
                <w:sz w:val="14"/>
                <w:szCs w:val="14"/>
                <w:color w:val="auto"/>
              </w:rPr>
            </w:pPr>
          </w:p>
        </w:tc>
      </w:tr>
      <w:tr>
        <w:trPr>
          <w:trHeight w:val="235"/>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54.0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87"/>
              </w:rPr>
              <w:t>4.0</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8%</w:t>
            </w: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left="433"/>
              <w:spacing w:after="0"/>
              <w:rPr>
                <w:sz w:val="20"/>
                <w:szCs w:val="20"/>
                <w:color w:val="auto"/>
              </w:rPr>
            </w:pPr>
            <w:r>
              <w:rPr>
                <w:rFonts w:ascii="Arial" w:cs="Arial" w:eastAsia="Arial" w:hAnsi="Arial"/>
                <w:sz w:val="18"/>
                <w:szCs w:val="18"/>
                <w:color w:val="auto"/>
                <w:w w:val="87"/>
              </w:rPr>
              <w:t>2.1</w:t>
            </w:r>
          </w:p>
        </w:tc>
        <w:tc>
          <w:tcPr>
            <w:tcW w:w="1200" w:type="dxa"/>
            <w:vAlign w:val="bottom"/>
          </w:tcPr>
          <w:p>
            <w:pPr>
              <w:jc w:val="center"/>
              <w:ind w:left="33"/>
              <w:spacing w:after="0"/>
              <w:rPr>
                <w:sz w:val="20"/>
                <w:szCs w:val="20"/>
                <w:color w:val="auto"/>
              </w:rPr>
            </w:pPr>
            <w:r>
              <w:rPr>
                <w:rFonts w:ascii="Arial" w:cs="Arial" w:eastAsia="Arial" w:hAnsi="Arial"/>
                <w:sz w:val="18"/>
                <w:szCs w:val="18"/>
                <w:color w:val="auto"/>
                <w:w w:val="94"/>
              </w:rPr>
              <w:t>(5)%</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33"/>
              <w:spacing w:after="0"/>
              <w:rPr>
                <w:sz w:val="20"/>
                <w:szCs w:val="20"/>
                <w:color w:val="auto"/>
              </w:rPr>
            </w:pPr>
            <w:r>
              <w:rPr>
                <w:rFonts w:ascii="Arial" w:cs="Arial" w:eastAsia="Arial" w:hAnsi="Arial"/>
                <w:sz w:val="18"/>
                <w:szCs w:val="18"/>
                <w:color w:val="auto"/>
                <w:w w:val="87"/>
              </w:rPr>
              <w:t>0.1</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4"/>
              </w:rPr>
              <w:t>(2)%</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19"/>
                <w:szCs w:val="19"/>
                <w:color w:val="auto"/>
              </w:rPr>
            </w:pPr>
          </w:p>
        </w:tc>
        <w:tc>
          <w:tcPr>
            <w:tcW w:w="9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center"/>
              <w:ind w:left="413"/>
              <w:spacing w:after="0"/>
              <w:rPr>
                <w:sz w:val="20"/>
                <w:szCs w:val="20"/>
                <w:color w:val="auto"/>
              </w:rPr>
            </w:pPr>
            <w:r>
              <w:rPr>
                <w:rFonts w:ascii="Arial" w:cs="Arial" w:eastAsia="Arial" w:hAnsi="Arial"/>
                <w:sz w:val="18"/>
                <w:szCs w:val="18"/>
                <w:color w:val="auto"/>
                <w:w w:val="97"/>
              </w:rPr>
              <w:t>(0.1)</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1"/>
              </w:rPr>
              <w:t>100%</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413"/>
              <w:spacing w:after="0"/>
              <w:rPr>
                <w:sz w:val="20"/>
                <w:szCs w:val="20"/>
                <w:color w:val="auto"/>
              </w:rPr>
            </w:pPr>
            <w:r>
              <w:rPr>
                <w:rFonts w:ascii="Arial" w:cs="Arial" w:eastAsia="Arial" w:hAnsi="Arial"/>
                <w:sz w:val="18"/>
                <w:szCs w:val="18"/>
                <w:color w:val="auto"/>
                <w:w w:val="97"/>
              </w:rPr>
              <w:t>(0.1)</w:t>
            </w:r>
          </w:p>
        </w:tc>
        <w:tc>
          <w:tcPr>
            <w:tcW w:w="120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3%</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center"/>
              <w:ind w:left="433"/>
              <w:spacing w:after="0"/>
              <w:rPr>
                <w:sz w:val="20"/>
                <w:szCs w:val="20"/>
                <w:color w:val="auto"/>
              </w:rPr>
            </w:pPr>
            <w:r>
              <w:rPr>
                <w:rFonts w:ascii="Arial" w:cs="Arial" w:eastAsia="Arial" w:hAnsi="Arial"/>
                <w:sz w:val="18"/>
                <w:szCs w:val="18"/>
                <w:color w:val="auto"/>
                <w:w w:val="87"/>
              </w:rPr>
              <w:t>2.0</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4"/>
              </w:rPr>
              <w:t>95%</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 margin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bl>
    <w:p>
      <w:pPr>
        <w:spacing w:after="0" w:line="134"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i w:val="1"/>
          <w:iCs w:val="1"/>
          <w:color w:val="auto"/>
        </w:rPr>
        <w:t>Net Sales</w:t>
      </w:r>
      <w:r>
        <w:rPr>
          <w:rFonts w:ascii="Arial" w:cs="Arial" w:eastAsia="Arial" w:hAnsi="Arial"/>
          <w:sz w:val="17"/>
          <w:szCs w:val="17"/>
          <w:color w:val="auto"/>
        </w:rPr>
        <w:t>. Net sales increased $4.0 million for the three months ended January 31, 2021 compared to the same period in 2020. Approximately $4.3</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of the increase in sales was due to higher volumes, which was partially offset by lower price and index provisions year-over-year.</w:t>
      </w:r>
    </w:p>
    <w:p>
      <w:pPr>
        <w:spacing w:after="0" w:line="6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$2.1 million, or 5%, for the three months ended January 31, 2021 compared to the same period in 2020</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higher volumes.</w:t>
      </w:r>
    </w:p>
    <w:p>
      <w:pPr>
        <w:spacing w:after="0" w:line="103"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i w:val="1"/>
          <w:iCs w:val="1"/>
          <w:color w:val="auto"/>
        </w:rPr>
        <w:t>Selling, General and Administrative</w:t>
      </w:r>
      <w:r>
        <w:rPr>
          <w:rFonts w:ascii="Arial" w:cs="Arial" w:eastAsia="Arial" w:hAnsi="Arial"/>
          <w:sz w:val="18"/>
          <w:szCs w:val="18"/>
          <w:color w:val="auto"/>
        </w:rPr>
        <w:t>. Selling, general and administrative expense remained relatively flat for the three months ended January 31,</w:t>
      </w:r>
      <w:r>
        <w:rPr>
          <w:rFonts w:ascii="Arial" w:cs="Arial" w:eastAsia="Arial" w:hAnsi="Arial"/>
          <w:sz w:val="18"/>
          <w:szCs w:val="18"/>
          <w:i w:val="1"/>
          <w:iCs w:val="1"/>
          <w:color w:val="auto"/>
        </w:rPr>
        <w:t xml:space="preserve"> </w:t>
      </w:r>
      <w:r>
        <w:rPr>
          <w:rFonts w:ascii="Arial" w:cs="Arial" w:eastAsia="Arial" w:hAnsi="Arial"/>
          <w:sz w:val="18"/>
          <w:szCs w:val="18"/>
          <w:color w:val="auto"/>
        </w:rPr>
        <w:t>2021 compared to the same period in 2020.</w:t>
      </w:r>
    </w:p>
    <w:p>
      <w:pPr>
        <w:spacing w:after="0" w:line="10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color w:val="auto"/>
        </w:rPr>
        <w:t>. Restructuring charges for the three months ended January 31, 2020 related to severance, equipment moving,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incurred for a plant closure.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Unallocated Corporate &amp; Other</w:t>
      </w:r>
    </w:p>
    <w:p>
      <w:pPr>
        <w:spacing w:after="0" w:line="131" w:lineRule="exact"/>
        <w:rPr>
          <w:sz w:val="20"/>
          <w:szCs w:val="20"/>
          <w:color w:val="auto"/>
        </w:rPr>
      </w:pPr>
    </w:p>
    <w:p>
      <w:pPr>
        <w:ind w:left="7700"/>
        <w:spacing w:after="0"/>
        <w:rPr>
          <w:sz w:val="20"/>
          <w:szCs w:val="20"/>
          <w:color w:val="auto"/>
        </w:rPr>
      </w:pPr>
      <w:r>
        <w:rPr>
          <w:rFonts w:ascii="Arial" w:cs="Arial" w:eastAsia="Arial" w:hAnsi="Arial"/>
          <w:sz w:val="16"/>
          <w:szCs w:val="16"/>
          <w:b w:val="1"/>
          <w:bCs w:val="1"/>
          <w:color w:val="auto"/>
        </w:rPr>
        <w:t>Three Months Ended January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Variance %</w:t>
            </w:r>
          </w:p>
        </w:tc>
      </w:tr>
      <w:tr>
        <w:trPr>
          <w:trHeight w:val="166"/>
        </w:trPr>
        <w:tc>
          <w:tcPr>
            <w:tcW w:w="6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4"/>
          </w:tcPr>
          <w:p>
            <w:pPr>
              <w:jc w:val="right"/>
              <w:ind w:right="533"/>
              <w:spacing w:after="0"/>
              <w:rPr>
                <w:sz w:val="20"/>
                <w:szCs w:val="20"/>
                <w:color w:val="auto"/>
              </w:rPr>
            </w:pPr>
            <w:r>
              <w:rPr>
                <w:rFonts w:ascii="Arial" w:cs="Arial" w:eastAsia="Arial" w:hAnsi="Arial"/>
                <w:sz w:val="13"/>
                <w:szCs w:val="13"/>
                <w:b w:val="1"/>
                <w:bCs w:val="1"/>
                <w:color w:val="auto"/>
              </w:rPr>
              <w:t>(Dollars in millions)</w:t>
            </w:r>
          </w:p>
        </w:tc>
        <w:tc>
          <w:tcPr>
            <w:tcW w:w="1220" w:type="dxa"/>
            <w:vAlign w:val="bottom"/>
          </w:tcPr>
          <w:p>
            <w:pPr>
              <w:spacing w:after="0"/>
              <w:rPr>
                <w:sz w:val="14"/>
                <w:szCs w:val="14"/>
                <w:color w:val="auto"/>
              </w:rPr>
            </w:pPr>
          </w:p>
        </w:tc>
      </w:tr>
      <w:tr>
        <w:trPr>
          <w:trHeight w:val="235"/>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91"/>
              </w:rPr>
              <w:t>(0.6)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5"/>
              </w:rPr>
              <w:t>(83)%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Cost of sales (excluding depreciation and amortization)</w:t>
            </w:r>
          </w:p>
        </w:tc>
        <w:tc>
          <w:tcPr>
            <w:tcW w:w="74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center"/>
              <w:ind w:left="375"/>
              <w:spacing w:after="0"/>
              <w:rPr>
                <w:sz w:val="20"/>
                <w:szCs w:val="20"/>
                <w:color w:val="auto"/>
              </w:rPr>
            </w:pPr>
            <w:r>
              <w:rPr>
                <w:rFonts w:ascii="Arial" w:cs="Arial" w:eastAsia="Arial" w:hAnsi="Arial"/>
                <w:sz w:val="18"/>
                <w:szCs w:val="18"/>
                <w:color w:val="auto"/>
                <w:w w:val="91"/>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220" w:type="dxa"/>
            <w:vAlign w:val="bottom"/>
          </w:tcPr>
          <w:p>
            <w:pPr>
              <w:jc w:val="center"/>
              <w:ind w:left="33"/>
              <w:spacing w:after="0"/>
              <w:rPr>
                <w:sz w:val="20"/>
                <w:szCs w:val="20"/>
                <w:color w:val="auto"/>
              </w:rPr>
            </w:pPr>
            <w:r>
              <w:rPr>
                <w:rFonts w:ascii="Arial" w:cs="Arial" w:eastAsia="Arial" w:hAnsi="Arial"/>
                <w:sz w:val="18"/>
                <w:szCs w:val="18"/>
                <w:color w:val="auto"/>
                <w:w w:val="91"/>
              </w:rPr>
              <w:t>133%</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7"/>
              </w:rPr>
              <w:t>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3"/>
              </w:rPr>
              <w:t>(2,233)%</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5"/>
              <w:spacing w:after="0"/>
              <w:rPr>
                <w:sz w:val="20"/>
                <w:szCs w:val="20"/>
                <w:color w:val="auto"/>
              </w:rPr>
            </w:pPr>
            <w:r>
              <w:rPr>
                <w:rFonts w:ascii="Arial" w:cs="Arial" w:eastAsia="Arial" w:hAnsi="Arial"/>
                <w:sz w:val="18"/>
                <w:szCs w:val="18"/>
                <w:color w:val="auto"/>
                <w:w w:val="87"/>
              </w:rPr>
              <w:t>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91"/>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20" w:type="dxa"/>
            <w:vAlign w:val="bottom"/>
            <w:tcBorders>
              <w:bottom w:val="single" w:sz="8" w:color="CCEEFF"/>
            </w:tcBorders>
            <w:shd w:val="clear" w:color="auto" w:fill="CCEEFF"/>
          </w:tcPr>
          <w:p>
            <w:pPr>
              <w:jc w:val="center"/>
              <w:ind w:left="33"/>
              <w:spacing w:after="0"/>
              <w:rPr>
                <w:sz w:val="20"/>
                <w:szCs w:val="20"/>
                <w:color w:val="auto"/>
              </w:rPr>
            </w:pPr>
            <w:r>
              <w:rPr>
                <w:rFonts w:ascii="Arial" w:cs="Arial" w:eastAsia="Arial" w:hAnsi="Arial"/>
                <w:sz w:val="18"/>
                <w:szCs w:val="18"/>
                <w:color w:val="auto"/>
                <w:w w:val="92"/>
              </w:rPr>
              <w:t>(971)%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for Unallocated Corporate &amp; Other represents the elimination of inter-segment sales for the three months ended January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and 2020.</w:t>
      </w:r>
    </w:p>
    <w:p>
      <w:pPr>
        <w:spacing w:after="0" w:line="116" w:lineRule="exact"/>
        <w:rPr>
          <w:sz w:val="20"/>
          <w:szCs w:val="20"/>
          <w:color w:val="auto"/>
        </w:rPr>
      </w:pPr>
    </w:p>
    <w:p>
      <w:pPr>
        <w:ind w:left="460"/>
        <w:spacing w:after="0" w:line="396"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for Unallocated Corporate &amp; Other consists of the elimination of inter-segment sales, profit in inventory, and other costs.</w:t>
      </w:r>
      <w:r>
        <w:rPr>
          <w:rFonts w:ascii="Arial" w:cs="Arial" w:eastAsia="Arial" w:hAnsi="Arial"/>
          <w:sz w:val="16"/>
          <w:szCs w:val="16"/>
          <w:i w:val="1"/>
          <w:iCs w:val="1"/>
          <w:color w:val="auto"/>
        </w:rPr>
        <w:t xml:space="preserve"> Selling, General and Administrative</w:t>
      </w:r>
      <w:r>
        <w:rPr>
          <w:rFonts w:ascii="Arial" w:cs="Arial" w:eastAsia="Arial" w:hAnsi="Arial"/>
          <w:sz w:val="16"/>
          <w:szCs w:val="16"/>
          <w:color w:val="auto"/>
        </w:rPr>
        <w:t>. Selling, general and administrative expenses increased $6.7 million for the three months ended January 31,</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2021 compared to the same period in 2020. This increase is attributable to $4.5 million of higher compensation expense related to the valuations of our stock based compensation awards, $1.6 million of medical expenses due to a higher claims experience during the three months ended January 31, 2021 as compared to the prior year period, and $1.4 million of expense related to the disposal of a plant. These increases were partially offset by a reduction in executive severance and transaction charges.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related to Non-Operating Items:</w:t>
      </w:r>
    </w:p>
    <w:p>
      <w:pPr>
        <w:spacing w:after="0" w:line="171"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$0.9 million for the three months ended January 31, 2021 compared to the same period in 2020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interest rates and lower borrowings during the period.</w:t>
      </w:r>
    </w:p>
    <w:p>
      <w:pPr>
        <w:spacing w:after="0" w:line="116"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i w:val="1"/>
          <w:iCs w:val="1"/>
          <w:color w:val="auto"/>
        </w:rPr>
        <w:t>Other, net</w:t>
      </w:r>
      <w:r>
        <w:rPr>
          <w:rFonts w:ascii="Arial" w:cs="Arial" w:eastAsia="Arial" w:hAnsi="Arial"/>
          <w:sz w:val="18"/>
          <w:szCs w:val="18"/>
          <w:color w:val="auto"/>
        </w:rPr>
        <w:t>. The increase in other, net of $0.2 million for the three months ended January 31, 2021 compared to the same period in 2020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the pension service benefit.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 We recorded income tax expense of $3.4 million on pre-tax income of $11.3 million for the three months ended January 31, 2021, an</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rate of 30.4% and income tax expense of $0.4 million on pre-tax income of $0.4 million for the three months ended January 31, 2020, an effective rate of 97.7%. The $3.0 million increase in income tax expense year-over-year corresponds with the increase in pre-tax income.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Historically, our principal sources of funds have been cash on hand, cash flow from operations, and borrowings under our credit facilities.</w:t>
      </w:r>
    </w:p>
    <w:p>
      <w:pPr>
        <w:spacing w:after="0" w:line="16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maintain a $325.0 million revolving credit facility (the Credit Facility) that matures in 2023 (5-year term) and requires interest payments calculated at a variable market rate depending upon our Consolidated Leverage Ratio. The applicable rate during the three months ended January 31, 2021 ranged from LIBOR + 1.50% to LIBOR + 1.25%. Our cost of capital could increase depending upon the Consolidated Leverage Ratio at the end of any given quarter. In addition to the Consolidated Leverage Ratio covenant, we are required to meet a Consolidated Interest Coverage Ratio covenant, and there are limitations on certain transactions including our ability to incur indebtedness, incur liens, dispose of material assets, acquire businesses, make restricted payments and pay dividends (limited to $20.0 million per year). We are amortizing deferred financing fees of $0.8 million straight-line over the remaining term of the facility. For further details of the Credit Facility, refer to Note 4, "Debt and Finance Lease Obligations" to the accompanying unaudited condensed consolidated financial statements contained elsewhere herein.</w:t>
      </w:r>
    </w:p>
    <w:p>
      <w:pPr>
        <w:spacing w:after="0" w:line="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January 31, 2021, we had $43.4 million of cash and equivalents, $98.0 million outstanding under the Credit Facility, $4.5 million of outstanding letters of credit and $15.6 million outstanding under finance leases and other debt. We had $222.5 million available for use under the Credit Facility at January 31, 2021.</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repatriated $1.0 million and $3.1 million of foreign cash during the three months ended January 31, 2021 and 2020, respectively. We expect to repatriate excess cash moving forward and use the funds to retire debt or meet current working capital needs. Funds from operations may be impacted by softer demand and liquidity concerns of our customers as a result of COVID-19. In the U.K., we insure against a portion of our credit losses. In light of the COVID-19 pandemic, the Company has implemented a range of actions aimed at reducing costs and preserving liquidity. We believe our business model, our current cash reserves and the recent steps we have taken to strengthen our balance sheet leave us well-positioned to manage our business as a going concern and remain in compliance with our debt covenants.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Analysis of Cash Flow</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 results for the three months ended January 31, 2021 and 2020: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6"/>
                <w:szCs w:val="16"/>
                <w:color w:val="auto"/>
              </w:rPr>
            </w:pPr>
          </w:p>
        </w:tc>
      </w:tr>
      <w:tr>
        <w:trPr>
          <w:trHeight w:val="195"/>
        </w:trPr>
        <w:tc>
          <w:tcPr>
            <w:tcW w:w="79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January 31,</w:t>
            </w:r>
          </w:p>
        </w:tc>
        <w:tc>
          <w:tcPr>
            <w:tcW w:w="940" w:type="dxa"/>
            <w:vAlign w:val="bottom"/>
            <w:tcBorders>
              <w:bottom w:val="single" w:sz="8" w:color="auto"/>
            </w:tcBorders>
          </w:tcPr>
          <w:p>
            <w:pPr>
              <w:spacing w:after="0"/>
              <w:rPr>
                <w:sz w:val="16"/>
                <w:szCs w:val="16"/>
                <w:color w:val="auto"/>
              </w:rPr>
            </w:pPr>
          </w:p>
        </w:tc>
      </w:tr>
      <w:tr>
        <w:trPr>
          <w:trHeight w:val="187"/>
        </w:trPr>
        <w:tc>
          <w:tcPr>
            <w:tcW w:w="79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7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940" w:type="dxa"/>
            <w:vAlign w:val="bottom"/>
          </w:tcPr>
          <w:p>
            <w:pPr>
              <w:spacing w:after="0"/>
              <w:rPr>
                <w:sz w:val="15"/>
                <w:szCs w:val="15"/>
                <w:color w:val="auto"/>
              </w:rPr>
            </w:pPr>
          </w:p>
        </w:tc>
      </w:tr>
      <w:tr>
        <w:trPr>
          <w:trHeight w:val="231"/>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operating activities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(3.4)</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97"/>
              </w:rPr>
              <w:t>(3.7)</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Cash used for investing activities</w:t>
            </w:r>
          </w:p>
        </w:tc>
        <w:tc>
          <w:tcPr>
            <w:tcW w:w="960" w:type="dxa"/>
            <w:vAlign w:val="bottom"/>
          </w:tcPr>
          <w:p>
            <w:pPr>
              <w:jc w:val="right"/>
              <w:ind w:right="755"/>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59"/>
              <w:spacing w:after="0"/>
              <w:rPr>
                <w:sz w:val="20"/>
                <w:szCs w:val="20"/>
                <w:color w:val="auto"/>
              </w:rPr>
            </w:pPr>
            <w:r>
              <w:rPr>
                <w:rFonts w:ascii="Arial" w:cs="Arial" w:eastAsia="Arial" w:hAnsi="Arial"/>
                <w:sz w:val="18"/>
                <w:szCs w:val="18"/>
                <w:color w:val="auto"/>
              </w:rPr>
              <w:t>(5.2)</w:t>
            </w:r>
          </w:p>
        </w:tc>
        <w:tc>
          <w:tcPr>
            <w:tcW w:w="7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tcPr>
          <w:p>
            <w:pPr>
              <w:jc w:val="center"/>
              <w:ind w:left="455"/>
              <w:spacing w:after="0"/>
              <w:rPr>
                <w:sz w:val="20"/>
                <w:szCs w:val="20"/>
                <w:color w:val="auto"/>
              </w:rPr>
            </w:pPr>
            <w:r>
              <w:rPr>
                <w:rFonts w:ascii="Arial" w:cs="Arial" w:eastAsia="Arial" w:hAnsi="Arial"/>
                <w:sz w:val="18"/>
                <w:szCs w:val="18"/>
                <w:color w:val="auto"/>
                <w:w w:val="97"/>
              </w:rPr>
              <w:t>(9.3)</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provided by financing activities</w:t>
            </w:r>
          </w:p>
        </w:tc>
        <w:tc>
          <w:tcPr>
            <w:tcW w:w="96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(0.6)</w:t>
            </w:r>
          </w:p>
        </w:tc>
        <w:tc>
          <w:tcPr>
            <w:tcW w:w="7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7"/>
              </w:rPr>
              <w:t>5.0</w:t>
            </w:r>
          </w:p>
        </w:tc>
      </w:tr>
    </w:tbl>
    <w:p>
      <w:pPr>
        <w:spacing w:after="0" w:line="13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used for operating activities for the three months ended January 31, 2021 remained relatively flat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January 31, 2020. Improvements in net income were offset by unfavorable working capital impacts. To date, slower paying customers as a result of COVID-19 have not significantly impacted our liquidity, but this could become a concern in the future.</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for investing activities decreased $4.1 million for the three months ended January 31, 2021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2020 as a result of lower capital expenditures.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for financing activities was $0.6 million for the three months ended January 31, 2021, which included $5.5 million of</w:t>
      </w:r>
      <w:r>
        <w:rPr>
          <w:rFonts w:ascii="Arial" w:cs="Arial" w:eastAsia="Arial" w:hAnsi="Arial"/>
          <w:sz w:val="18"/>
          <w:szCs w:val="18"/>
          <w:i w:val="1"/>
          <w:iCs w:val="1"/>
          <w:color w:val="auto"/>
        </w:rPr>
        <w:t xml:space="preserve"> </w:t>
      </w:r>
      <w:r>
        <w:rPr>
          <w:rFonts w:ascii="Arial" w:cs="Arial" w:eastAsia="Arial" w:hAnsi="Arial"/>
          <w:sz w:val="18"/>
          <w:szCs w:val="18"/>
          <w:color w:val="auto"/>
        </w:rPr>
        <w:t>net debt repayments, $2.6 million of dividends paid to our shareholders, and $1.9 million of treasury stock repurchases. Our use of cash was partially offset by $10.0 million of proceeds from stock option exercises.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Requirements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Historically, our strategy for deploying cash has been to invest in organic growth opportunities, develop our infrastructure, and explore strategic acquisitions. Other uses of cash include paying cash dividends to our shareholders and repurchasing our common stock. During the three months ended January 31, 2021 and 2020, we repatriated $1.0 million and $3.1 million, respectively, of foreign earnings from our foreign locations. We maintain cash balances in foreign countries which total $11.5 million as of January 31,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preparation of our financial statements in accordance with accounting principles generally accepted in the U.S. (U.S. GAAP) requires us to make estimates and assumptions that affect the reported amount of assets, liabilities, revenues and expenses and related disclosures of contingent assets and liabilities. Estimates and assumptions about future events and their effects cannot be perceived with certainty. Estimates may change as new events occur, as more experience is acquired, as additional information becomes available and as our operating environment changes. We base our estimates on historical experience and on various other assumptions that we believe are reasonable under the circumstances, and that we believe provide a basis for making judgments about the carrying value of assets and liabilities that are not readily available through open market quotes. We must use our judgment with regard to uncertainties in order to make these estimates. Actual results could differ from these estimates.</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a description of our critical accounting policies and estimates, see our Annual Report on Form 10-K for the fiscal year ended October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and estimates have not changed materially during the three months ended January 31, 2021.</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there have been no changes in the application of principles, methods, and assumptions used to determine our significant estimates, we may be required to revise certain accounting estimates and judgments related to the economic and business impact of the COVID-19 pandemic, such as, but not limited to, those related to the valuation of goodwill, intangibles, long-lived assets, accounts receivable, and inventory, which could have a material adverse effect on our financial position and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standards setting bodies that we adopt as of the specified effective date. Unless otherwise discussed, we believe the impact of any recently issued standards that are not yet effective are either not applicable to us at this time or will not have a material impact on our condensed consolidated financial statements upon adoption.</w:t>
      </w:r>
    </w:p>
    <w:p>
      <w:pPr>
        <w:spacing w:after="0" w:line="68"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This ASU sets forth a "current expected credit loss" model, which requires the measurement of all expected credit losses for financial instruments or other assets (e.g., trade receivables), held at the reporting date based on historical experience, current conditions, and reasonable supportable forecasts. We adopted this amendment on November 1, 2020, with no material impact on our condensed consolidated financial statements.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 to our Annual Report on Form 10-K for the fiscal year ended October 31, 2020 for additional standards we are currently evaluating.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The following discussion of our exposure to various market risks contains “forward looking statements” regarding our estimates, assumptions and beliefs concerning our exposure. Although we believe these estimates and assumptions are reasonable in light of information currently available to us, we cannot provide assurance that these estimates will not materially differ from actual results due to the inherent unpredictability of interest rates, foreign currency rates and commodity prices as well as other factors. We do not use derivative financial instruments for speculative or trading purposes.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outstanding debt bears interest at variable rates and accordingly is sensitive to changes in interest rates. Based upon the balances of the variable rate debt at January 31, 2021, a hypothetical 1.0% increase or decrease in interest rates could result in approximately $1.0 million of additional pretax charges or credit to our operating results per year. This sensitivity is impacted by the amount of borrowings under our credit facilities, and amounts outstanding under finance leases.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Rate Risk</w:t>
      </w:r>
    </w:p>
    <w:p>
      <w:pPr>
        <w:spacing w:after="0" w:line="16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international operations have exposure to foreign currency rate risks, primarily due to fluctuations in the Euro, the British Pound Sterling and the Canadian Dollar. From time to time, we enter into foreign exchange contracts associated with our operations to manage a portion of the foreign currency rate risk. There were no corresponding foreign currency derivatives recorded on the Condensed Consolidated Balance Sheet as of October 31, 2020 or January 31, 2021. These foreign currency derivative contracts hedge cross-border intercompany and commercial activity for our insulating glass spacer business. Although these derivatives hedge our exposure to fluctuations in foreign currency rates, we do not apply hedge accounting and therefore, the change in the fair value of these foreign currency derivatives is recorded directly to other income and expense in the accompanying condensed consolidated statements of income. To the extent the gain or loss on the derivative instrument offsets the gain or loss from the re-measurement of the underlying foreign currency balance, changes in exchange rates should have no effect.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4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purchase PVC as the significant raw material consumed in the manufacture of vinyl extrusions. We have a monthly resin adjuster in place with a majority of our customers and our resin supplier that is adjusted based upon published industry indices for resin prices for the prior month. This adjuster effectively shares the base pass-through price changes of PVC with our customers commensurate with the market at large. Our long-term exposure to changes in PVC prices is somewhat mitigated due to the contractual component of the resin adjuster program. However, there is a level of exposure to short-term volatility due to the one month lag.</w:t>
      </w:r>
    </w:p>
    <w:p>
      <w:pPr>
        <w:spacing w:after="0" w:line="12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have historically charged certain customers a surcharge related to petroleum-based raw materials. The surcharge was intended to offset the rising cost of products which are highly correlated to the price of oil including butyl and other oil-based raw materials. The surcharge is in place with the majority of our customers who purchase these products and is adjusted monthly based upon the 90-day average published price for Brent crude. The oil-based raw materials that we purchase are subject to similar pricing schemes. As such, our long-term exposure to increases in oil-based raw material prices is significantly reduced under this surcharge program, but given the recent disruptions in the oil and gas market, we bear an obligation to repay customers for the fall in commodity price that is not reflected in the pricing of products sold to them. In March and October 2020, we sent a notice to our customers on this to address the mismatch.</w:t>
      </w:r>
    </w:p>
    <w:p>
      <w:pPr>
        <w:spacing w:after="0" w:line="127" w:lineRule="exact"/>
        <w:rPr>
          <w:sz w:val="20"/>
          <w:szCs w:val="20"/>
          <w:color w:val="auto"/>
        </w:rPr>
      </w:pPr>
    </w:p>
    <w:p>
      <w:pPr>
        <w:ind w:right="2080" w:firstLine="405"/>
        <w:spacing w:after="0" w:line="279" w:lineRule="auto"/>
        <w:rPr>
          <w:sz w:val="20"/>
          <w:szCs w:val="20"/>
          <w:color w:val="auto"/>
        </w:rPr>
      </w:pPr>
      <w:r>
        <w:rPr>
          <w:rFonts w:ascii="Arial" w:cs="Arial" w:eastAsia="Arial" w:hAnsi="Arial"/>
          <w:sz w:val="17"/>
          <w:szCs w:val="17"/>
          <w:color w:val="auto"/>
        </w:rPr>
        <w:t>Similarly, NA Cabinet Components includes a price index provision in the majority of its customer arrangements to insulate against significant fluctuations in the price for various hardwood products used as the primary raw material for kitchen and bathroom cabinet doors. Like our vinyl extrusion business, we are exposed to short-term volatility in wood prices due to a lag in the timing of price updates which generally could extend for up to three months.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While we maintain surcharges and other adjusters to manage our exposure to changes in the prices of our critical raw materials, we use several commodities in our business that are not covered by contractual surcharges or adjusters for which pricing can fluctuate, including titanium dioxide (TiO2), silicone and other inputs. Further discussion of our industry risks is included within our Annual Report on Form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13a-15(e) and 15d-15(e) under the Securities Exchange Act of 1934 (1934 Act) as of January 31, 2021. Based on that evaluation, the Chief Executive Officer and Chief Financial Officer concluded that, as of January 31, 2021, the disclosure controls and procedures are effective.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There have been no changes in internal controls over financial reporting (as defined in Rules 13a-15(f) and 15d-15(f) under the 1934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PART II.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January 31, 2021, we repurchased common stock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3"/>
              </w:rPr>
              <w:t>(c) Total Number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vMerge w:val="restart"/>
          </w:tcPr>
          <w:p>
            <w:pPr>
              <w:jc w:val="center"/>
              <w:ind w:right="43"/>
              <w:spacing w:after="0"/>
              <w:rPr>
                <w:sz w:val="20"/>
                <w:szCs w:val="20"/>
                <w:color w:val="auto"/>
              </w:rPr>
            </w:pPr>
            <w:r>
              <w:rPr>
                <w:rFonts w:ascii="Arial" w:cs="Arial" w:eastAsia="Arial" w:hAnsi="Arial"/>
                <w:sz w:val="14"/>
                <w:szCs w:val="14"/>
                <w:b w:val="1"/>
                <w:bCs w:val="1"/>
                <w:color w:val="auto"/>
                <w:w w:val="96"/>
              </w:rPr>
              <w:t>(d) Maximum US Dollars</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94"/>
              </w:rPr>
              <w:t>Remaining that May Yet Be</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95"/>
              </w:rPr>
              <w:t>Part of a Publicly</w:t>
            </w:r>
          </w:p>
        </w:tc>
        <w:tc>
          <w:tcPr>
            <w:tcW w:w="100" w:type="dxa"/>
            <w:vAlign w:val="bottom"/>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vMerge w:val="restart"/>
          </w:tcPr>
          <w:p>
            <w:pPr>
              <w:jc w:val="center"/>
              <w:ind w:right="43"/>
              <w:spacing w:after="0" w:line="135" w:lineRule="exact"/>
              <w:rPr>
                <w:sz w:val="20"/>
                <w:szCs w:val="20"/>
                <w:color w:val="auto"/>
              </w:rPr>
            </w:pPr>
            <w:r>
              <w:rPr>
                <w:rFonts w:ascii="Arial" w:cs="Arial" w:eastAsia="Arial" w:hAnsi="Arial"/>
                <w:sz w:val="14"/>
                <w:szCs w:val="14"/>
                <w:b w:val="1"/>
                <w:bCs w:val="1"/>
                <w:color w:val="auto"/>
                <w:w w:val="89"/>
              </w:rPr>
              <w:t>Used to Purchase Shares</w:t>
            </w:r>
          </w:p>
        </w:tc>
        <w:tc>
          <w:tcPr>
            <w:tcW w:w="0" w:type="dxa"/>
            <w:vAlign w:val="bottom"/>
          </w:tcPr>
          <w:p>
            <w:pPr>
              <w:spacing w:after="0"/>
              <w:rPr>
                <w:sz w:val="1"/>
                <w:szCs w:val="1"/>
                <w:color w:val="auto"/>
              </w:rPr>
            </w:pPr>
          </w:p>
        </w:tc>
      </w:tr>
      <w:tr>
        <w:trPr>
          <w:trHeight w:val="54"/>
        </w:trPr>
        <w:tc>
          <w:tcPr>
            <w:tcW w:w="4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 Total Number of</w:t>
            </w:r>
          </w:p>
        </w:tc>
        <w:tc>
          <w:tcPr>
            <w:tcW w:w="19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(b) Average Price Paid per</w:t>
            </w: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4300" w:type="dxa"/>
            <w:vAlign w:val="bottom"/>
            <w:gridSpan w:val="2"/>
            <w:vMerge w:val="restart"/>
          </w:tcPr>
          <w:p>
            <w:pPr>
              <w:ind w:left="1900"/>
              <w:spacing w:after="0"/>
              <w:rPr>
                <w:sz w:val="20"/>
                <w:szCs w:val="20"/>
                <w:color w:val="auto"/>
              </w:rPr>
            </w:pPr>
            <w:r>
              <w:rPr>
                <w:rFonts w:ascii="Arial" w:cs="Arial" w:eastAsia="Arial" w:hAnsi="Arial"/>
                <w:sz w:val="14"/>
                <w:szCs w:val="14"/>
                <w:b w:val="1"/>
                <w:bCs w:val="1"/>
                <w:color w:val="auto"/>
              </w:rPr>
              <w:t>Period</w:t>
            </w:r>
          </w:p>
        </w:tc>
        <w:tc>
          <w:tcPr>
            <w:tcW w:w="1520" w:type="dxa"/>
            <w:vAlign w:val="bottom"/>
            <w:gridSpan w:val="2"/>
            <w:vMerge w:val="continue"/>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35"/>
        </w:trPr>
        <w:tc>
          <w:tcPr>
            <w:tcW w:w="4300" w:type="dxa"/>
            <w:vAlign w:val="bottom"/>
            <w:gridSpan w:val="2"/>
            <w:vMerge w:val="continue"/>
          </w:tcPr>
          <w:p>
            <w:pPr>
              <w:spacing w:after="0"/>
              <w:rPr>
                <w:sz w:val="11"/>
                <w:szCs w:val="11"/>
                <w:color w:val="auto"/>
              </w:rPr>
            </w:pPr>
          </w:p>
        </w:tc>
        <w:tc>
          <w:tcPr>
            <w:tcW w:w="15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420" w:type="dxa"/>
            <w:vAlign w:val="bottom"/>
          </w:tcPr>
          <w:p>
            <w:pPr>
              <w:spacing w:after="0"/>
              <w:rPr>
                <w:sz w:val="11"/>
                <w:szCs w:val="11"/>
                <w:color w:val="auto"/>
              </w:rPr>
            </w:pPr>
          </w:p>
        </w:tc>
        <w:tc>
          <w:tcPr>
            <w:tcW w:w="15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7"/>
              </w:rPr>
              <w:t>Share</w:t>
            </w:r>
          </w:p>
        </w:tc>
        <w:tc>
          <w:tcPr>
            <w:tcW w:w="1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15"/>
                <w:szCs w:val="15"/>
                <w:b w:val="1"/>
                <w:bCs w:val="1"/>
                <w:color w:val="auto"/>
                <w:vertAlign w:val="superscript"/>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jc w:val="center"/>
              <w:ind w:right="63"/>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November 2020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11,182,343</w:t>
            </w:r>
          </w:p>
        </w:tc>
        <w:tc>
          <w:tcPr>
            <w:tcW w:w="0" w:type="dxa"/>
            <w:vAlign w:val="bottom"/>
          </w:tcPr>
          <w:p>
            <w:pPr>
              <w:spacing w:after="0"/>
              <w:rPr>
                <w:sz w:val="1"/>
                <w:szCs w:val="1"/>
                <w:color w:val="auto"/>
              </w:rPr>
            </w:pPr>
          </w:p>
        </w:tc>
      </w:tr>
      <w:tr>
        <w:trPr>
          <w:trHeight w:val="229"/>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December 2020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ind w:right="3"/>
              <w:spacing w:after="0"/>
              <w:rPr>
                <w:sz w:val="20"/>
                <w:szCs w:val="20"/>
                <w:color w:val="auto"/>
              </w:rPr>
            </w:pPr>
            <w:r>
              <w:rPr>
                <w:rFonts w:ascii="Arial" w:cs="Arial" w:eastAsia="Arial" w:hAnsi="Arial"/>
                <w:sz w:val="18"/>
                <w:szCs w:val="18"/>
                <w:color w:val="auto"/>
              </w:rPr>
              <w:t>11,182,343</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9,254,905</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413"/>
        <w:spacing w:after="0" w:line="254" w:lineRule="auto"/>
        <w:tabs>
          <w:tab w:leader="none" w:pos="596" w:val="left"/>
        </w:tabs>
        <w:numPr>
          <w:ilvl w:val="0"/>
          <w:numId w:val="7"/>
        </w:numPr>
        <w:rPr>
          <w:rFonts w:ascii="Arial" w:cs="Arial" w:eastAsia="Arial" w:hAnsi="Arial"/>
          <w:sz w:val="22"/>
          <w:szCs w:val="22"/>
          <w:color w:val="auto"/>
          <w:vertAlign w:val="superscript"/>
        </w:rPr>
      </w:pPr>
      <w:r>
        <w:rPr>
          <w:rFonts w:ascii="Arial" w:cs="Arial" w:eastAsia="Arial" w:hAnsi="Arial"/>
          <w:sz w:val="17"/>
          <w:szCs w:val="17"/>
          <w:color w:val="auto"/>
        </w:rPr>
        <w:t>On August 30, 2018, our Board of Directors approved a stock repurchase program that authorized the repurchase of up to $60.0 million worth of shares of our common stock. Repurchases under the new program will be made in open market transactions or privately negotiated transactions, subject to market conditions, applicable legal requirements and other relevant factors. The program does not have an expiration date or a limit on the number of shares that may be repurchased.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exhibits required to be furnished pursuant to Item 6 are listed in the Exhibit Index filed herewith,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QUANEX BUILDING PRODUCTS CORPORATION</w:t>
      </w:r>
    </w:p>
    <w:p>
      <w:pPr>
        <w:spacing w:after="0" w:line="81" w:lineRule="exact"/>
        <w:rPr>
          <w:sz w:val="20"/>
          <w:szCs w:val="20"/>
          <w:color w:val="auto"/>
        </w:rPr>
      </w:pPr>
    </w:p>
    <w:p>
      <w:pPr>
        <w:ind w:left="240"/>
        <w:spacing w:after="0"/>
        <w:tabs>
          <w:tab w:leader="none" w:pos="4540" w:val="left"/>
        </w:tabs>
        <w:rPr>
          <w:sz w:val="20"/>
          <w:szCs w:val="20"/>
          <w:color w:val="auto"/>
        </w:rPr>
      </w:pPr>
      <w:r>
        <w:rPr>
          <w:rFonts w:ascii="Arial" w:cs="Arial" w:eastAsia="Arial" w:hAnsi="Arial"/>
          <w:sz w:val="18"/>
          <w:szCs w:val="18"/>
          <w:color w:val="auto"/>
        </w:rPr>
        <w:t>Date: March 5, 2021</w:t>
      </w:r>
      <w:r>
        <w:rPr>
          <w:sz w:val="20"/>
          <w:szCs w:val="20"/>
          <w:color w:val="auto"/>
        </w:rPr>
        <w:tab/>
      </w:r>
      <w:r>
        <w:rPr>
          <w:rFonts w:ascii="Arial" w:cs="Arial" w:eastAsia="Arial" w:hAnsi="Arial"/>
          <w:sz w:val="16"/>
          <w:szCs w:val="16"/>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4234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Scott M. Zuehlke</w:t>
      </w:r>
    </w:p>
    <w:p>
      <w:pPr>
        <w:spacing w:after="0" w:line="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Senior Vice President - Chief Financial Officer &amp; Treasurer</w:t>
      </w:r>
    </w:p>
    <w:p>
      <w:pPr>
        <w:jc w:val="center"/>
        <w:ind w:right="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EXHIBIT INDEX</w:t>
      </w:r>
    </w:p>
    <w:p>
      <w:pPr>
        <w:spacing w:after="0" w:line="238" w:lineRule="exact"/>
        <w:rPr>
          <w:sz w:val="20"/>
          <w:szCs w:val="20"/>
          <w:color w:val="auto"/>
        </w:rPr>
      </w:pPr>
    </w:p>
    <w:p>
      <w:pPr>
        <w:spacing w:after="0"/>
        <w:tabs>
          <w:tab w:leader="none" w:pos="176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4"/>
          <w:szCs w:val="14"/>
          <w:b w:val="1"/>
          <w:bCs w:val="1"/>
          <w:color w:val="auto"/>
        </w:rPr>
        <w:t>Description of Exhibits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760"/>
        <w:spacing w:after="0"/>
        <w:rPr>
          <w:rFonts w:ascii="Arial" w:cs="Arial" w:eastAsia="Arial" w:hAnsi="Arial"/>
          <w:sz w:val="17"/>
          <w:szCs w:val="17"/>
          <w:u w:val="single" w:color="auto"/>
          <w:color w:val="0000FF"/>
        </w:rPr>
      </w:pPr>
      <w:hyperlink r:id="rId49">
        <w:r>
          <w:rPr>
            <w:rFonts w:ascii="Arial" w:cs="Arial" w:eastAsia="Arial" w:hAnsi="Arial"/>
            <w:sz w:val="17"/>
            <w:szCs w:val="17"/>
            <w:u w:val="single" w:color="auto"/>
            <w:color w:val="0000FF"/>
          </w:rPr>
          <w:t>3.1</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50">
        <w:r>
          <w:rPr>
            <w:rFonts w:ascii="Arial" w:cs="Arial" w:eastAsia="Arial" w:hAnsi="Arial"/>
            <w:sz w:val="17"/>
            <w:szCs w:val="17"/>
            <w:u w:val="single" w:color="auto"/>
            <w:color w:val="0000FF"/>
          </w:rPr>
          <w:t>3.2</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51">
        <w:r>
          <w:rPr>
            <w:rFonts w:ascii="Arial" w:cs="Arial" w:eastAsia="Arial" w:hAnsi="Arial"/>
            <w:sz w:val="17"/>
            <w:szCs w:val="17"/>
            <w:u w:val="single" w:color="auto"/>
            <w:color w:val="0000FF"/>
          </w:rPr>
          <w:t>4.1</w:t>
        </w:r>
      </w:hyperlink>
    </w:p>
    <w:p>
      <w:pPr>
        <w:spacing w:after="0" w:line="200" w:lineRule="exact"/>
        <w:rPr>
          <w:sz w:val="20"/>
          <w:szCs w:val="20"/>
          <w:color w:val="auto"/>
        </w:rPr>
      </w:pPr>
    </w:p>
    <w:p>
      <w:pPr>
        <w:spacing w:after="0" w:line="239" w:lineRule="exact"/>
        <w:rPr>
          <w:sz w:val="20"/>
          <w:szCs w:val="20"/>
          <w:color w:val="auto"/>
        </w:rPr>
      </w:pPr>
    </w:p>
    <w:p>
      <w:pPr>
        <w:ind w:left="760"/>
        <w:spacing w:after="0"/>
        <w:rPr>
          <w:rFonts w:ascii="Arial" w:cs="Arial" w:eastAsia="Arial" w:hAnsi="Arial"/>
          <w:sz w:val="17"/>
          <w:szCs w:val="17"/>
          <w:u w:val="single" w:color="auto"/>
          <w:color w:val="0000FF"/>
        </w:rPr>
      </w:pPr>
      <w:hyperlink r:id="rId52">
        <w:r>
          <w:rPr>
            <w:rFonts w:ascii="Arial" w:cs="Arial" w:eastAsia="Arial" w:hAnsi="Arial"/>
            <w:sz w:val="17"/>
            <w:szCs w:val="17"/>
            <w:u w:val="single" w:color="auto"/>
            <w:color w:val="0000FF"/>
          </w:rPr>
          <w:t>4.2</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both"/>
        <w:ind w:right="40"/>
        <w:spacing w:after="0" w:line="224" w:lineRule="auto"/>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Restated Certificate of Incorporation of the Registrant dated as of March 4, 2016, filed as Exhibit 3.1 of the Registrant’s Current</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Report on Form 8-K (Reg. No. 001-33913) as filed with the Securities and Exchange Commission on March 7, 2016, and</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incorporated herein by reference.</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Fourth Amended and Restated Bylaws of the Registrant dated as of February 27, 2020, filed as Exhibit 3.2 of the Registrant's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Quarterly Report on Form 10-Q (Reg. No. 001-33913) for the quarter ended January 31, 2020, and incorporated herein by</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reference.</w:t>
        </w:r>
      </w:hyperlink>
    </w:p>
    <w:p>
      <w:pPr>
        <w:spacing w:after="0" w:line="55" w:lineRule="exact"/>
        <w:rPr>
          <w:rFonts w:ascii="Arial" w:cs="Arial" w:eastAsia="Arial" w:hAnsi="Arial"/>
          <w:sz w:val="18"/>
          <w:szCs w:val="18"/>
          <w:u w:val="single" w:color="auto"/>
          <w:color w:val="0000FF"/>
        </w:rPr>
      </w:pPr>
    </w:p>
    <w:p>
      <w:pPr>
        <w:jc w:val="both"/>
        <w:ind w:right="40"/>
        <w:spacing w:after="0" w:line="224" w:lineRule="auto"/>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Form of Registrant’s Common Stock certificate, filed as Exhibit 4.1 of Amendment No. 1 to the Registrant’s Registration</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Statement on Form 10 (Reg. No. 001-33913) as filed with the Securities and Exchange Commission on February 14, 2008, and</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incorporated herein by reference.</w:t>
        </w:r>
      </w:hyperlink>
    </w:p>
    <w:p>
      <w:pPr>
        <w:spacing w:after="0" w:line="136" w:lineRule="exact"/>
        <w:rPr>
          <w:rFonts w:ascii="Arial" w:cs="Arial" w:eastAsia="Arial" w:hAnsi="Arial"/>
          <w:sz w:val="18"/>
          <w:szCs w:val="18"/>
          <w:u w:val="single" w:color="auto"/>
          <w:color w:val="0000FF"/>
        </w:rPr>
      </w:pPr>
    </w:p>
    <w:p>
      <w:pPr>
        <w:jc w:val="both"/>
        <w:ind w:right="40"/>
        <w:spacing w:after="0" w:line="237" w:lineRule="auto"/>
        <w:rPr>
          <w:rFonts w:ascii="Arial" w:cs="Arial" w:eastAsia="Arial" w:hAnsi="Arial"/>
          <w:sz w:val="17"/>
          <w:szCs w:val="17"/>
          <w:u w:val="single" w:color="auto"/>
          <w:color w:val="0000FF"/>
        </w:rPr>
      </w:pPr>
      <w:hyperlink r:id="rId52">
        <w:r>
          <w:rPr>
            <w:rFonts w:ascii="Arial" w:cs="Arial" w:eastAsia="Arial" w:hAnsi="Arial"/>
            <w:sz w:val="17"/>
            <w:szCs w:val="17"/>
            <w:u w:val="single" w:color="auto"/>
            <w:color w:val="0000FF"/>
          </w:rPr>
          <w:t>Credit Agreement dated as of October 18, 2018, by and among the Company; the lenders party thereto; and Wells Fargo Bank,</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National Association, as Agent; filed as Exhibit 10.1 of the Registrant's Current Report on Form 8-K (Reg. No. 001-33913) as</w:t>
        </w:r>
      </w:hyperlink>
      <w:r>
        <w:rPr>
          <w:rFonts w:ascii="Arial" w:cs="Arial" w:eastAsia="Arial" w:hAnsi="Arial"/>
          <w:sz w:val="17"/>
          <w:szCs w:val="17"/>
          <w:u w:val="single" w:color="auto"/>
          <w:color w:val="0000FF"/>
        </w:rPr>
        <w:t xml:space="preserve"> </w:t>
      </w:r>
      <w:hyperlink r:id="rId52">
        <w:r>
          <w:rPr>
            <w:rFonts w:ascii="Arial" w:cs="Arial" w:eastAsia="Arial" w:hAnsi="Arial"/>
            <w:sz w:val="17"/>
            <w:szCs w:val="17"/>
            <w:u w:val="single" w:color="auto"/>
            <w:color w:val="0000FF"/>
          </w:rPr>
          <w:t>filed with the Securities and Exchange Commission on October 18, 2018, and incorporated herein by reference.</w:t>
        </w:r>
      </w:hyperlink>
    </w:p>
    <w:p>
      <w:pPr>
        <w:spacing w:after="0" w:line="133" w:lineRule="exact"/>
        <w:rPr>
          <w:rFonts w:ascii="Arial" w:cs="Arial" w:eastAsia="Arial" w:hAnsi="Arial"/>
          <w:sz w:val="17"/>
          <w:szCs w:val="17"/>
          <w:u w:val="single" w:color="auto"/>
          <w:color w:val="0000FF"/>
        </w:rPr>
      </w:pPr>
    </w:p>
    <w:p>
      <w:pPr>
        <w:sectPr>
          <w:pgSz w:w="11900" w:h="16838" w:orient="portrait"/>
          <w:cols w:equalWidth="0" w:num="2">
            <w:col w:w="1140" w:space="720"/>
            <w:col w:w="9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860" w:type="dxa"/>
            <w:vAlign w:val="bottom"/>
          </w:tcPr>
          <w:p>
            <w:pPr>
              <w:jc w:val="center"/>
              <w:ind w:right="10"/>
              <w:spacing w:after="0"/>
              <w:rPr>
                <w:rFonts w:ascii="Arial" w:cs="Arial" w:eastAsia="Arial" w:hAnsi="Arial"/>
                <w:sz w:val="18"/>
                <w:szCs w:val="18"/>
                <w:u w:val="single" w:color="auto"/>
                <w:color w:val="0000FF"/>
                <w:w w:val="95"/>
              </w:rPr>
            </w:pPr>
            <w:hyperlink r:id="rId53">
              <w:r>
                <w:rPr>
                  <w:rFonts w:ascii="Arial" w:cs="Arial" w:eastAsia="Arial" w:hAnsi="Arial"/>
                  <w:sz w:val="18"/>
                  <w:szCs w:val="18"/>
                  <w:u w:val="single" w:color="auto"/>
                  <w:color w:val="0000FF"/>
                  <w:w w:val="95"/>
                </w:rPr>
                <w:t>4.3</w:t>
              </w:r>
            </w:hyperlink>
          </w:p>
        </w:tc>
        <w:tc>
          <w:tcPr>
            <w:tcW w:w="9380" w:type="dxa"/>
            <w:vAlign w:val="bottom"/>
            <w:gridSpan w:val="4"/>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Amendment No. 1 to Amended and Restated Credit Agreement, by and among the Company; the lenders party thereto; and Wells</w:t>
              </w:r>
            </w:hyperlink>
          </w:p>
        </w:tc>
      </w:tr>
      <w:tr>
        <w:trPr>
          <w:trHeight w:val="155"/>
        </w:trPr>
        <w:tc>
          <w:tcPr>
            <w:tcW w:w="18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Fargo Bank, National Association, as Agent (portions redacted). filed as Exhibit 4.3 of the Registrant's Quarterly Report on Form</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860" w:type="dxa"/>
            <w:vAlign w:val="bottom"/>
          </w:tcPr>
          <w:p>
            <w:pPr>
              <w:spacing w:after="0"/>
              <w:rPr>
                <w:sz w:val="13"/>
                <w:szCs w:val="13"/>
                <w:color w:val="auto"/>
              </w:rPr>
            </w:pPr>
          </w:p>
        </w:tc>
        <w:tc>
          <w:tcPr>
            <w:tcW w:w="9360" w:type="dxa"/>
            <w:vAlign w:val="bottom"/>
            <w:gridSpan w:val="3"/>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10-Q (Reg. No. 001-33913) for the quarter ended July 31, 2020, and incorporated herein by reference</w:t>
              </w:r>
              <w:r>
                <w:rPr>
                  <w:rFonts w:ascii="Arial" w:cs="Arial" w:eastAsia="Arial" w:hAnsi="Arial"/>
                  <w:sz w:val="18"/>
                  <w:szCs w:val="18"/>
                  <w:color w:val="000000"/>
                </w:rPr>
                <w:t>.</w:t>
              </w:r>
            </w:hyperlink>
          </w:p>
        </w:tc>
        <w:tc>
          <w:tcPr>
            <w:tcW w:w="20" w:type="dxa"/>
            <w:vAlign w:val="bottom"/>
          </w:tcPr>
          <w:p>
            <w:pPr>
              <w:spacing w:after="0"/>
              <w:rPr>
                <w:sz w:val="13"/>
                <w:szCs w:val="13"/>
                <w:color w:val="auto"/>
              </w:rPr>
            </w:pPr>
          </w:p>
        </w:tc>
      </w:tr>
      <w:tr>
        <w:trPr>
          <w:trHeight w:val="304"/>
        </w:trPr>
        <w:tc>
          <w:tcPr>
            <w:tcW w:w="1860" w:type="dxa"/>
            <w:vAlign w:val="bottom"/>
          </w:tcPr>
          <w:p>
            <w:pPr>
              <w:jc w:val="center"/>
              <w:ind w:right="10"/>
              <w:spacing w:after="0"/>
              <w:rPr>
                <w:rFonts w:ascii="Arial" w:cs="Arial" w:eastAsia="Arial" w:hAnsi="Arial"/>
                <w:sz w:val="18"/>
                <w:szCs w:val="18"/>
                <w:u w:val="single" w:color="auto"/>
                <w:color w:val="0000FF"/>
                <w:w w:val="95"/>
              </w:rPr>
            </w:pPr>
            <w:hyperlink w:anchor="page35">
              <w:r>
                <w:rPr>
                  <w:rFonts w:ascii="Arial" w:cs="Arial" w:eastAsia="Arial" w:hAnsi="Arial"/>
                  <w:sz w:val="18"/>
                  <w:szCs w:val="18"/>
                  <w:u w:val="single" w:color="auto"/>
                  <w:color w:val="0000FF"/>
                  <w:w w:val="95"/>
                </w:rPr>
                <w:t>*31.1</w:t>
              </w:r>
            </w:hyperlink>
          </w:p>
        </w:tc>
        <w:tc>
          <w:tcPr>
            <w:tcW w:w="7320" w:type="dxa"/>
            <w:vAlign w:val="bottom"/>
            <w:tcBorders>
              <w:top w:val="single" w:sz="8" w:color="0000FF"/>
            </w:tcBorders>
          </w:tcPr>
          <w:p>
            <w:pPr>
              <w:spacing w:after="0"/>
              <w:rPr>
                <w:rFonts w:ascii="Arial" w:cs="Arial" w:eastAsia="Arial" w:hAnsi="Arial"/>
                <w:sz w:val="18"/>
                <w:szCs w:val="18"/>
                <w:color w:val="0000FF"/>
              </w:rPr>
            </w:pPr>
            <w:hyperlink w:anchor="page35">
              <w:r>
                <w:rPr>
                  <w:rFonts w:ascii="Arial" w:cs="Arial" w:eastAsia="Arial" w:hAnsi="Arial"/>
                  <w:sz w:val="18"/>
                  <w:szCs w:val="18"/>
                  <w:u w:val="single" w:color="auto"/>
                  <w:color w:val="0000FF"/>
                </w:rPr>
                <w:t>Certification by chief executive officer pursuant to Rule 13a-14(a)/15d-14(a)</w:t>
              </w:r>
              <w:r>
                <w:rPr>
                  <w:rFonts w:ascii="Arial" w:cs="Arial" w:eastAsia="Arial" w:hAnsi="Arial"/>
                  <w:sz w:val="18"/>
                  <w:szCs w:val="18"/>
                  <w:color w:val="0000FF"/>
                </w:rPr>
                <w:t>.</w:t>
              </w:r>
            </w:hyperlink>
          </w:p>
        </w:tc>
        <w:tc>
          <w:tcPr>
            <w:tcW w:w="2060" w:type="dxa"/>
            <w:vAlign w:val="bottom"/>
            <w:gridSpan w:val="3"/>
          </w:tcPr>
          <w:p>
            <w:pPr>
              <w:spacing w:after="0"/>
              <w:rPr>
                <w:sz w:val="24"/>
                <w:szCs w:val="24"/>
                <w:color w:val="auto"/>
              </w:rPr>
            </w:pPr>
          </w:p>
        </w:tc>
      </w:tr>
      <w:tr>
        <w:trPr>
          <w:trHeight w:val="283"/>
        </w:trPr>
        <w:tc>
          <w:tcPr>
            <w:tcW w:w="1860" w:type="dxa"/>
            <w:vAlign w:val="bottom"/>
          </w:tcPr>
          <w:p>
            <w:pPr>
              <w:jc w:val="center"/>
              <w:ind w:right="10"/>
              <w:spacing w:after="0"/>
              <w:rPr>
                <w:rFonts w:ascii="Arial" w:cs="Arial" w:eastAsia="Arial" w:hAnsi="Arial"/>
                <w:sz w:val="18"/>
                <w:szCs w:val="18"/>
                <w:u w:val="single" w:color="auto"/>
                <w:color w:val="0000FF"/>
                <w:w w:val="95"/>
              </w:rPr>
            </w:pPr>
            <w:hyperlink w:anchor="page36">
              <w:r>
                <w:rPr>
                  <w:rFonts w:ascii="Arial" w:cs="Arial" w:eastAsia="Arial" w:hAnsi="Arial"/>
                  <w:sz w:val="18"/>
                  <w:szCs w:val="18"/>
                  <w:u w:val="single" w:color="auto"/>
                  <w:color w:val="0000FF"/>
                  <w:w w:val="95"/>
                </w:rPr>
                <w:t>*31.2</w:t>
              </w:r>
            </w:hyperlink>
          </w:p>
        </w:tc>
        <w:tc>
          <w:tcPr>
            <w:tcW w:w="9380" w:type="dxa"/>
            <w:vAlign w:val="bottom"/>
            <w:gridSpan w:val="4"/>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Certification by chief financial officer pursuant to Rule 13a-14(a)/15d-14(a).</w:t>
              </w:r>
            </w:hyperlink>
          </w:p>
        </w:tc>
      </w:tr>
      <w:tr>
        <w:trPr>
          <w:trHeight w:val="283"/>
        </w:trPr>
        <w:tc>
          <w:tcPr>
            <w:tcW w:w="1860" w:type="dxa"/>
            <w:vAlign w:val="bottom"/>
          </w:tcPr>
          <w:p>
            <w:pPr>
              <w:jc w:val="center"/>
              <w:ind w:right="10"/>
              <w:spacing w:after="0"/>
              <w:rPr>
                <w:rFonts w:ascii="Arial" w:cs="Arial" w:eastAsia="Arial" w:hAnsi="Arial"/>
                <w:sz w:val="18"/>
                <w:szCs w:val="18"/>
                <w:u w:val="single" w:color="auto"/>
                <w:color w:val="0000FF"/>
                <w:w w:val="95"/>
              </w:rPr>
            </w:pPr>
            <w:hyperlink w:anchor="page37">
              <w:r>
                <w:rPr>
                  <w:rFonts w:ascii="Arial" w:cs="Arial" w:eastAsia="Arial" w:hAnsi="Arial"/>
                  <w:sz w:val="18"/>
                  <w:szCs w:val="18"/>
                  <w:u w:val="single" w:color="auto"/>
                  <w:color w:val="0000FF"/>
                  <w:w w:val="95"/>
                </w:rPr>
                <w:t>*32.1</w:t>
              </w:r>
            </w:hyperlink>
          </w:p>
        </w:tc>
        <w:tc>
          <w:tcPr>
            <w:tcW w:w="9380" w:type="dxa"/>
            <w:vAlign w:val="bottom"/>
            <w:gridSpan w:val="4"/>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Certification pursuant to Section 906 of the Sarbanes-Oxley Act of 2002.</w:t>
              </w:r>
            </w:hyperlink>
          </w:p>
        </w:tc>
      </w:tr>
      <w:tr>
        <w:trPr>
          <w:trHeight w:val="229"/>
        </w:trPr>
        <w:tc>
          <w:tcPr>
            <w:tcW w:w="1860" w:type="dxa"/>
            <w:vAlign w:val="bottom"/>
          </w:tcPr>
          <w:p>
            <w:pPr>
              <w:jc w:val="center"/>
              <w:ind w:right="10"/>
              <w:spacing w:after="0"/>
              <w:rPr>
                <w:sz w:val="20"/>
                <w:szCs w:val="20"/>
                <w:color w:val="auto"/>
              </w:rPr>
            </w:pPr>
            <w:r>
              <w:rPr>
                <w:rFonts w:ascii="Arial" w:cs="Arial" w:eastAsia="Arial" w:hAnsi="Arial"/>
                <w:sz w:val="18"/>
                <w:szCs w:val="18"/>
                <w:color w:val="auto"/>
                <w:w w:val="94"/>
              </w:rPr>
              <w:t>*101.INS</w:t>
            </w:r>
          </w:p>
        </w:tc>
        <w:tc>
          <w:tcPr>
            <w:tcW w:w="9380" w:type="dxa"/>
            <w:vAlign w:val="bottom"/>
            <w:gridSpan w:val="4"/>
          </w:tcPr>
          <w:p>
            <w:pPr>
              <w:spacing w:after="0"/>
              <w:rPr>
                <w:sz w:val="20"/>
                <w:szCs w:val="20"/>
                <w:color w:val="auto"/>
              </w:rPr>
            </w:pPr>
            <w:r>
              <w:rPr>
                <w:rFonts w:ascii="Arial" w:cs="Arial" w:eastAsia="Arial" w:hAnsi="Arial"/>
                <w:sz w:val="18"/>
                <w:szCs w:val="18"/>
                <w:color w:val="auto"/>
                <w:w w:val="96"/>
              </w:rPr>
              <w:t>XBRL Instance Document - the instance document does not appear in the Interactive Data File because its XBRL tags are</w:t>
            </w:r>
          </w:p>
        </w:tc>
      </w:tr>
      <w:tr>
        <w:trPr>
          <w:trHeight w:val="230"/>
        </w:trPr>
        <w:tc>
          <w:tcPr>
            <w:tcW w:w="1860" w:type="dxa"/>
            <w:vAlign w:val="bottom"/>
          </w:tcPr>
          <w:p>
            <w:pPr>
              <w:spacing w:after="0"/>
              <w:rPr>
                <w:sz w:val="20"/>
                <w:szCs w:val="20"/>
                <w:color w:val="auto"/>
              </w:rPr>
            </w:pPr>
          </w:p>
        </w:tc>
        <w:tc>
          <w:tcPr>
            <w:tcW w:w="938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860" w:type="dxa"/>
            <w:vAlign w:val="bottom"/>
          </w:tcPr>
          <w:p>
            <w:pPr>
              <w:jc w:val="center"/>
              <w:ind w:right="10"/>
              <w:spacing w:after="0"/>
              <w:rPr>
                <w:sz w:val="20"/>
                <w:szCs w:val="20"/>
                <w:color w:val="auto"/>
              </w:rPr>
            </w:pPr>
            <w:r>
              <w:rPr>
                <w:rFonts w:ascii="Arial" w:cs="Arial" w:eastAsia="Arial" w:hAnsi="Arial"/>
                <w:sz w:val="18"/>
                <w:szCs w:val="18"/>
                <w:color w:val="auto"/>
                <w:w w:val="94"/>
              </w:rPr>
              <w:t>*101.SCH</w:t>
            </w:r>
          </w:p>
        </w:tc>
        <w:tc>
          <w:tcPr>
            <w:tcW w:w="938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1860" w:type="dxa"/>
            <w:vAlign w:val="bottom"/>
          </w:tcPr>
          <w:p>
            <w:pPr>
              <w:jc w:val="center"/>
              <w:ind w:right="10"/>
              <w:spacing w:after="0"/>
              <w:rPr>
                <w:sz w:val="20"/>
                <w:szCs w:val="20"/>
                <w:color w:val="auto"/>
              </w:rPr>
            </w:pPr>
            <w:r>
              <w:rPr>
                <w:rFonts w:ascii="Arial" w:cs="Arial" w:eastAsia="Arial" w:hAnsi="Arial"/>
                <w:sz w:val="18"/>
                <w:szCs w:val="18"/>
                <w:color w:val="auto"/>
                <w:w w:val="98"/>
              </w:rPr>
              <w:t>*101.CAL</w:t>
            </w:r>
          </w:p>
        </w:tc>
        <w:tc>
          <w:tcPr>
            <w:tcW w:w="938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860" w:type="dxa"/>
            <w:vAlign w:val="bottom"/>
          </w:tcPr>
          <w:p>
            <w:pPr>
              <w:jc w:val="center"/>
              <w:ind w:right="10"/>
              <w:spacing w:after="0"/>
              <w:rPr>
                <w:sz w:val="20"/>
                <w:szCs w:val="20"/>
                <w:color w:val="auto"/>
              </w:rPr>
            </w:pPr>
            <w:r>
              <w:rPr>
                <w:rFonts w:ascii="Arial" w:cs="Arial" w:eastAsia="Arial" w:hAnsi="Arial"/>
                <w:sz w:val="18"/>
                <w:szCs w:val="18"/>
                <w:color w:val="auto"/>
                <w:w w:val="97"/>
              </w:rPr>
              <w:t>*101.DEF</w:t>
            </w:r>
          </w:p>
        </w:tc>
        <w:tc>
          <w:tcPr>
            <w:tcW w:w="938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860" w:type="dxa"/>
            <w:vAlign w:val="bottom"/>
          </w:tcPr>
          <w:p>
            <w:pPr>
              <w:jc w:val="center"/>
              <w:ind w:right="10"/>
              <w:spacing w:after="0"/>
              <w:rPr>
                <w:sz w:val="20"/>
                <w:szCs w:val="20"/>
                <w:color w:val="auto"/>
              </w:rPr>
            </w:pPr>
            <w:r>
              <w:rPr>
                <w:rFonts w:ascii="Arial" w:cs="Arial" w:eastAsia="Arial" w:hAnsi="Arial"/>
                <w:sz w:val="18"/>
                <w:szCs w:val="18"/>
                <w:color w:val="auto"/>
                <w:w w:val="99"/>
              </w:rPr>
              <w:t>*101.LAB</w:t>
            </w:r>
          </w:p>
        </w:tc>
        <w:tc>
          <w:tcPr>
            <w:tcW w:w="938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860" w:type="dxa"/>
            <w:vAlign w:val="bottom"/>
          </w:tcPr>
          <w:p>
            <w:pPr>
              <w:jc w:val="center"/>
              <w:ind w:right="10"/>
              <w:spacing w:after="0"/>
              <w:rPr>
                <w:sz w:val="20"/>
                <w:szCs w:val="20"/>
                <w:color w:val="auto"/>
              </w:rPr>
            </w:pPr>
            <w:r>
              <w:rPr>
                <w:rFonts w:ascii="Arial" w:cs="Arial" w:eastAsia="Arial" w:hAnsi="Arial"/>
                <w:sz w:val="18"/>
                <w:szCs w:val="18"/>
                <w:color w:val="auto"/>
                <w:w w:val="91"/>
              </w:rPr>
              <w:t>*101.PRE</w:t>
            </w:r>
          </w:p>
        </w:tc>
        <w:tc>
          <w:tcPr>
            <w:tcW w:w="938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13"/>
        </w:trPr>
        <w:tc>
          <w:tcPr>
            <w:tcW w:w="1860" w:type="dxa"/>
            <w:vAlign w:val="bottom"/>
          </w:tcPr>
          <w:p>
            <w:pPr>
              <w:spacing w:after="0"/>
              <w:rPr>
                <w:sz w:val="20"/>
                <w:szCs w:val="20"/>
                <w:color w:val="auto"/>
              </w:rPr>
            </w:pPr>
            <w:r>
              <w:rPr>
                <w:rFonts w:ascii="Arial" w:cs="Arial" w:eastAsia="Arial" w:hAnsi="Arial"/>
                <w:sz w:val="18"/>
                <w:szCs w:val="18"/>
                <w:color w:val="auto"/>
              </w:rPr>
              <w:t>* Filed herewith</w:t>
            </w:r>
          </w:p>
        </w:tc>
        <w:tc>
          <w:tcPr>
            <w:tcW w:w="7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permitted by Item 601(b)(4)(iii)(A) of Regulation S-K, the Registrant has not filed with this Quarterly Report on Form 10-Q certain instruments defining the rights of holders of long-term debt of the Registrant and its subsidiaries because the total amount of securities authorized under any of such instruments does not exceed 10% of the total assets of the Registrant and its subsidiaries on a consolidated basis. The Registrant agrees to furnish a copy of any such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type w:val="continuous"/>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George L. Wilson, certify that:</w:t>
      </w:r>
    </w:p>
    <w:p>
      <w:pPr>
        <w:spacing w:after="0" w:line="158"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George 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George L. Wilson</w:t>
      </w:r>
    </w:p>
    <w:p>
      <w:pPr>
        <w:ind w:left="40"/>
        <w:spacing w:after="0" w:line="203" w:lineRule="auto"/>
        <w:rPr>
          <w:sz w:val="20"/>
          <w:szCs w:val="20"/>
          <w:color w:val="auto"/>
        </w:rPr>
      </w:pPr>
      <w:r>
        <w:rPr>
          <w:rFonts w:ascii="Arial" w:cs="Arial" w:eastAsia="Arial" w:hAnsi="Arial"/>
          <w:sz w:val="18"/>
          <w:szCs w:val="18"/>
          <w:color w:val="auto"/>
        </w:rPr>
        <w:t>President and Chief Executive Officer</w:t>
      </w: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 Scott M. Zuehlke, certify that:</w:t>
      </w:r>
    </w:p>
    <w:p>
      <w:pPr>
        <w:spacing w:after="0" w:line="15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Quanex Building Products Corporation (the “Registrant”);</w:t>
      </w:r>
    </w:p>
    <w:p>
      <w:pPr>
        <w:spacing w:after="0" w:line="15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1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4" w:lineRule="exact"/>
        <w:rPr>
          <w:rFonts w:ascii="Arial" w:cs="Arial" w:eastAsia="Arial" w:hAnsi="Arial"/>
          <w:sz w:val="17"/>
          <w:szCs w:val="17"/>
          <w:color w:val="auto"/>
        </w:rPr>
      </w:pPr>
    </w:p>
    <w:p>
      <w:pPr>
        <w:jc w:val="both"/>
        <w:ind w:left="1620" w:hanging="316"/>
        <w:spacing w:after="0" w:line="263"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1620" w:hanging="316"/>
        <w:spacing w:after="0" w:line="263" w:lineRule="auto"/>
        <w:tabs>
          <w:tab w:leader="none" w:pos="161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left="1620" w:hanging="316"/>
        <w:spacing w:after="0" w:line="286" w:lineRule="auto"/>
        <w:tabs>
          <w:tab w:leader="none" w:pos="16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4" w:lineRule="exact"/>
        <w:rPr>
          <w:rFonts w:ascii="Arial" w:cs="Arial" w:eastAsia="Arial" w:hAnsi="Arial"/>
          <w:sz w:val="17"/>
          <w:szCs w:val="17"/>
          <w:color w:val="auto"/>
        </w:rPr>
      </w:pPr>
    </w:p>
    <w:p>
      <w:pPr>
        <w:ind w:left="980" w:hanging="324"/>
        <w:spacing w:after="0" w:line="342" w:lineRule="auto"/>
        <w:tabs>
          <w:tab w:leader="none" w:pos="9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6" w:lineRule="exact"/>
        <w:rPr>
          <w:rFonts w:ascii="Arial" w:cs="Arial" w:eastAsia="Arial" w:hAnsi="Arial"/>
          <w:sz w:val="16"/>
          <w:szCs w:val="16"/>
          <w:color w:val="auto"/>
        </w:rPr>
      </w:pPr>
    </w:p>
    <w:p>
      <w:pPr>
        <w:ind w:left="1620" w:hanging="316"/>
        <w:spacing w:after="0" w:line="342" w:lineRule="auto"/>
        <w:tabs>
          <w:tab w:leader="none" w:pos="161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6" w:lineRule="exact"/>
        <w:rPr>
          <w:rFonts w:ascii="Arial" w:cs="Arial" w:eastAsia="Arial" w:hAnsi="Arial"/>
          <w:sz w:val="16"/>
          <w:szCs w:val="16"/>
          <w:color w:val="auto"/>
        </w:rPr>
      </w:pPr>
    </w:p>
    <w:p>
      <w:pPr>
        <w:ind w:left="1620" w:hanging="316"/>
        <w:spacing w:after="0" w:line="277" w:lineRule="auto"/>
        <w:tabs>
          <w:tab w:leader="none" w:pos="1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Scott M. Zuehlke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44659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446595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Scott M. Zuehlke</w:t>
      </w:r>
    </w:p>
    <w:p>
      <w:pPr>
        <w:ind w:left="40"/>
        <w:spacing w:after="0" w:line="203" w:lineRule="auto"/>
        <w:rPr>
          <w:sz w:val="20"/>
          <w:szCs w:val="20"/>
          <w:color w:val="auto"/>
        </w:rPr>
      </w:pPr>
      <w:r>
        <w:rPr>
          <w:rFonts w:ascii="Arial" w:cs="Arial" w:eastAsia="Arial" w:hAnsi="Arial"/>
          <w:sz w:val="18"/>
          <w:szCs w:val="18"/>
          <w:color w:val="auto"/>
        </w:rPr>
        <w:t>Senior Vice President - Chief Financial Officer and Treasurer</w:t>
      </w: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48"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hereby certify that the accompanying Quarterly Report on Form 10-Q of Quanex Building Products Corporation for the quarter ended January 31, 2021 fully complies with the requirements of Section 13(a) or 15(d) of the Securities Exchange Act of 1934 and that information contained in such Report fairly presents, in all material respects, the financial condition and results of operations of Quanex Building Products Corporation.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March 5,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/s/ George L. Wilson</w:t>
            </w:r>
          </w:p>
        </w:tc>
        <w:tc>
          <w:tcPr>
            <w:tcW w:w="5400" w:type="dxa"/>
            <w:vAlign w:val="bottom"/>
          </w:tcPr>
          <w:p>
            <w:pPr>
              <w:jc w:val="center"/>
              <w:spacing w:after="0"/>
              <w:rPr>
                <w:sz w:val="20"/>
                <w:szCs w:val="20"/>
                <w:color w:val="auto"/>
              </w:rPr>
            </w:pPr>
            <w:r>
              <w:rPr>
                <w:rFonts w:ascii="Arial" w:cs="Arial" w:eastAsia="Arial" w:hAnsi="Arial"/>
                <w:sz w:val="18"/>
                <w:szCs w:val="18"/>
                <w:color w:val="auto"/>
                <w:w w:val="93"/>
              </w:rPr>
              <w:t>/s/ Scott M. Zuehlke</w:t>
            </w:r>
          </w:p>
        </w:tc>
      </w:tr>
      <w:tr>
        <w:trPr>
          <w:trHeight w:val="169"/>
        </w:trPr>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George L. Wilson</w:t>
            </w:r>
          </w:p>
        </w:tc>
        <w:tc>
          <w:tcPr>
            <w:tcW w:w="440" w:type="dxa"/>
            <w:vAlign w:val="bottom"/>
          </w:tcPr>
          <w:p>
            <w:pPr>
              <w:spacing w:after="0"/>
              <w:rPr>
                <w:sz w:val="14"/>
                <w:szCs w:val="14"/>
                <w:color w:val="auto"/>
              </w:rPr>
            </w:pPr>
          </w:p>
        </w:tc>
        <w:tc>
          <w:tcPr>
            <w:tcW w:w="54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Scott M. Zuehlke</w:t>
            </w:r>
          </w:p>
        </w:tc>
      </w:tr>
      <w:tr>
        <w:trPr>
          <w:trHeight w:val="176"/>
        </w:trPr>
        <w:tc>
          <w:tcPr>
            <w:tcW w:w="5840" w:type="dxa"/>
            <w:vAlign w:val="bottom"/>
            <w:gridSpan w:val="2"/>
          </w:tcPr>
          <w:p>
            <w:pPr>
              <w:jc w:val="center"/>
              <w:ind w:right="420"/>
              <w:spacing w:after="0" w:line="176" w:lineRule="exact"/>
              <w:rPr>
                <w:sz w:val="20"/>
                <w:szCs w:val="20"/>
                <w:color w:val="auto"/>
              </w:rPr>
            </w:pPr>
            <w:r>
              <w:rPr>
                <w:rFonts w:ascii="Arial" w:cs="Arial" w:eastAsia="Arial" w:hAnsi="Arial"/>
                <w:sz w:val="18"/>
                <w:szCs w:val="18"/>
                <w:i w:val="1"/>
                <w:iCs w:val="1"/>
                <w:color w:val="auto"/>
                <w:w w:val="91"/>
              </w:rPr>
              <w:t>President and Chief Executive Officer</w:t>
            </w:r>
          </w:p>
        </w:tc>
        <w:tc>
          <w:tcPr>
            <w:tcW w:w="54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Senior Vice President—Chief Financial Officer and Treasurer</w:t>
            </w:r>
          </w:p>
        </w:tc>
      </w:tr>
      <w:tr>
        <w:trPr>
          <w:trHeight w:val="230"/>
        </w:trPr>
        <w:tc>
          <w:tcPr>
            <w:tcW w:w="58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4"/>
              </w:rPr>
              <w:t>(Principal Executive Officer)</w:t>
            </w:r>
          </w:p>
        </w:tc>
        <w:tc>
          <w:tcPr>
            <w:tcW w:w="5400" w:type="dxa"/>
            <w:vAlign w:val="bottom"/>
          </w:tcPr>
          <w:p>
            <w:pPr>
              <w:jc w:val="center"/>
              <w:spacing w:after="0"/>
              <w:rPr>
                <w:sz w:val="20"/>
                <w:szCs w:val="20"/>
                <w:color w:val="auto"/>
              </w:rPr>
            </w:pPr>
            <w:r>
              <w:rPr>
                <w:rFonts w:ascii="Arial" w:cs="Arial" w:eastAsia="Arial" w:hAnsi="Arial"/>
                <w:sz w:val="18"/>
                <w:szCs w:val="18"/>
                <w:i w:val="1"/>
                <w:iCs w:val="1"/>
                <w:color w:val="auto"/>
                <w:w w:val="96"/>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49" Type="http://schemas.openxmlformats.org/officeDocument/2006/relationships/hyperlink" Target="http://www.sec.gov/Archives/edgar/data/1423221/000119312516495257/d156158dex31.htm" TargetMode="External"/><Relationship Id="rId50" Type="http://schemas.openxmlformats.org/officeDocument/2006/relationships/hyperlink" Target="http://www.sec.gov/Archives/edgar/data/1423221/000142322120000005/nx01312020ex32.htm" TargetMode="External"/><Relationship Id="rId51" Type="http://schemas.openxmlformats.org/officeDocument/2006/relationships/hyperlink" Target="http://www.sec.gov/Archives/edgar/data/1423221/000095012908000988/h52992a1exv4w1.htm" TargetMode="External"/><Relationship Id="rId52" Type="http://schemas.openxmlformats.org/officeDocument/2006/relationships/hyperlink" Target="http://www.sec.gov/Archives/edgar/data/1423221/000119312518302063/d637291dex101.htm" TargetMode="External"/><Relationship Id="rId53" Type="http://schemas.openxmlformats.org/officeDocument/2006/relationships/hyperlink" Target="http://www.sec.gov/Archives/edgar/data/1423221/000142322120000016/exhibit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2021-03-05T15:59:03Z</dcterms:created>
  <dcterms:modified xsi:type="dcterms:W3CDTF">2021-03-05T15:59:03Z</dcterms:modified>
</cp:coreProperties>
</file>