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414655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5"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spacing w:after="0" w:line="139" w:lineRule="exact"/>
        <w:rPr>
          <w:sz w:val="24"/>
          <w:szCs w:val="24"/>
          <w:color w:val="auto"/>
        </w:rPr>
      </w:pPr>
    </w:p>
    <w:p>
      <w:pPr>
        <w:ind w:left="680" w:hanging="449"/>
        <w:spacing w:after="0"/>
        <w:tabs>
          <w:tab w:leader="none" w:pos="680" w:val="left"/>
        </w:tabs>
        <w:numPr>
          <w:ilvl w:val="0"/>
          <w:numId w:val="1"/>
        </w:numPr>
        <w:rPr>
          <w:rFonts w:ascii="MS PGothic" w:cs="MS PGothic" w:eastAsia="MS PGothic" w:hAnsi="MS PGothic"/>
          <w:sz w:val="25"/>
          <w:szCs w:val="25"/>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July 31, 2023</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680" w:hanging="429"/>
        <w:spacing w:after="0"/>
        <w:tabs>
          <w:tab w:leader="none" w:pos="6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24" w:lineRule="exact"/>
        <w:rPr>
          <w:sz w:val="24"/>
          <w:szCs w:val="24"/>
          <w:color w:val="auto"/>
        </w:rPr>
      </w:pPr>
    </w:p>
    <w:p>
      <w:pPr>
        <w:ind w:left="38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1-33913</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QUANEX BUILDING PRODUCTS CORPORATION</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117" w:lineRule="exact"/>
        <w:rPr>
          <w:sz w:val="24"/>
          <w:szCs w:val="24"/>
          <w:color w:val="auto"/>
        </w:rPr>
      </w:pPr>
    </w:p>
    <w:p>
      <w:pPr>
        <w:ind w:left="2460"/>
        <w:spacing w:after="0"/>
        <w:tabs>
          <w:tab w:leader="none" w:pos="804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26-1561397</w:t>
      </w:r>
    </w:p>
    <w:p>
      <w:pPr>
        <w:spacing w:after="0" w:line="26" w:lineRule="exact"/>
        <w:rPr>
          <w:sz w:val="24"/>
          <w:szCs w:val="24"/>
          <w:color w:val="auto"/>
        </w:rPr>
      </w:pPr>
    </w:p>
    <w:p>
      <w:pPr>
        <w:ind w:left="1900"/>
        <w:spacing w:after="0"/>
        <w:tabs>
          <w:tab w:leader="none" w:pos="790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1860"/>
        <w:spacing w:after="0"/>
        <w:tabs>
          <w:tab w:leader="none" w:pos="786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1800 West Loop South, Suite 1500, Houston, Texas 77027</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(713) 961-4600</w:t>
      </w:r>
    </w:p>
    <w:p>
      <w:pPr>
        <w:spacing w:after="0" w:line="2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80" w:type="dxa"/>
            <w:vAlign w:val="bottom"/>
            <w:gridSpan w:val="2"/>
          </w:tcPr>
          <w:p>
            <w:pPr>
              <w:jc w:val="center"/>
              <w:ind w:right="1640"/>
              <w:spacing w:after="0"/>
              <w:rPr>
                <w:sz w:val="20"/>
                <w:szCs w:val="20"/>
                <w:color w:val="auto"/>
              </w:rPr>
            </w:pPr>
            <w:r>
              <w:rPr>
                <w:rFonts w:ascii="Arial" w:cs="Arial" w:eastAsia="Arial" w:hAnsi="Arial"/>
                <w:sz w:val="14"/>
                <w:szCs w:val="14"/>
                <w:b w:val="1"/>
                <w:bCs w:val="1"/>
                <w:color w:val="auto"/>
                <w:w w:val="92"/>
              </w:rPr>
              <w:t>Trading Symbol(s)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64"/>
        </w:trPr>
        <w:tc>
          <w:tcPr>
            <w:tcW w:w="3880" w:type="dxa"/>
            <w:vAlign w:val="bottom"/>
            <w:gridSpan w:val="3"/>
          </w:tcPr>
          <w:p>
            <w:pPr>
              <w:jc w:val="center"/>
              <w:ind w:right="860"/>
              <w:spacing w:after="0"/>
              <w:rPr>
                <w:sz w:val="20"/>
                <w:szCs w:val="20"/>
                <w:color w:val="auto"/>
              </w:rPr>
            </w:pPr>
            <w:r>
              <w:rPr>
                <w:rFonts w:ascii="Arial" w:cs="Arial" w:eastAsia="Arial" w:hAnsi="Arial"/>
                <w:sz w:val="18"/>
                <w:szCs w:val="18"/>
                <w:color w:val="auto"/>
                <w:w w:val="89"/>
              </w:rPr>
              <w:t>Common Stock, par value $0.01 per share</w:t>
            </w:r>
          </w:p>
        </w:tc>
        <w:tc>
          <w:tcPr>
            <w:tcW w:w="860" w:type="dxa"/>
            <w:vAlign w:val="bottom"/>
          </w:tcPr>
          <w:p>
            <w:pPr>
              <w:spacing w:after="0"/>
              <w:rPr>
                <w:sz w:val="22"/>
                <w:szCs w:val="22"/>
                <w:color w:val="auto"/>
              </w:rPr>
            </w:pPr>
          </w:p>
        </w:tc>
        <w:tc>
          <w:tcPr>
            <w:tcW w:w="2780" w:type="dxa"/>
            <w:vAlign w:val="bottom"/>
            <w:gridSpan w:val="2"/>
          </w:tcPr>
          <w:p>
            <w:pPr>
              <w:jc w:val="center"/>
              <w:ind w:right="1640"/>
              <w:spacing w:after="0"/>
              <w:rPr>
                <w:sz w:val="20"/>
                <w:szCs w:val="20"/>
                <w:color w:val="auto"/>
              </w:rPr>
            </w:pPr>
            <w:r>
              <w:rPr>
                <w:rFonts w:ascii="Arial" w:cs="Arial" w:eastAsia="Arial" w:hAnsi="Arial"/>
                <w:sz w:val="18"/>
                <w:szCs w:val="18"/>
                <w:color w:val="auto"/>
              </w:rPr>
              <w:t>NX</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4"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87" w:right="339" w:bottom="1440" w:gutter="0" w:footer="0" w:header="0"/>
        </w:sectPr>
      </w:pPr>
    </w:p>
    <w:p>
      <w:pPr>
        <w:spacing w:after="0" w:line="58"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w:t>
      </w:r>
    </w:p>
    <w:p>
      <w:pPr>
        <w:spacing w:after="0" w:line="77"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(Do not check if a smaller reporting company)</w:t>
      </w:r>
      <w:r>
        <w:rPr>
          <w:sz w:val="20"/>
          <w:szCs w:val="20"/>
          <w:color w:val="auto"/>
        </w:rPr>
        <w:tab/>
      </w:r>
      <w:r>
        <w:rPr>
          <w:rFonts w:ascii="Arial" w:cs="Arial" w:eastAsia="Arial" w:hAnsi="Arial"/>
          <w:sz w:val="16"/>
          <w:szCs w:val="16"/>
          <w:color w:val="auto"/>
        </w:rPr>
        <w:t>Smaller reporting company</w:t>
      </w:r>
    </w:p>
    <w:p>
      <w:pPr>
        <w:spacing w:after="0" w:line="29"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Emerging growth company</w:t>
      </w:r>
    </w:p>
    <w:p>
      <w:pPr>
        <w:spacing w:after="0" w:line="7" w:lineRule="exact"/>
        <w:rPr>
          <w:sz w:val="24"/>
          <w:szCs w:val="24"/>
          <w:color w:val="auto"/>
        </w:rPr>
      </w:pPr>
    </w:p>
    <w:p>
      <w:pPr>
        <w:ind w:left="40"/>
        <w:spacing w:after="0" w:line="23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Securities Act.</w:t>
      </w:r>
    </w:p>
    <w:p>
      <w:pPr>
        <w:spacing w:after="0" w:line="50" w:lineRule="exact"/>
        <w:rPr>
          <w:sz w:val="24"/>
          <w:szCs w:val="24"/>
          <w:color w:val="auto"/>
        </w:rPr>
      </w:pPr>
    </w:p>
    <w:p>
      <w:pPr>
        <w:ind w:right="1260"/>
        <w:spacing w:after="0" w:line="25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outstanding of the registrant's Common Stock as of August 24, 2023 was 32,986,332.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740" w:space="140"/>
            <w:col w:w="360"/>
          </w:cols>
          <w:pgMar w:left="320" w:top="78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880" w:type="dxa"/>
            <w:vAlign w:val="bottom"/>
            <w:gridSpan w:val="9"/>
          </w:tcPr>
          <w:p>
            <w:pPr>
              <w:jc w:val="center"/>
              <w:ind w:right="960"/>
              <w:spacing w:after="0"/>
              <w:rPr>
                <w:sz w:val="20"/>
                <w:szCs w:val="20"/>
                <w:color w:val="auto"/>
              </w:rPr>
            </w:pPr>
            <w:r>
              <w:rPr>
                <w:rFonts w:ascii="Arial" w:cs="Arial" w:eastAsia="Arial" w:hAnsi="Arial"/>
                <w:sz w:val="18"/>
                <w:szCs w:val="18"/>
                <w:b w:val="1"/>
                <w:bCs w:val="1"/>
                <w:color w:val="auto"/>
              </w:rPr>
              <w:t>QUANEX BUILDING PRODUCTS CORPORATION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300" w:type="dxa"/>
            <w:vAlign w:val="bottom"/>
            <w:gridSpan w:val="8"/>
          </w:tcPr>
          <w:p>
            <w:pPr>
              <w:jc w:val="center"/>
              <w:ind w:right="3520"/>
              <w:spacing w:after="0"/>
              <w:rPr>
                <w:sz w:val="20"/>
                <w:szCs w:val="20"/>
                <w:color w:val="auto"/>
              </w:rPr>
            </w:pPr>
            <w:r>
              <w:rPr>
                <w:rFonts w:ascii="Arial" w:cs="Arial" w:eastAsia="Arial" w:hAnsi="Arial"/>
                <w:sz w:val="18"/>
                <w:szCs w:val="18"/>
                <w:b w:val="1"/>
                <w:bCs w:val="1"/>
                <w:color w:val="auto"/>
              </w:rPr>
              <w:t>INDEX</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60" w:type="dxa"/>
            <w:vAlign w:val="bottom"/>
          </w:tcPr>
          <w:p>
            <w:pPr>
              <w:ind w:left="20"/>
              <w:spacing w:after="0"/>
              <w:rPr>
                <w:sz w:val="20"/>
                <w:szCs w:val="20"/>
                <w:color w:val="auto"/>
              </w:rPr>
            </w:pPr>
            <w:r>
              <w:rPr>
                <w:rFonts w:ascii="Arial" w:cs="Arial" w:eastAsia="Arial" w:hAnsi="Arial"/>
                <w:sz w:val="18"/>
                <w:szCs w:val="18"/>
                <w:color w:val="auto"/>
              </w:rPr>
              <w:t>PART I.</w:t>
            </w:r>
          </w:p>
        </w:tc>
        <w:tc>
          <w:tcPr>
            <w:tcW w:w="9880" w:type="dxa"/>
            <w:vAlign w:val="bottom"/>
            <w:gridSpan w:val="9"/>
          </w:tcPr>
          <w:p>
            <w:pPr>
              <w:spacing w:after="0"/>
              <w:rPr>
                <w:sz w:val="20"/>
                <w:szCs w:val="20"/>
                <w:color w:val="auto"/>
              </w:rPr>
            </w:pPr>
            <w:r>
              <w:rPr>
                <w:rFonts w:ascii="Arial" w:cs="Arial" w:eastAsia="Arial" w:hAnsi="Arial"/>
                <w:sz w:val="18"/>
                <w:szCs w:val="18"/>
                <w:color w:val="0000FF"/>
              </w:rPr>
              <w:t>FINANCIAL INFORMATION</w:t>
            </w:r>
          </w:p>
        </w:tc>
        <w:tc>
          <w:tcPr>
            <w:tcW w:w="180" w:type="dxa"/>
            <w:vAlign w:val="bottom"/>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Item 1:</w:t>
            </w:r>
          </w:p>
        </w:tc>
        <w:tc>
          <w:tcPr>
            <w:tcW w:w="9880" w:type="dxa"/>
            <w:vAlign w:val="bottom"/>
            <w:gridSpan w:val="9"/>
            <w:vMerge w:val="restart"/>
          </w:tcPr>
          <w:p>
            <w:pPr>
              <w:spacing w:after="0"/>
              <w:rPr>
                <w:sz w:val="20"/>
                <w:szCs w:val="20"/>
                <w:color w:val="auto"/>
              </w:rPr>
            </w:pPr>
            <w:r>
              <w:rPr>
                <w:rFonts w:ascii="Arial" w:cs="Arial" w:eastAsia="Arial" w:hAnsi="Arial"/>
                <w:sz w:val="18"/>
                <w:szCs w:val="18"/>
                <w:b w:val="1"/>
                <w:bCs w:val="1"/>
                <w:color w:val="0000FF"/>
              </w:rPr>
              <w:t>Financial Statements (Unaudited)</w:t>
            </w: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60" w:type="dxa"/>
            <w:vAlign w:val="bottom"/>
            <w:vMerge w:val="continue"/>
          </w:tcPr>
          <w:p>
            <w:pPr>
              <w:spacing w:after="0"/>
              <w:rPr>
                <w:sz w:val="24"/>
                <w:szCs w:val="24"/>
                <w:color w:val="auto"/>
              </w:rPr>
            </w:pPr>
          </w:p>
        </w:tc>
        <w:tc>
          <w:tcPr>
            <w:tcW w:w="9880" w:type="dxa"/>
            <w:vAlign w:val="bottom"/>
            <w:gridSpan w:val="9"/>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5700" w:type="dxa"/>
            <w:vAlign w:val="bottom"/>
            <w:gridSpan w:val="4"/>
          </w:tcPr>
          <w:p>
            <w:pPr>
              <w:spacing w:after="0"/>
              <w:rPr>
                <w:sz w:val="20"/>
                <w:szCs w:val="20"/>
                <w:color w:val="auto"/>
              </w:rPr>
            </w:pPr>
            <w:r>
              <w:rPr>
                <w:rFonts w:ascii="Arial" w:cs="Arial" w:eastAsia="Arial" w:hAnsi="Arial"/>
                <w:sz w:val="18"/>
                <w:szCs w:val="18"/>
                <w:color w:val="0E32E1"/>
                <w:w w:val="88"/>
              </w:rPr>
              <w:t>Condensed Consolidated Balance Sheets – July 31, 2023 and October 31, 2022</w:t>
            </w:r>
          </w:p>
        </w:tc>
        <w:tc>
          <w:tcPr>
            <w:tcW w:w="4180" w:type="dxa"/>
            <w:vAlign w:val="bottom"/>
            <w:gridSpan w:val="5"/>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0E32E1"/>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gridSpan w:val="2"/>
            <w:shd w:val="clear" w:color="auto" w:fill="0E32E1"/>
          </w:tcPr>
          <w:p>
            <w:pPr>
              <w:spacing w:after="0" w:line="20" w:lineRule="exact"/>
              <w:rPr>
                <w:sz w:val="1"/>
                <w:szCs w:val="1"/>
                <w:color w:val="auto"/>
              </w:rPr>
            </w:pPr>
          </w:p>
        </w:tc>
        <w:tc>
          <w:tcPr>
            <w:tcW w:w="160" w:type="dxa"/>
            <w:vAlign w:val="bottom"/>
            <w:tcBorders>
              <w:right w:val="single" w:sz="8" w:color="0E32E1"/>
            </w:tcBorders>
            <w:shd w:val="clear" w:color="auto" w:fill="0E32E1"/>
          </w:tcPr>
          <w:p>
            <w:pPr>
              <w:spacing w:after="0" w:line="20" w:lineRule="exact"/>
              <w:rPr>
                <w:sz w:val="1"/>
                <w:szCs w:val="1"/>
                <w:color w:val="auto"/>
              </w:rPr>
            </w:pPr>
          </w:p>
        </w:tc>
        <w:tc>
          <w:tcPr>
            <w:tcW w:w="920" w:type="dxa"/>
            <w:vAlign w:val="bottom"/>
            <w:shd w:val="clear" w:color="auto" w:fill="0E32E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righ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540" w:type="dxa"/>
            <w:vAlign w:val="bottom"/>
            <w:gridSpan w:val="6"/>
          </w:tcPr>
          <w:p>
            <w:pPr>
              <w:spacing w:after="0"/>
              <w:rPr>
                <w:sz w:val="20"/>
                <w:szCs w:val="20"/>
                <w:color w:val="auto"/>
              </w:rPr>
            </w:pPr>
            <w:r>
              <w:rPr>
                <w:rFonts w:ascii="Arial" w:cs="Arial" w:eastAsia="Arial" w:hAnsi="Arial"/>
                <w:sz w:val="18"/>
                <w:szCs w:val="18"/>
                <w:color w:val="0000FF"/>
                <w:w w:val="89"/>
              </w:rPr>
              <w:t>Condensed Consolidated Statements of Income – Three and Nine Months Ended July 31, 2023 and 2022</w:t>
            </w:r>
          </w:p>
        </w:tc>
        <w:tc>
          <w:tcPr>
            <w:tcW w:w="2340" w:type="dxa"/>
            <w:vAlign w:val="bottom"/>
            <w:gridSpan w:val="3"/>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Arial" w:cs="Arial" w:eastAsia="Arial" w:hAnsi="Arial"/>
                <w:sz w:val="18"/>
                <w:szCs w:val="18"/>
                <w:color w:val="0000FF"/>
              </w:rPr>
              <w:t xml:space="preserve">Condensed Consolidated Statements of Comprehensive Income </w:t>
            </w:r>
            <w:r>
              <w:rPr>
                <w:rFonts w:ascii="Arial" w:cs="Arial" w:eastAsia="Arial" w:hAnsi="Arial"/>
                <w:sz w:val="18"/>
                <w:szCs w:val="18"/>
                <w:color w:val="0E32E1"/>
              </w:rPr>
              <w:t>–</w:t>
            </w:r>
            <w:r>
              <w:rPr>
                <w:rFonts w:ascii="Arial" w:cs="Arial" w:eastAsia="Arial" w:hAnsi="Arial"/>
                <w:sz w:val="18"/>
                <w:szCs w:val="18"/>
                <w:color w:val="0000FF"/>
              </w:rPr>
              <w:t xml:space="preserve"> Three and Nine Months Ended July 31, 2023 and 2022</w:t>
            </w:r>
          </w:p>
        </w:tc>
        <w:tc>
          <w:tcPr>
            <w:tcW w:w="180" w:type="dxa"/>
            <w:vAlign w:val="bottom"/>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E32E1"/>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080" w:type="dxa"/>
            <w:vAlign w:val="bottom"/>
            <w:gridSpan w:val="5"/>
          </w:tcPr>
          <w:p>
            <w:pPr>
              <w:spacing w:after="0"/>
              <w:rPr>
                <w:sz w:val="20"/>
                <w:szCs w:val="20"/>
                <w:color w:val="auto"/>
              </w:rPr>
            </w:pPr>
            <w:r>
              <w:rPr>
                <w:rFonts w:ascii="Arial" w:cs="Arial" w:eastAsia="Arial" w:hAnsi="Arial"/>
                <w:sz w:val="18"/>
                <w:szCs w:val="18"/>
                <w:color w:val="0000FF"/>
                <w:w w:val="89"/>
              </w:rPr>
              <w:t>Condensed Consolidated Statements of Cash Flows – Nine Months Ended July 31, 2023 and 2022</w:t>
            </w:r>
          </w:p>
        </w:tc>
        <w:tc>
          <w:tcPr>
            <w:tcW w:w="2800" w:type="dxa"/>
            <w:vAlign w:val="bottom"/>
            <w:gridSpan w:val="4"/>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Arial" w:cs="Arial" w:eastAsia="Arial" w:hAnsi="Arial"/>
                <w:sz w:val="18"/>
                <w:szCs w:val="18"/>
                <w:color w:val="0000FF"/>
              </w:rPr>
              <w:t>Condensed Consolidated Statement of Stockholders’ Equity – Nine Months Ended July 31, 2023 and 2022</w:t>
            </w:r>
          </w:p>
        </w:tc>
        <w:tc>
          <w:tcPr>
            <w:tcW w:w="180" w:type="dxa"/>
            <w:vAlign w:val="bottom"/>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680" w:type="dxa"/>
            <w:vAlign w:val="bottom"/>
            <w:gridSpan w:val="7"/>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2200" w:type="dxa"/>
            <w:vAlign w:val="bottom"/>
            <w:gridSpan w:val="2"/>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tcBorders>
              <w:right w:val="single" w:sz="8" w:color="0000FF"/>
            </w:tcBorders>
            <w:gridSpan w:val="3"/>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6"/>
              </w:rPr>
              <w:t>Item 2:</w:t>
            </w:r>
          </w:p>
        </w:tc>
        <w:tc>
          <w:tcPr>
            <w:tcW w:w="9880" w:type="dxa"/>
            <w:vAlign w:val="bottom"/>
            <w:gridSpan w:val="9"/>
          </w:tcPr>
          <w:p>
            <w:pPr>
              <w:spacing w:after="0"/>
              <w:rPr>
                <w:sz w:val="20"/>
                <w:szCs w:val="20"/>
                <w:color w:val="auto"/>
              </w:rPr>
            </w:pPr>
            <w:r>
              <w:rPr>
                <w:rFonts w:ascii="Arial" w:cs="Arial" w:eastAsia="Arial" w:hAnsi="Arial"/>
                <w:sz w:val="18"/>
                <w:szCs w:val="18"/>
                <w:b w:val="1"/>
                <w:bCs w:val="1"/>
                <w:color w:val="0000FF"/>
              </w:rPr>
              <w:t>Management’s Discussion and Analysis of Financial Condition and Results of Operations</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6"/>
              </w:rPr>
              <w:t>Item 3:</w:t>
            </w:r>
          </w:p>
        </w:tc>
        <w:tc>
          <w:tcPr>
            <w:tcW w:w="9880" w:type="dxa"/>
            <w:vAlign w:val="bottom"/>
            <w:gridSpan w:val="9"/>
          </w:tcPr>
          <w:p>
            <w:pPr>
              <w:spacing w:after="0"/>
              <w:rPr>
                <w:sz w:val="20"/>
                <w:szCs w:val="20"/>
                <w:color w:val="auto"/>
              </w:rPr>
            </w:pPr>
            <w:r>
              <w:rPr>
                <w:rFonts w:ascii="Arial" w:cs="Arial" w:eastAsia="Arial" w:hAnsi="Arial"/>
                <w:sz w:val="18"/>
                <w:szCs w:val="18"/>
                <w:b w:val="1"/>
                <w:bCs w:val="1"/>
                <w:color w:val="0000FF"/>
              </w:rPr>
              <w:t>Quantitative and Qualitative Disclosures About Market Risk</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6"/>
              </w:rPr>
              <w:t>Item 4:</w:t>
            </w:r>
          </w:p>
        </w:tc>
        <w:tc>
          <w:tcPr>
            <w:tcW w:w="9880" w:type="dxa"/>
            <w:vAlign w:val="bottom"/>
            <w:gridSpan w:val="9"/>
          </w:tcPr>
          <w:p>
            <w:pPr>
              <w:spacing w:after="0"/>
              <w:rPr>
                <w:sz w:val="20"/>
                <w:szCs w:val="20"/>
                <w:color w:val="auto"/>
              </w:rPr>
            </w:pPr>
            <w:r>
              <w:rPr>
                <w:rFonts w:ascii="Arial" w:cs="Arial" w:eastAsia="Arial" w:hAnsi="Arial"/>
                <w:sz w:val="18"/>
                <w:szCs w:val="18"/>
                <w:b w:val="1"/>
                <w:bCs w:val="1"/>
                <w:color w:val="0000FF"/>
              </w:rPr>
              <w:t>Controls and Procedures</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20"/>
              <w:spacing w:after="0"/>
              <w:rPr>
                <w:sz w:val="20"/>
                <w:szCs w:val="20"/>
                <w:color w:val="auto"/>
              </w:rPr>
            </w:pPr>
            <w:r>
              <w:rPr>
                <w:rFonts w:ascii="Arial" w:cs="Arial" w:eastAsia="Arial" w:hAnsi="Arial"/>
                <w:sz w:val="18"/>
                <w:szCs w:val="18"/>
                <w:color w:val="auto"/>
              </w:rPr>
              <w:t>PART II.</w:t>
            </w:r>
          </w:p>
        </w:tc>
        <w:tc>
          <w:tcPr>
            <w:tcW w:w="9880" w:type="dxa"/>
            <w:vAlign w:val="bottom"/>
            <w:gridSpan w:val="9"/>
          </w:tcPr>
          <w:p>
            <w:pPr>
              <w:spacing w:after="0"/>
              <w:rPr>
                <w:sz w:val="20"/>
                <w:szCs w:val="20"/>
                <w:color w:val="auto"/>
              </w:rPr>
            </w:pPr>
            <w:r>
              <w:rPr>
                <w:rFonts w:ascii="Arial" w:cs="Arial" w:eastAsia="Arial" w:hAnsi="Arial"/>
                <w:sz w:val="18"/>
                <w:szCs w:val="18"/>
                <w:color w:val="0000FF"/>
              </w:rPr>
              <w:t>OTHER INFORMATION</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5"/>
              </w:rPr>
              <w:t>Item 1A:</w:t>
            </w:r>
          </w:p>
        </w:tc>
        <w:tc>
          <w:tcPr>
            <w:tcW w:w="9880" w:type="dxa"/>
            <w:vAlign w:val="bottom"/>
            <w:gridSpan w:val="9"/>
          </w:tcPr>
          <w:p>
            <w:pPr>
              <w:spacing w:after="0"/>
              <w:rPr>
                <w:sz w:val="20"/>
                <w:szCs w:val="20"/>
                <w:color w:val="auto"/>
              </w:rPr>
            </w:pPr>
            <w:r>
              <w:rPr>
                <w:rFonts w:ascii="Arial" w:cs="Arial" w:eastAsia="Arial" w:hAnsi="Arial"/>
                <w:sz w:val="18"/>
                <w:szCs w:val="18"/>
                <w:b w:val="1"/>
                <w:bCs w:val="1"/>
                <w:color w:val="0000FF"/>
              </w:rPr>
              <w:t>Risk Factors</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6"/>
              </w:rPr>
              <w:t>Item 5:</w:t>
            </w:r>
          </w:p>
        </w:tc>
        <w:tc>
          <w:tcPr>
            <w:tcW w:w="9880" w:type="dxa"/>
            <w:vAlign w:val="bottom"/>
            <w:gridSpan w:val="9"/>
          </w:tcPr>
          <w:p>
            <w:pPr>
              <w:spacing w:after="0"/>
              <w:rPr>
                <w:sz w:val="20"/>
                <w:szCs w:val="20"/>
                <w:color w:val="auto"/>
              </w:rPr>
            </w:pPr>
            <w:r>
              <w:rPr>
                <w:rFonts w:ascii="Arial" w:cs="Arial" w:eastAsia="Arial" w:hAnsi="Arial"/>
                <w:sz w:val="18"/>
                <w:szCs w:val="18"/>
                <w:b w:val="1"/>
                <w:bCs w:val="1"/>
                <w:color w:val="0000FF"/>
              </w:rPr>
              <w:t>Other Information</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6"/>
              </w:rPr>
              <w:t>Item 6:</w:t>
            </w:r>
          </w:p>
        </w:tc>
        <w:tc>
          <w:tcPr>
            <w:tcW w:w="9880" w:type="dxa"/>
            <w:vAlign w:val="bottom"/>
            <w:gridSpan w:val="9"/>
          </w:tcPr>
          <w:p>
            <w:pPr>
              <w:spacing w:after="0"/>
              <w:rPr>
                <w:sz w:val="20"/>
                <w:szCs w:val="20"/>
                <w:color w:val="auto"/>
              </w:rPr>
            </w:pPr>
            <w:r>
              <w:rPr>
                <w:rFonts w:ascii="Arial" w:cs="Arial" w:eastAsia="Arial" w:hAnsi="Arial"/>
                <w:sz w:val="18"/>
                <w:szCs w:val="18"/>
                <w:b w:val="1"/>
                <w:bCs w:val="1"/>
                <w:color w:val="0000FF"/>
              </w:rPr>
              <w:t>Exhibits</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2"/>
        </w:trPr>
        <w:tc>
          <w:tcPr>
            <w:tcW w:w="11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31,</w:t>
            </w:r>
          </w:p>
        </w:tc>
        <w:tc>
          <w:tcPr>
            <w:tcW w:w="300" w:type="dxa"/>
            <w:vAlign w:val="bottom"/>
          </w:tcPr>
          <w:p>
            <w:pPr>
              <w:spacing w:after="0"/>
              <w:rPr>
                <w:sz w:val="14"/>
                <w:szCs w:val="14"/>
                <w:color w:val="auto"/>
              </w:rPr>
            </w:pPr>
          </w:p>
        </w:tc>
        <w:tc>
          <w:tcPr>
            <w:tcW w:w="1140" w:type="dxa"/>
            <w:vAlign w:val="bottom"/>
          </w:tcPr>
          <w:p>
            <w:pPr>
              <w:jc w:val="right"/>
              <w:ind w:right="271"/>
              <w:spacing w:after="0"/>
              <w:rPr>
                <w:sz w:val="20"/>
                <w:szCs w:val="20"/>
                <w:color w:val="auto"/>
              </w:rPr>
            </w:pPr>
            <w:r>
              <w:rPr>
                <w:rFonts w:ascii="Arial" w:cs="Arial" w:eastAsia="Arial" w:hAnsi="Arial"/>
                <w:sz w:val="14"/>
                <w:szCs w:val="14"/>
                <w:b w:val="1"/>
                <w:bCs w:val="1"/>
                <w:color w:val="auto"/>
                <w:w w:val="98"/>
              </w:rPr>
              <w:t>October 31,</w:t>
            </w: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20" w:type="dxa"/>
            <w:vAlign w:val="bottom"/>
            <w:gridSpan w:val="4"/>
          </w:tcPr>
          <w:p>
            <w:pPr>
              <w:jc w:val="right"/>
              <w:ind w:right="591"/>
              <w:spacing w:after="0" w:line="135" w:lineRule="exact"/>
              <w:rPr>
                <w:sz w:val="20"/>
                <w:szCs w:val="20"/>
                <w:color w:val="auto"/>
              </w:rPr>
            </w:pPr>
            <w:r>
              <w:rPr>
                <w:rFonts w:ascii="Arial" w:cs="Arial" w:eastAsia="Arial" w:hAnsi="Arial"/>
                <w:sz w:val="14"/>
                <w:szCs w:val="14"/>
                <w:b w:val="1"/>
                <w:bCs w:val="1"/>
                <w:color w:val="auto"/>
              </w:rPr>
              <w:t>(In thousands, except share</w:t>
            </w:r>
          </w:p>
        </w:tc>
        <w:tc>
          <w:tcPr>
            <w:tcW w:w="0" w:type="dxa"/>
            <w:vAlign w:val="bottom"/>
          </w:tcPr>
          <w:p>
            <w:pPr>
              <w:spacing w:after="0"/>
              <w:rPr>
                <w:sz w:val="1"/>
                <w:szCs w:val="1"/>
                <w:color w:val="auto"/>
              </w:rPr>
            </w:pPr>
          </w:p>
        </w:tc>
      </w:tr>
      <w:tr>
        <w:trPr>
          <w:trHeight w:val="194"/>
        </w:trPr>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60" w:type="dxa"/>
            <w:vAlign w:val="bottom"/>
            <w:gridSpan w:val="3"/>
            <w:shd w:val="clear" w:color="auto" w:fill="CCEEFF"/>
          </w:tcPr>
          <w:p>
            <w:pPr>
              <w:jc w:val="center"/>
              <w:ind w:right="3050"/>
              <w:spacing w:after="0"/>
              <w:rPr>
                <w:sz w:val="20"/>
                <w:szCs w:val="20"/>
                <w:color w:val="auto"/>
              </w:rPr>
            </w:pPr>
            <w:r>
              <w:rPr>
                <w:rFonts w:ascii="Arial" w:cs="Arial" w:eastAsia="Arial" w:hAnsi="Arial"/>
                <w:sz w:val="18"/>
                <w:szCs w:val="18"/>
                <w:b w:val="1"/>
                <w:bCs w:val="1"/>
                <w:color w:val="auto"/>
                <w:w w:val="94"/>
              </w:rPr>
              <w:t>ASSETS</w:t>
            </w: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gridSpan w:val="7"/>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55,093</w:t>
            </w:r>
          </w:p>
        </w:tc>
        <w:tc>
          <w:tcPr>
            <w:tcW w:w="0" w:type="dxa"/>
            <w:vAlign w:val="bottom"/>
          </w:tcPr>
          <w:p>
            <w:pPr>
              <w:spacing w:after="0"/>
              <w:rPr>
                <w:sz w:val="1"/>
                <w:szCs w:val="1"/>
                <w:color w:val="auto"/>
              </w:rPr>
            </w:pPr>
          </w:p>
        </w:tc>
      </w:tr>
      <w:tr>
        <w:trPr>
          <w:trHeight w:val="230"/>
        </w:trPr>
        <w:tc>
          <w:tcPr>
            <w:tcW w:w="8220" w:type="dxa"/>
            <w:vAlign w:val="bottom"/>
            <w:gridSpan w:val="7"/>
          </w:tcPr>
          <w:p>
            <w:pPr>
              <w:ind w:left="360"/>
              <w:spacing w:after="0"/>
              <w:rPr>
                <w:sz w:val="20"/>
                <w:szCs w:val="20"/>
                <w:color w:val="auto"/>
              </w:rPr>
            </w:pPr>
            <w:r>
              <w:rPr>
                <w:rFonts w:ascii="Arial" w:cs="Arial" w:eastAsia="Arial" w:hAnsi="Arial"/>
                <w:sz w:val="18"/>
                <w:szCs w:val="18"/>
                <w:color w:val="auto"/>
              </w:rPr>
              <w:t>Accounts receivable, net of allowance for credit losses of $408 and $289</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96,204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96,018</w:t>
            </w:r>
          </w:p>
        </w:tc>
        <w:tc>
          <w:tcPr>
            <w:tcW w:w="0" w:type="dxa"/>
            <w:vAlign w:val="bottom"/>
          </w:tcPr>
          <w:p>
            <w:pPr>
              <w:spacing w:after="0"/>
              <w:rPr>
                <w:sz w:val="1"/>
                <w:szCs w:val="1"/>
                <w:color w:val="auto"/>
              </w:rPr>
            </w:pPr>
          </w:p>
        </w:tc>
      </w:tr>
      <w:tr>
        <w:trPr>
          <w:trHeight w:val="229"/>
        </w:trPr>
        <w:tc>
          <w:tcPr>
            <w:tcW w:w="822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105,368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120,890</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gridSpan w:val="7"/>
          </w:tcPr>
          <w:p>
            <w:pPr>
              <w:ind w:left="36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12,764</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8,664</w:t>
            </w:r>
          </w:p>
        </w:tc>
        <w:tc>
          <w:tcPr>
            <w:tcW w:w="0" w:type="dxa"/>
            <w:vAlign w:val="bottom"/>
          </w:tcPr>
          <w:p>
            <w:pPr>
              <w:spacing w:after="0"/>
              <w:rPr>
                <w:sz w:val="1"/>
                <w:szCs w:val="1"/>
                <w:color w:val="auto"/>
              </w:rPr>
            </w:pPr>
          </w:p>
        </w:tc>
      </w:tr>
      <w:tr>
        <w:trPr>
          <w:trHeight w:val="223"/>
        </w:trPr>
        <w:tc>
          <w:tcPr>
            <w:tcW w:w="8220" w:type="dxa"/>
            <w:vAlign w:val="bottom"/>
            <w:gridSpan w:val="7"/>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287,588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280,665</w:t>
            </w:r>
          </w:p>
        </w:tc>
        <w:tc>
          <w:tcPr>
            <w:tcW w:w="0" w:type="dxa"/>
            <w:vAlign w:val="bottom"/>
          </w:tcPr>
          <w:p>
            <w:pPr>
              <w:spacing w:after="0"/>
              <w:rPr>
                <w:sz w:val="1"/>
                <w:szCs w:val="1"/>
                <w:color w:val="auto"/>
              </w:rPr>
            </w:pPr>
          </w:p>
        </w:tc>
      </w:tr>
      <w:tr>
        <w:trPr>
          <w:trHeight w:val="229"/>
        </w:trPr>
        <w:tc>
          <w:tcPr>
            <w:tcW w:w="8220" w:type="dxa"/>
            <w:vAlign w:val="bottom"/>
            <w:gridSpan w:val="7"/>
          </w:tcPr>
          <w:p>
            <w:pPr>
              <w:ind w:left="20"/>
              <w:spacing w:after="0"/>
              <w:rPr>
                <w:sz w:val="20"/>
                <w:szCs w:val="20"/>
                <w:color w:val="auto"/>
              </w:rPr>
            </w:pPr>
            <w:r>
              <w:rPr>
                <w:rFonts w:ascii="Arial" w:cs="Arial" w:eastAsia="Arial" w:hAnsi="Arial"/>
                <w:sz w:val="18"/>
                <w:szCs w:val="18"/>
                <w:color w:val="auto"/>
              </w:rPr>
              <w:t>Property, plant and equipment, net of accumulated depreciation of $368,979 and $348,528</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245,912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180,400</w:t>
            </w:r>
          </w:p>
        </w:tc>
        <w:tc>
          <w:tcPr>
            <w:tcW w:w="0" w:type="dxa"/>
            <w:vAlign w:val="bottom"/>
          </w:tcPr>
          <w:p>
            <w:pPr>
              <w:spacing w:after="0"/>
              <w:rPr>
                <w:sz w:val="1"/>
                <w:szCs w:val="1"/>
                <w:color w:val="auto"/>
              </w:rPr>
            </w:pPr>
          </w:p>
        </w:tc>
      </w:tr>
      <w:tr>
        <w:trPr>
          <w:trHeight w:val="230"/>
        </w:trPr>
        <w:tc>
          <w:tcPr>
            <w:tcW w:w="822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0" w:type="dxa"/>
            <w:vAlign w:val="bottom"/>
          </w:tcPr>
          <w:p>
            <w:pPr>
              <w:spacing w:after="0"/>
              <w:rPr>
                <w:sz w:val="1"/>
                <w:szCs w:val="1"/>
                <w:color w:val="auto"/>
              </w:rPr>
            </w:pPr>
          </w:p>
        </w:tc>
      </w:tr>
      <w:tr>
        <w:trPr>
          <w:trHeight w:val="229"/>
        </w:trPr>
        <w:tc>
          <w:tcPr>
            <w:tcW w:w="8220" w:type="dxa"/>
            <w:vAlign w:val="bottom"/>
            <w:gridSpan w:val="7"/>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186,409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137,855</w:t>
            </w:r>
          </w:p>
        </w:tc>
        <w:tc>
          <w:tcPr>
            <w:tcW w:w="0" w:type="dxa"/>
            <w:vAlign w:val="bottom"/>
          </w:tcPr>
          <w:p>
            <w:pPr>
              <w:spacing w:after="0"/>
              <w:rPr>
                <w:sz w:val="1"/>
                <w:szCs w:val="1"/>
                <w:color w:val="auto"/>
              </w:rPr>
            </w:pPr>
          </w:p>
        </w:tc>
      </w:tr>
      <w:tr>
        <w:trPr>
          <w:trHeight w:val="230"/>
        </w:trPr>
        <w:tc>
          <w:tcPr>
            <w:tcW w:w="822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65,035</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gridSpan w:val="7"/>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gridSpan w:val="7"/>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847,809</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724,617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gridSpan w:val="7"/>
            <w:vMerge w:val="restart"/>
          </w:tcPr>
          <w:p>
            <w:pPr>
              <w:jc w:val="cente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gridSpan w:val="7"/>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2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7"/>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71,464</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77,907</w:t>
            </w:r>
          </w:p>
        </w:tc>
        <w:tc>
          <w:tcPr>
            <w:tcW w:w="0" w:type="dxa"/>
            <w:vAlign w:val="bottom"/>
          </w:tcPr>
          <w:p>
            <w:pPr>
              <w:spacing w:after="0"/>
              <w:rPr>
                <w:sz w:val="1"/>
                <w:szCs w:val="1"/>
                <w:color w:val="auto"/>
              </w:rPr>
            </w:pPr>
          </w:p>
        </w:tc>
      </w:tr>
      <w:tr>
        <w:trPr>
          <w:trHeight w:val="230"/>
        </w:trPr>
        <w:tc>
          <w:tcPr>
            <w:tcW w:w="822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52,114</w:t>
            </w:r>
          </w:p>
        </w:tc>
        <w:tc>
          <w:tcPr>
            <w:tcW w:w="0" w:type="dxa"/>
            <w:vAlign w:val="bottom"/>
          </w:tcPr>
          <w:p>
            <w:pPr>
              <w:spacing w:after="0"/>
              <w:rPr>
                <w:sz w:val="1"/>
                <w:szCs w:val="1"/>
                <w:color w:val="auto"/>
              </w:rPr>
            </w:pPr>
          </w:p>
        </w:tc>
      </w:tr>
      <w:tr>
        <w:trPr>
          <w:trHeight w:val="230"/>
        </w:trPr>
        <w:tc>
          <w:tcPr>
            <w:tcW w:w="8220" w:type="dxa"/>
            <w:vAlign w:val="bottom"/>
            <w:gridSpan w:val="7"/>
          </w:tcPr>
          <w:p>
            <w:pPr>
              <w:ind w:left="36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29"/>
        </w:trPr>
        <w:tc>
          <w:tcPr>
            <w:tcW w:w="822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gridSpan w:val="7"/>
          </w:tcPr>
          <w:p>
            <w:pPr>
              <w:ind w:left="360"/>
              <w:spacing w:after="0"/>
              <w:rPr>
                <w:sz w:val="20"/>
                <w:szCs w:val="20"/>
                <w:color w:val="auto"/>
              </w:rPr>
            </w:pPr>
            <w:r>
              <w:rPr>
                <w:rFonts w:ascii="Arial" w:cs="Arial" w:eastAsia="Arial" w:hAnsi="Arial"/>
                <w:sz w:val="18"/>
                <w:szCs w:val="18"/>
                <w:color w:val="auto"/>
              </w:rPr>
              <w:t>Current operating lease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7,388</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7,727</w:t>
            </w:r>
          </w:p>
        </w:tc>
        <w:tc>
          <w:tcPr>
            <w:tcW w:w="0" w:type="dxa"/>
            <w:vAlign w:val="bottom"/>
          </w:tcPr>
          <w:p>
            <w:pPr>
              <w:spacing w:after="0"/>
              <w:rPr>
                <w:sz w:val="1"/>
                <w:szCs w:val="1"/>
                <w:color w:val="auto"/>
              </w:rPr>
            </w:pPr>
          </w:p>
        </w:tc>
      </w:tr>
      <w:tr>
        <w:trPr>
          <w:trHeight w:val="223"/>
        </w:trPr>
        <w:tc>
          <w:tcPr>
            <w:tcW w:w="8220" w:type="dxa"/>
            <w:vAlign w:val="bottom"/>
            <w:gridSpan w:val="7"/>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135,367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139,843</w:t>
            </w:r>
          </w:p>
        </w:tc>
        <w:tc>
          <w:tcPr>
            <w:tcW w:w="0" w:type="dxa"/>
            <w:vAlign w:val="bottom"/>
          </w:tcPr>
          <w:p>
            <w:pPr>
              <w:spacing w:after="0"/>
              <w:rPr>
                <w:sz w:val="1"/>
                <w:szCs w:val="1"/>
                <w:color w:val="auto"/>
              </w:rPr>
            </w:pPr>
          </w:p>
        </w:tc>
      </w:tr>
      <w:tr>
        <w:trPr>
          <w:trHeight w:val="230"/>
        </w:trPr>
        <w:tc>
          <w:tcPr>
            <w:tcW w:w="8220" w:type="dxa"/>
            <w:vAlign w:val="bottom"/>
            <w:gridSpan w:val="7"/>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107,234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29,628</w:t>
            </w:r>
          </w:p>
        </w:tc>
        <w:tc>
          <w:tcPr>
            <w:tcW w:w="0" w:type="dxa"/>
            <w:vAlign w:val="bottom"/>
          </w:tcPr>
          <w:p>
            <w:pPr>
              <w:spacing w:after="0"/>
              <w:rPr>
                <w:sz w:val="1"/>
                <w:szCs w:val="1"/>
                <w:color w:val="auto"/>
              </w:rPr>
            </w:pPr>
          </w:p>
        </w:tc>
      </w:tr>
      <w:tr>
        <w:trPr>
          <w:trHeight w:val="230"/>
        </w:trPr>
        <w:tc>
          <w:tcPr>
            <w:tcW w:w="822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49,286</w:t>
            </w:r>
          </w:p>
        </w:tc>
        <w:tc>
          <w:tcPr>
            <w:tcW w:w="0" w:type="dxa"/>
            <w:vAlign w:val="bottom"/>
          </w:tcPr>
          <w:p>
            <w:pPr>
              <w:spacing w:after="0"/>
              <w:rPr>
                <w:sz w:val="1"/>
                <w:szCs w:val="1"/>
                <w:color w:val="auto"/>
              </w:rPr>
            </w:pPr>
          </w:p>
        </w:tc>
      </w:tr>
      <w:tr>
        <w:trPr>
          <w:trHeight w:val="230"/>
        </w:trPr>
        <w:tc>
          <w:tcPr>
            <w:tcW w:w="8220" w:type="dxa"/>
            <w:vAlign w:val="bottom"/>
            <w:gridSpan w:val="7"/>
          </w:tcPr>
          <w:p>
            <w:pPr>
              <w:ind w:left="20"/>
              <w:spacing w:after="0"/>
              <w:rPr>
                <w:sz w:val="20"/>
                <w:szCs w:val="20"/>
                <w:color w:val="auto"/>
              </w:rPr>
            </w:pPr>
            <w:r>
              <w:rPr>
                <w:rFonts w:ascii="Arial" w:cs="Arial" w:eastAsia="Arial" w:hAnsi="Arial"/>
                <w:sz w:val="18"/>
                <w:szCs w:val="18"/>
                <w:color w:val="auto"/>
              </w:rPr>
              <w:t>Deferred pension benefits</w:t>
            </w: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29"/>
        </w:trPr>
        <w:tc>
          <w:tcPr>
            <w:tcW w:w="822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22,277</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gridSpan w:val="7"/>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14,831</w:t>
            </w:r>
          </w:p>
        </w:tc>
        <w:tc>
          <w:tcPr>
            <w:tcW w:w="0" w:type="dxa"/>
            <w:vAlign w:val="bottom"/>
          </w:tcPr>
          <w:p>
            <w:pPr>
              <w:spacing w:after="0"/>
              <w:rPr>
                <w:sz w:val="1"/>
                <w:szCs w:val="1"/>
                <w:color w:val="auto"/>
              </w:rPr>
            </w:pPr>
          </w:p>
        </w:tc>
      </w:tr>
      <w:tr>
        <w:trPr>
          <w:trHeight w:val="223"/>
        </w:trPr>
        <w:tc>
          <w:tcPr>
            <w:tcW w:w="8220" w:type="dxa"/>
            <w:vAlign w:val="bottom"/>
            <w:gridSpan w:val="7"/>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321,854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259,782</w:t>
            </w:r>
          </w:p>
        </w:tc>
        <w:tc>
          <w:tcPr>
            <w:tcW w:w="0" w:type="dxa"/>
            <w:vAlign w:val="bottom"/>
          </w:tcPr>
          <w:p>
            <w:pPr>
              <w:spacing w:after="0"/>
              <w:rPr>
                <w:sz w:val="1"/>
                <w:szCs w:val="1"/>
                <w:color w:val="auto"/>
              </w:rPr>
            </w:pPr>
          </w:p>
        </w:tc>
      </w:tr>
      <w:tr>
        <w:trPr>
          <w:trHeight w:val="230"/>
        </w:trPr>
        <w:tc>
          <w:tcPr>
            <w:tcW w:w="8220" w:type="dxa"/>
            <w:vAlign w:val="bottom"/>
            <w:gridSpan w:val="7"/>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7"/>
          </w:tcPr>
          <w:p>
            <w:pPr>
              <w:ind w:left="360"/>
              <w:spacing w:after="0"/>
              <w:rPr>
                <w:sz w:val="20"/>
                <w:szCs w:val="20"/>
                <w:color w:val="auto"/>
              </w:rPr>
            </w:pPr>
            <w:r>
              <w:rPr>
                <w:rFonts w:ascii="Arial" w:cs="Arial" w:eastAsia="Arial" w:hAnsi="Arial"/>
                <w:sz w:val="18"/>
                <w:szCs w:val="18"/>
                <w:color w:val="auto"/>
              </w:rPr>
              <w:t>Preferred stock, no par value, shares authorized 1,000,000; issued and outstanding - none</w:t>
            </w: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520" w:type="dxa"/>
            <w:vAlign w:val="bottom"/>
            <w:gridSpan w:val="5"/>
            <w:shd w:val="clear" w:color="auto" w:fill="CCEEFF"/>
          </w:tcPr>
          <w:p>
            <w:pPr>
              <w:ind w:left="360"/>
              <w:spacing w:after="0" w:line="189" w:lineRule="exact"/>
              <w:rPr>
                <w:sz w:val="20"/>
                <w:szCs w:val="20"/>
                <w:color w:val="auto"/>
              </w:rPr>
            </w:pPr>
            <w:r>
              <w:rPr>
                <w:rFonts w:ascii="Arial" w:cs="Arial" w:eastAsia="Arial" w:hAnsi="Arial"/>
                <w:sz w:val="18"/>
                <w:szCs w:val="18"/>
                <w:color w:val="auto"/>
                <w:w w:val="89"/>
              </w:rPr>
              <w:t>Common stock, $0.01 par value, shares authorized 125,000,000; issued</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8"/>
                <w:shd w:val="clear" w:color="auto" w:fill="CCEEFF"/>
              </w:rPr>
              <w:t>37,176,958</w:t>
            </w:r>
          </w:p>
        </w:tc>
        <w:tc>
          <w:tcPr>
            <w:tcW w:w="18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and 37,211,056,</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00" w:type="dxa"/>
            <w:vAlign w:val="bottom"/>
            <w:tcBorders>
              <w:bottom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w w:val="91"/>
              </w:rPr>
              <w:t>respectively; outstanding</w:t>
            </w:r>
          </w:p>
        </w:tc>
        <w:tc>
          <w:tcPr>
            <w:tcW w:w="80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86"/>
                <w:shd w:val="clear" w:color="auto" w:fill="CCEEFF"/>
              </w:rPr>
              <w:t>32,986,332</w:t>
            </w:r>
          </w:p>
        </w:tc>
        <w:tc>
          <w:tcPr>
            <w:tcW w:w="2520" w:type="dxa"/>
            <w:vAlign w:val="bottom"/>
            <w:tcBorders>
              <w:bottom w:val="single" w:sz="8" w:color="CCEEFF"/>
            </w:tcBorders>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and 33,129,250, respectively</w:t>
            </w:r>
          </w:p>
        </w:tc>
        <w:tc>
          <w:tcPr>
            <w:tcW w:w="8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372</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0"/>
        </w:trPr>
        <w:tc>
          <w:tcPr>
            <w:tcW w:w="8220" w:type="dxa"/>
            <w:vAlign w:val="bottom"/>
            <w:gridSpan w:val="7"/>
          </w:tcPr>
          <w:p>
            <w:pPr>
              <w:ind w:left="360"/>
              <w:spacing w:after="0"/>
              <w:rPr>
                <w:sz w:val="20"/>
                <w:szCs w:val="20"/>
                <w:color w:val="auto"/>
              </w:rPr>
            </w:pPr>
            <w:r>
              <w:rPr>
                <w:rFonts w:ascii="Arial" w:cs="Arial" w:eastAsia="Arial" w:hAnsi="Arial"/>
                <w:sz w:val="18"/>
                <w:szCs w:val="18"/>
                <w:color w:val="auto"/>
              </w:rPr>
              <w:t>Additional paid-in-capital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250,882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251,947</w:t>
            </w:r>
          </w:p>
        </w:tc>
        <w:tc>
          <w:tcPr>
            <w:tcW w:w="0" w:type="dxa"/>
            <w:vAlign w:val="bottom"/>
          </w:tcPr>
          <w:p>
            <w:pPr>
              <w:spacing w:after="0"/>
              <w:rPr>
                <w:sz w:val="1"/>
                <w:szCs w:val="1"/>
                <w:color w:val="auto"/>
              </w:rPr>
            </w:pPr>
          </w:p>
        </w:tc>
      </w:tr>
      <w:tr>
        <w:trPr>
          <w:trHeight w:val="229"/>
        </w:trPr>
        <w:tc>
          <w:tcPr>
            <w:tcW w:w="822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384,623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337,456</w:t>
            </w:r>
          </w:p>
        </w:tc>
        <w:tc>
          <w:tcPr>
            <w:tcW w:w="0" w:type="dxa"/>
            <w:vAlign w:val="bottom"/>
          </w:tcPr>
          <w:p>
            <w:pPr>
              <w:spacing w:after="0"/>
              <w:rPr>
                <w:sz w:val="1"/>
                <w:szCs w:val="1"/>
                <w:color w:val="auto"/>
              </w:rPr>
            </w:pPr>
          </w:p>
        </w:tc>
      </w:tr>
      <w:tr>
        <w:trPr>
          <w:trHeight w:val="230"/>
        </w:trPr>
        <w:tc>
          <w:tcPr>
            <w:tcW w:w="8220" w:type="dxa"/>
            <w:vAlign w:val="bottom"/>
            <w:gridSpan w:val="7"/>
          </w:tcPr>
          <w:p>
            <w:pPr>
              <w:ind w:left="3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(31,890)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(49,422)</w:t>
            </w:r>
          </w:p>
        </w:tc>
        <w:tc>
          <w:tcPr>
            <w:tcW w:w="0" w:type="dxa"/>
            <w:vAlign w:val="bottom"/>
          </w:tcPr>
          <w:p>
            <w:pPr>
              <w:spacing w:after="0"/>
              <w:rPr>
                <w:sz w:val="1"/>
                <w:szCs w:val="1"/>
                <w:color w:val="auto"/>
              </w:rPr>
            </w:pPr>
          </w:p>
        </w:tc>
      </w:tr>
      <w:tr>
        <w:trPr>
          <w:trHeight w:val="230"/>
        </w:trPr>
        <w:tc>
          <w:tcPr>
            <w:tcW w:w="2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9"/>
              </w:rPr>
              <w:t>Less: Treasury stock at cost,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4,190,626</w:t>
            </w:r>
          </w:p>
        </w:tc>
        <w:tc>
          <w:tcPr>
            <w:tcW w:w="5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and 4,081,806 shares, respectively</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(78,032)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(75,518)</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gridSpan w:val="7"/>
          </w:tcPr>
          <w:p>
            <w:pPr>
              <w:ind w:left="6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525,955</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464,835</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gridSpan w:val="7"/>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847,809</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724,617</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6"/>
                <w:szCs w:val="16"/>
                <w:color w:val="auto"/>
              </w:rPr>
            </w:pPr>
          </w:p>
        </w:tc>
        <w:tc>
          <w:tcPr>
            <w:tcW w:w="256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July 31,</w:t>
            </w:r>
          </w:p>
        </w:tc>
        <w:tc>
          <w:tcPr>
            <w:tcW w:w="320" w:type="dxa"/>
            <w:vAlign w:val="bottom"/>
          </w:tcPr>
          <w:p>
            <w:pPr>
              <w:spacing w:after="0"/>
              <w:rPr>
                <w:sz w:val="17"/>
                <w:szCs w:val="17"/>
                <w:color w:val="auto"/>
              </w:rPr>
            </w:pPr>
          </w:p>
        </w:tc>
        <w:tc>
          <w:tcPr>
            <w:tcW w:w="15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July 31,</w:t>
            </w:r>
          </w:p>
        </w:tc>
        <w:tc>
          <w:tcPr>
            <w:tcW w:w="1020" w:type="dxa"/>
            <w:vAlign w:val="bottom"/>
          </w:tcPr>
          <w:p>
            <w:pPr>
              <w:spacing w:after="0"/>
              <w:rPr>
                <w:sz w:val="17"/>
                <w:szCs w:val="17"/>
                <w:color w:val="auto"/>
              </w:rPr>
            </w:pPr>
          </w:p>
        </w:tc>
      </w:tr>
      <w:tr>
        <w:trPr>
          <w:trHeight w:val="26"/>
        </w:trPr>
        <w:tc>
          <w:tcPr>
            <w:tcW w:w="5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5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194"/>
        </w:trPr>
        <w:tc>
          <w:tcPr>
            <w:tcW w:w="5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8"/>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324,037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835,091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913,970</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Cost and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(excluding 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712,931</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28,822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94,631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87,774</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30,554</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37,463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34,035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71,202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82,711</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(1,849)</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33,709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65,222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81,767</w:t>
            </w: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(18,098)</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63,669</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0"/>
        </w:trPr>
        <w:tc>
          <w:tcPr>
            <w:tcW w:w="5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0"/>
        </w:trPr>
        <w:tc>
          <w:tcPr>
            <w:tcW w:w="5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33,093</w:t>
            </w:r>
          </w:p>
        </w:tc>
      </w:tr>
      <w:tr>
        <w:trPr>
          <w:trHeight w:val="229"/>
        </w:trPr>
        <w:tc>
          <w:tcPr>
            <w:tcW w:w="5300" w:type="dxa"/>
            <w:vAlign w:val="bottom"/>
          </w:tcPr>
          <w:p>
            <w:pPr>
              <w:ind w:left="5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33,173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33,256</w:t>
            </w:r>
          </w:p>
        </w:tc>
      </w:tr>
      <w:tr>
        <w:trPr>
          <w:trHeight w:val="270"/>
        </w:trPr>
        <w:tc>
          <w:tcPr>
            <w:tcW w:w="5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Cash dividends per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0.24</w:t>
            </w:r>
          </w:p>
        </w:tc>
      </w:tr>
    </w:tbl>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left="360" w:right="2280"/>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COMPREHENSIVE INCOME (Unaudited)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400" w:type="dxa"/>
            <w:vAlign w:val="bottom"/>
            <w:gridSpan w:val="4"/>
          </w:tcPr>
          <w:p>
            <w:pPr>
              <w:jc w:val="center"/>
              <w:ind w:left="482"/>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gridSpan w:val="3"/>
          </w:tcPr>
          <w:p>
            <w:pPr>
              <w:ind w:left="400"/>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6"/>
                <w:szCs w:val="16"/>
                <w:color w:val="auto"/>
              </w:rPr>
            </w:pPr>
          </w:p>
        </w:tc>
      </w:tr>
      <w:tr>
        <w:trPr>
          <w:trHeight w:val="203"/>
        </w:trPr>
        <w:tc>
          <w:tcPr>
            <w:tcW w:w="5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40" w:type="dxa"/>
            <w:vAlign w:val="bottom"/>
            <w:gridSpan w:val="3"/>
          </w:tcPr>
          <w:p>
            <w:pPr>
              <w:jc w:val="center"/>
              <w:ind w:right="219"/>
              <w:spacing w:after="0"/>
              <w:rPr>
                <w:sz w:val="20"/>
                <w:szCs w:val="20"/>
                <w:color w:val="auto"/>
              </w:rPr>
            </w:pPr>
            <w:r>
              <w:rPr>
                <w:rFonts w:ascii="Arial" w:cs="Arial" w:eastAsia="Arial" w:hAnsi="Arial"/>
                <w:sz w:val="14"/>
                <w:szCs w:val="14"/>
                <w:b w:val="1"/>
                <w:bCs w:val="1"/>
                <w:color w:val="auto"/>
                <w:w w:val="93"/>
              </w:rPr>
              <w:t>July 31,</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gridSpan w:val="3"/>
          </w:tcPr>
          <w:p>
            <w:pPr>
              <w:ind w:left="760"/>
              <w:spacing w:after="0"/>
              <w:rPr>
                <w:sz w:val="20"/>
                <w:szCs w:val="20"/>
                <w:color w:val="auto"/>
              </w:rPr>
            </w:pPr>
            <w:r>
              <w:rPr>
                <w:rFonts w:ascii="Arial" w:cs="Arial" w:eastAsia="Arial" w:hAnsi="Arial"/>
                <w:sz w:val="14"/>
                <w:szCs w:val="14"/>
                <w:b w:val="1"/>
                <w:bCs w:val="1"/>
                <w:color w:val="auto"/>
              </w:rPr>
              <w:t>July 31,</w:t>
            </w:r>
          </w:p>
        </w:tc>
        <w:tc>
          <w:tcPr>
            <w:tcW w:w="860" w:type="dxa"/>
            <w:vAlign w:val="bottom"/>
          </w:tcPr>
          <w:p>
            <w:pPr>
              <w:spacing w:after="0"/>
              <w:rPr>
                <w:sz w:val="17"/>
                <w:szCs w:val="17"/>
                <w:color w:val="auto"/>
              </w:rPr>
            </w:pPr>
          </w:p>
        </w:tc>
      </w:tr>
      <w:tr>
        <w:trPr>
          <w:trHeight w:val="26"/>
        </w:trPr>
        <w:tc>
          <w:tcPr>
            <w:tcW w:w="5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89"/>
              </w:rPr>
              <w:t>2022</w:t>
            </w:r>
          </w:p>
        </w:tc>
      </w:tr>
      <w:tr>
        <w:trPr>
          <w:trHeight w:val="194"/>
        </w:trPr>
        <w:tc>
          <w:tcPr>
            <w:tcW w:w="5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3"/>
          </w:tcPr>
          <w:p>
            <w:pPr>
              <w:ind w:left="200"/>
              <w:spacing w:after="0"/>
              <w:rPr>
                <w:sz w:val="20"/>
                <w:szCs w:val="20"/>
                <w:color w:val="auto"/>
              </w:rPr>
            </w:pPr>
            <w:r>
              <w:rPr>
                <w:rFonts w:ascii="Arial" w:cs="Arial" w:eastAsia="Arial" w:hAnsi="Arial"/>
                <w:sz w:val="14"/>
                <w:szCs w:val="14"/>
                <w:b w:val="1"/>
                <w:bCs w:val="1"/>
                <w:color w:val="auto"/>
                <w:w w:val="97"/>
              </w:rPr>
              <w:t>(In thousands)</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8"/>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31,698</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8"/>
              </w:rPr>
              <w:t>25,908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55,119</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154"/>
              <w:spacing w:after="0"/>
              <w:rPr>
                <w:sz w:val="20"/>
                <w:szCs w:val="20"/>
                <w:color w:val="auto"/>
              </w:rPr>
            </w:pPr>
            <w:r>
              <w:rPr>
                <w:rFonts w:ascii="Arial" w:cs="Arial" w:eastAsia="Arial" w:hAnsi="Arial"/>
                <w:sz w:val="18"/>
                <w:szCs w:val="18"/>
                <w:color w:val="auto"/>
                <w:w w:val="90"/>
              </w:rPr>
              <w:t>63,669</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i w:val="1"/>
                <w:iCs w:val="1"/>
                <w:color w:val="auto"/>
              </w:rPr>
              <w:t>Other comprehensive income (loss):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(5,168)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8"/>
              </w:rPr>
              <w:t>17,532</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114"/>
              <w:spacing w:after="0"/>
              <w:rPr>
                <w:sz w:val="20"/>
                <w:szCs w:val="20"/>
                <w:color w:val="auto"/>
              </w:rPr>
            </w:pPr>
            <w:r>
              <w:rPr>
                <w:rFonts w:ascii="Arial" w:cs="Arial" w:eastAsia="Arial" w:hAnsi="Arial"/>
                <w:sz w:val="18"/>
                <w:szCs w:val="18"/>
                <w:color w:val="auto"/>
                <w:w w:val="92"/>
              </w:rPr>
              <w:t>(19,595)</w:t>
            </w:r>
          </w:p>
        </w:tc>
      </w:tr>
      <w:tr>
        <w:trPr>
          <w:trHeight w:val="223"/>
        </w:trPr>
        <w:tc>
          <w:tcPr>
            <w:tcW w:w="5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(5,168)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8"/>
              </w:rPr>
              <w:t>17,532</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114"/>
              <w:spacing w:after="0"/>
              <w:rPr>
                <w:sz w:val="20"/>
                <w:szCs w:val="20"/>
                <w:color w:val="auto"/>
              </w:rPr>
            </w:pPr>
            <w:r>
              <w:rPr>
                <w:rFonts w:ascii="Arial" w:cs="Arial" w:eastAsia="Arial" w:hAnsi="Arial"/>
                <w:sz w:val="18"/>
                <w:szCs w:val="18"/>
                <w:color w:val="auto"/>
                <w:w w:val="92"/>
              </w:rPr>
              <w:t>(19,595)</w:t>
            </w: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86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34,776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20,740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8"/>
              </w:rPr>
              <w:t>72,651</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center"/>
              <w:ind w:left="154"/>
              <w:spacing w:after="0"/>
              <w:rPr>
                <w:sz w:val="20"/>
                <w:szCs w:val="20"/>
                <w:color w:val="auto"/>
              </w:rPr>
            </w:pPr>
            <w:r>
              <w:rPr>
                <w:rFonts w:ascii="Arial" w:cs="Arial" w:eastAsia="Arial" w:hAnsi="Arial"/>
                <w:sz w:val="18"/>
                <w:szCs w:val="18"/>
                <w:color w:val="auto"/>
                <w:w w:val="90"/>
              </w:rPr>
              <w:t>44,074</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120" w:type="dxa"/>
            <w:vAlign w:val="bottom"/>
          </w:tcPr>
          <w:p>
            <w:pPr>
              <w:spacing w:after="0"/>
              <w:rPr>
                <w:sz w:val="16"/>
                <w:szCs w:val="16"/>
                <w:color w:val="auto"/>
              </w:rPr>
            </w:pPr>
          </w:p>
        </w:tc>
      </w:tr>
      <w:tr>
        <w:trPr>
          <w:trHeight w:val="203"/>
        </w:trPr>
        <w:tc>
          <w:tcPr>
            <w:tcW w:w="7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July 31,</w:t>
            </w:r>
          </w:p>
        </w:tc>
        <w:tc>
          <w:tcPr>
            <w:tcW w:w="1120" w:type="dxa"/>
            <w:vAlign w:val="bottom"/>
          </w:tcPr>
          <w:p>
            <w:pPr>
              <w:spacing w:after="0"/>
              <w:rPr>
                <w:sz w:val="17"/>
                <w:szCs w:val="17"/>
                <w:color w:val="auto"/>
              </w:rPr>
            </w:pPr>
          </w:p>
        </w:tc>
      </w:tr>
      <w:tr>
        <w:trPr>
          <w:trHeight w:val="26"/>
        </w:trPr>
        <w:tc>
          <w:tcPr>
            <w:tcW w:w="76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9"/>
        </w:trPr>
        <w:tc>
          <w:tcPr>
            <w:tcW w:w="76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r>
      <w:tr>
        <w:trPr>
          <w:trHeight w:val="194"/>
        </w:trPr>
        <w:tc>
          <w:tcPr>
            <w:tcW w:w="7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gridSpan w:val="3"/>
          </w:tcPr>
          <w:p>
            <w:pPr>
              <w:jc w:val="center"/>
              <w:ind w:left="12"/>
              <w:spacing w:after="0"/>
              <w:rPr>
                <w:sz w:val="20"/>
                <w:szCs w:val="20"/>
                <w:color w:val="auto"/>
              </w:rPr>
            </w:pPr>
            <w:r>
              <w:rPr>
                <w:rFonts w:ascii="Arial" w:cs="Arial" w:eastAsia="Arial" w:hAnsi="Arial"/>
                <w:sz w:val="14"/>
                <w:szCs w:val="14"/>
                <w:b w:val="1"/>
                <w:bCs w:val="1"/>
                <w:color w:val="auto"/>
                <w:w w:val="93"/>
              </w:rPr>
              <w:t>(In thousands)</w:t>
            </w:r>
          </w:p>
        </w:tc>
        <w:tc>
          <w:tcPr>
            <w:tcW w:w="1120" w:type="dxa"/>
            <w:vAlign w:val="bottom"/>
          </w:tcPr>
          <w:p>
            <w:pPr>
              <w:spacing w:after="0"/>
              <w:rPr>
                <w:sz w:val="16"/>
                <w:szCs w:val="16"/>
                <w:color w:val="auto"/>
              </w:rPr>
            </w:pPr>
          </w:p>
        </w:tc>
      </w:tr>
      <w:tr>
        <w:trPr>
          <w:trHeight w:val="238"/>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55,119</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63,669</w:t>
            </w: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6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31,672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30,554</w:t>
            </w:r>
          </w:p>
        </w:tc>
      </w:tr>
      <w:tr>
        <w:trPr>
          <w:trHeight w:val="229"/>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r>
      <w:tr>
        <w:trPr>
          <w:trHeight w:val="230"/>
        </w:trPr>
        <w:tc>
          <w:tcPr>
            <w:tcW w:w="7600" w:type="dxa"/>
            <w:vAlign w:val="bottom"/>
          </w:tcPr>
          <w:p>
            <w:pPr>
              <w:ind w:left="480"/>
              <w:spacing w:after="0"/>
              <w:rPr>
                <w:sz w:val="20"/>
                <w:szCs w:val="20"/>
                <w:color w:val="auto"/>
              </w:rPr>
            </w:pPr>
            <w:r>
              <w:rPr>
                <w:rFonts w:ascii="Arial" w:cs="Arial" w:eastAsia="Arial" w:hAnsi="Arial"/>
                <w:sz w:val="18"/>
                <w:szCs w:val="18"/>
                <w:color w:val="auto"/>
              </w:rPr>
              <w:t>Deferred income tax</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29"/>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r>
      <w:tr>
        <w:trPr>
          <w:trHeight w:val="229"/>
        </w:trPr>
        <w:tc>
          <w:tcPr>
            <w:tcW w:w="7600" w:type="dxa"/>
            <w:vAlign w:val="bottom"/>
          </w:tcPr>
          <w:p>
            <w:pPr>
              <w:ind w:left="480"/>
              <w:spacing w:after="0"/>
              <w:rPr>
                <w:sz w:val="20"/>
                <w:szCs w:val="20"/>
                <w:color w:val="auto"/>
              </w:rPr>
            </w:pPr>
            <w:r>
              <w:rPr>
                <w:rFonts w:ascii="Arial" w:cs="Arial" w:eastAsia="Arial" w:hAnsi="Arial"/>
                <w:sz w:val="18"/>
                <w:szCs w:val="18"/>
                <w:color w:val="auto"/>
              </w:rPr>
              <w:t>Changes in assets and liabilities:</w:t>
            </w: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Decrease (increase) in accounts receivable</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w:t>
            </w:r>
          </w:p>
        </w:tc>
      </w:tr>
      <w:tr>
        <w:trPr>
          <w:trHeight w:val="229"/>
        </w:trPr>
        <w:tc>
          <w:tcPr>
            <w:tcW w:w="7600" w:type="dxa"/>
            <w:vAlign w:val="bottom"/>
          </w:tcPr>
          <w:p>
            <w:pPr>
              <w:ind w:left="680"/>
              <w:spacing w:after="0"/>
              <w:rPr>
                <w:sz w:val="20"/>
                <w:szCs w:val="20"/>
                <w:color w:val="auto"/>
              </w:rPr>
            </w:pPr>
            <w:r>
              <w:rPr>
                <w:rFonts w:ascii="Arial" w:cs="Arial" w:eastAsia="Arial" w:hAnsi="Arial"/>
                <w:sz w:val="18"/>
                <w:szCs w:val="18"/>
                <w:color w:val="auto"/>
              </w:rPr>
              <w:t>Decrease (increase) in inventory</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23,864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(48,280)</w:t>
            </w:r>
          </w:p>
        </w:tc>
      </w:tr>
      <w:tr>
        <w:trPr>
          <w:trHeight w:val="230"/>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in other current assets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r>
      <w:tr>
        <w:trPr>
          <w:trHeight w:val="229"/>
        </w:trPr>
        <w:tc>
          <w:tcPr>
            <w:tcW w:w="7600" w:type="dxa"/>
            <w:vAlign w:val="bottom"/>
          </w:tcPr>
          <w:p>
            <w:pPr>
              <w:ind w:left="680"/>
              <w:spacing w:after="0"/>
              <w:rPr>
                <w:sz w:val="20"/>
                <w:szCs w:val="20"/>
                <w:color w:val="auto"/>
              </w:rPr>
            </w:pPr>
            <w:r>
              <w:rPr>
                <w:rFonts w:ascii="Arial" w:cs="Arial" w:eastAsia="Arial" w:hAnsi="Arial"/>
                <w:sz w:val="18"/>
                <w:szCs w:val="18"/>
                <w:color w:val="auto"/>
              </w:rPr>
              <w:t>(Decrease) increase in accounts payable</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(15,471)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2,765</w:t>
            </w:r>
          </w:p>
        </w:tc>
      </w:tr>
      <w:tr>
        <w:trPr>
          <w:trHeight w:val="229"/>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Decrease in accrued liabilities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r>
      <w:tr>
        <w:trPr>
          <w:trHeight w:val="230"/>
        </w:trPr>
        <w:tc>
          <w:tcPr>
            <w:tcW w:w="7600" w:type="dxa"/>
            <w:vAlign w:val="bottom"/>
          </w:tcPr>
          <w:p>
            <w:pPr>
              <w:ind w:left="680"/>
              <w:spacing w:after="0"/>
              <w:rPr>
                <w:sz w:val="20"/>
                <w:szCs w:val="20"/>
                <w:color w:val="auto"/>
              </w:rPr>
            </w:pPr>
            <w:r>
              <w:rPr>
                <w:rFonts w:ascii="Arial" w:cs="Arial" w:eastAsia="Arial" w:hAnsi="Arial"/>
                <w:sz w:val="18"/>
                <w:szCs w:val="18"/>
                <w:color w:val="auto"/>
              </w:rPr>
              <w:t>(Decrease) increase in income taxes payable</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7,522</w:t>
            </w:r>
          </w:p>
        </w:tc>
      </w:tr>
      <w:tr>
        <w:trPr>
          <w:trHeight w:val="229"/>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Increase (decrease) in deferred pension benefits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7600" w:type="dxa"/>
            <w:vAlign w:val="bottom"/>
          </w:tcPr>
          <w:p>
            <w:pPr>
              <w:ind w:left="680"/>
              <w:spacing w:after="0"/>
              <w:rPr>
                <w:sz w:val="20"/>
                <w:szCs w:val="20"/>
                <w:color w:val="auto"/>
              </w:rPr>
            </w:pPr>
            <w:r>
              <w:rPr>
                <w:rFonts w:ascii="Arial" w:cs="Arial" w:eastAsia="Arial" w:hAnsi="Arial"/>
                <w:sz w:val="18"/>
                <w:szCs w:val="18"/>
                <w:color w:val="auto"/>
              </w:rPr>
              <w:t>Increase in other long-term liabilities</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net</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Cash provided by operating activities</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102,559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49,854</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Business acquisition</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(91,302)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(19,488)</w:t>
            </w:r>
          </w:p>
        </w:tc>
      </w:tr>
      <w:tr>
        <w:trPr>
          <w:trHeight w:val="230"/>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Proceeds from disposition of capital assets</w:t>
            </w: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for investing activities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(113,569)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(19,354)</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 under credit facilities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102,000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70,500</w:t>
            </w: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Repayments of credit facility borrowings</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(70,500)</w:t>
            </w: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w:t>
            </w:r>
          </w:p>
        </w:tc>
        <w:tc>
          <w:tcPr>
            <w:tcW w:w="10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Repayments of other long-term debt</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(1,301)</w:t>
            </w: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dividends paid</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w:t>
            </w: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Issuance of common stock</w:t>
            </w:r>
          </w:p>
        </w:tc>
        <w:tc>
          <w:tcPr>
            <w:tcW w:w="1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tax paid to settle shares forfeited upon vesting of stock</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r>
      <w:tr>
        <w:trPr>
          <w:trHeight w:val="230"/>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Purchase of treasury stock</w:t>
            </w: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for) financing activities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(17,937)</w:t>
            </w:r>
          </w:p>
        </w:tc>
      </w:tr>
      <w:tr>
        <w:trPr>
          <w:trHeight w:val="230"/>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Effect of exchange rate changes on cash and cash equivalents</w:t>
            </w: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cash and cash equivalents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9,969</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55,093</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40,061</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73,252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STOCKHOLDERS’ EQUITY (Unaudited)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Nine Months Ended July 31, 2023</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2"/>
              <w:spacing w:after="0" w:line="144"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980" w:type="dxa"/>
            <w:vAlign w:val="bottom"/>
          </w:tcPr>
          <w:p>
            <w:pPr>
              <w:jc w:val="center"/>
              <w:ind w:right="3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00" w:type="dxa"/>
            <w:vAlign w:val="bottom"/>
            <w:gridSpan w:val="11"/>
          </w:tcPr>
          <w:p>
            <w:pPr>
              <w:ind w:left="240"/>
              <w:spacing w:after="0"/>
              <w:rPr>
                <w:sz w:val="20"/>
                <w:szCs w:val="20"/>
                <w:color w:val="auto"/>
              </w:rPr>
            </w:pPr>
            <w:r>
              <w:rPr>
                <w:rFonts w:ascii="Arial" w:cs="Arial" w:eastAsia="Arial" w:hAnsi="Arial"/>
                <w:sz w:val="14"/>
                <w:szCs w:val="14"/>
                <w:b w:val="1"/>
                <w:bCs w:val="1"/>
                <w:color w:val="auto"/>
                <w:w w:val="99"/>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251,947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337,456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Restricted stock awards granted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Performance restricted stock units vested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249,730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i w:val="1"/>
                <w:iCs w:val="1"/>
                <w:color w:val="auto"/>
              </w:rPr>
              <w:t>Stock-based compensation activity: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Expense related to stock-based compensation</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April 30,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250,427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(78,661)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31,698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Balance at July 31, 2023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250,882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384,623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(31,890)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(78,032)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525,955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Nine Months Ended July 31, 2022</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980" w:type="dxa"/>
            <w:vAlign w:val="bottom"/>
          </w:tcPr>
          <w:p>
            <w:pPr>
              <w:jc w:val="center"/>
              <w:ind w:right="3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00" w:type="dxa"/>
            <w:vAlign w:val="bottom"/>
            <w:gridSpan w:val="11"/>
          </w:tcPr>
          <w:p>
            <w:pPr>
              <w:ind w:left="240"/>
              <w:spacing w:after="0"/>
              <w:rPr>
                <w:sz w:val="20"/>
                <w:szCs w:val="20"/>
                <w:color w:val="auto"/>
              </w:rPr>
            </w:pPr>
            <w:r>
              <w:rPr>
                <w:rFonts w:ascii="Arial" w:cs="Arial" w:eastAsia="Arial" w:hAnsi="Arial"/>
                <w:sz w:val="14"/>
                <w:szCs w:val="14"/>
                <w:b w:val="1"/>
                <w:bCs w:val="1"/>
                <w:color w:val="auto"/>
                <w:w w:val="99"/>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254,162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11,239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Restricted stock awards granted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Performance restricted stock units vested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250,204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i w:val="1"/>
                <w:iCs w:val="1"/>
                <w:color w:val="auto"/>
              </w:rPr>
              <w:t>Stock-based compensation activity: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Expense related to stock-based compensation</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Stock options exercised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Balance at April 30, 2022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250,756</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292,221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(36,197)</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(70,979)</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436,174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dividends ($0.08 per share)</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Purchase of treasury stock</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Balance at July 31, 2022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251,359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315,471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(41,365)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(75,701)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Basis of Presentation</w:t>
      </w:r>
    </w:p>
    <w:p>
      <w:pPr>
        <w:spacing w:after="0" w:line="17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Quanex Building Products Corporation is a global, publicly traded manufacturing company primarily serving original equipment manufacturers (OEMs) in the fenestration, cabinetry, solar, refrigeration and outdoor products markets.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custom mixing, solar panel sealants, trim moldings, vinyl decking, vinyl fencing, customized compounds, water retention barriers, and conservatory roof components. We have organized our business into three reportable business segments. For additional discussion of our reportable business segments, see Note 12, “Segment Information.”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1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The accompanying interim unaudited condensed consolidated financial statements include the accounts of Quanex Building Products Corporation. All intercompany accounts and transactions have been eliminated in consolidation. These financial statements have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2022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2022.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long-lived assets and goodwill, contingencies and income taxes. Changes in facts and circumstances may result in revised estimates and actual results may differ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probable.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For contracts with multiple performance obligations, the standalone selling price of each product is generally readily observable.</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generally expense incremental costs of obtaining a contract when incurred because the amortization period would be less than one year.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do not disclose the value of unsatisfied performance obligations for contracts with an original expected length of one year or less.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sales incentives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reflective of current and prospective discounts.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Deferred revenue, which is not significant, is recorded when we have remaining unsatisfied performance obligations for which we have received consideration.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produce a wide variety of products that are used in the fenestration industry, including window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summarizes our product sales for the three and nine months ended July 31, 2023 and 2022 into groupings by segment which we believe depicts how the nature, amount, timing and uncertainty of our revenues and cash flows are affected by economic factors. For further details regarding our results by segment, refer to Note 12, “Segment Information”.</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6"/>
                <w:szCs w:val="16"/>
                <w:color w:val="auto"/>
              </w:rPr>
            </w:pPr>
          </w:p>
        </w:tc>
      </w:tr>
      <w:tr>
        <w:trPr>
          <w:trHeight w:val="203"/>
        </w:trPr>
        <w:tc>
          <w:tcPr>
            <w:tcW w:w="4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July 31,</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6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July 31,</w:t>
            </w:r>
          </w:p>
        </w:tc>
        <w:tc>
          <w:tcPr>
            <w:tcW w:w="1020" w:type="dxa"/>
            <w:vAlign w:val="bottom"/>
          </w:tcPr>
          <w:p>
            <w:pPr>
              <w:spacing w:after="0"/>
              <w:rPr>
                <w:sz w:val="17"/>
                <w:szCs w:val="17"/>
                <w:color w:val="auto"/>
              </w:rPr>
            </w:pPr>
          </w:p>
        </w:tc>
      </w:tr>
      <w:tr>
        <w:trPr>
          <w:trHeight w:val="26"/>
        </w:trPr>
        <w:tc>
          <w:tcPr>
            <w:tcW w:w="4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4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r>
      <w:tr>
        <w:trPr>
          <w:trHeight w:val="194"/>
        </w:trPr>
        <w:tc>
          <w:tcPr>
            <w:tcW w:w="4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8"/>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North American Fenestration:</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United States - fenestration</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138,090</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162,215</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379,613</w:t>
            </w:r>
          </w:p>
        </w:tc>
        <w:tc>
          <w:tcPr>
            <w:tcW w:w="16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447,425</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fenestration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22,019</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30,952</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United States - non-fenestration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26,423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8,324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73,823</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22,117</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non-fenestration</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w:t>
            </w:r>
          </w:p>
        </w:tc>
        <w:tc>
          <w:tcPr>
            <w:tcW w:w="1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8,789</w:t>
            </w:r>
          </w:p>
        </w:tc>
      </w:tr>
      <w:tr>
        <w:trPr>
          <w:trHeight w:val="223"/>
        </w:trPr>
        <w:tc>
          <w:tcPr>
            <w:tcW w:w="43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177,081</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184,744</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487,036</w:t>
            </w:r>
          </w:p>
        </w:tc>
        <w:tc>
          <w:tcPr>
            <w:tcW w:w="16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509,283</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European Fenestration: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International - fenestration</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51,752</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49,041</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142,009</w:t>
            </w:r>
          </w:p>
        </w:tc>
        <w:tc>
          <w:tcPr>
            <w:tcW w:w="16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148,525</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non-fenestration</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16,137</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44,595</w:t>
            </w:r>
          </w:p>
        </w:tc>
        <w:tc>
          <w:tcPr>
            <w:tcW w:w="1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51,429</w:t>
            </w:r>
          </w:p>
        </w:tc>
      </w:tr>
      <w:tr>
        <w:trPr>
          <w:trHeight w:val="223"/>
        </w:trPr>
        <w:tc>
          <w:tcPr>
            <w:tcW w:w="43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67,889</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67,613</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186,604</w:t>
            </w:r>
          </w:p>
        </w:tc>
        <w:tc>
          <w:tcPr>
            <w:tcW w:w="16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199,954</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North American Cabinet Components: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United States - fenestration</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4,857</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12,613</w:t>
            </w:r>
          </w:p>
        </w:tc>
        <w:tc>
          <w:tcPr>
            <w:tcW w:w="16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13,288</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 non-fenestration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148,774</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191,908</w:t>
            </w:r>
          </w:p>
        </w:tc>
      </w:tr>
      <w:tr>
        <w:trPr>
          <w:trHeight w:val="230"/>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 non-fenestration</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1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w:t>
            </w:r>
          </w:p>
        </w:tc>
      </w:tr>
      <w:tr>
        <w:trPr>
          <w:trHeight w:val="223"/>
        </w:trPr>
        <w:tc>
          <w:tcPr>
            <w:tcW w:w="43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163,577</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207,711</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Unallocated Corporate &amp; Other</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r>
      <w:tr>
        <w:trPr>
          <w:trHeight w:val="223"/>
        </w:trPr>
        <w:tc>
          <w:tcPr>
            <w:tcW w:w="43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w:t>
            </w:r>
          </w:p>
        </w:tc>
        <w:tc>
          <w:tcPr>
            <w:tcW w:w="1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299,640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324,037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835,091</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913,970</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have established an allowance for credit losses to estimate the risk of losses, which represents an estimate of expected losses over the remaining contractual life of our receivables. The allowance is determined using two methods. The amounts calculated from each of these methods are combined to determine the total amount reserved. First, a specific reserve is established for individual accounts where information indicates the customers may have an inability to meet financial obligations. Second, a reserve is determined for all customers based on a range of percentages applied to aging categories. These percentages are based on historical collection rates, write-off experience, and forecasts of future economic conditions. Actual write-offs are charged against the allowance when collection efforts have been unsuccessful.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Net sales include transactions with a customer which is a related party with one of our non-employee directors for the nine months ended July 31, 2023 of approximately $0.9 million and $1.6 million for the comparable prior year period. We performed a review of these transactions, of which no single transaction or series of related transactions exceeded $120,000 in amount, and determined that these transactions were enacted independently of each other. We are not aware of any other related party transactions with any of our current non-employee directors or officers outside of their normal business functions or expected contractual duties.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w:t>
      </w:r>
    </w:p>
    <w:p>
      <w:pPr>
        <w:spacing w:after="0" w:line="17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On November 1, 2022, we entered into an Asset Purchase Agreement (the “Purchase Agreement”) with LMI Custom Mixing, LLC (“LMI”) and the equity owners of LMI, Lauren International, Ltd. and Meteor-US-Beteiligungs GMBH. Under the Purchase Agreement, we acquired substantially all of the operating assets comprising LMI’s polymer mixing and rubber compound production business (collectively, the “Purchased Assets”) and also agreed to assume certain liabilities relating to the Purchased Assets (collectively, the “Acquisition”). As consideration for the Purchased Assets, we paid $91.3 million in cash utilizing funds borrowed under our Credit Facility. Subsequent to the Acquisition, we had approximately $215 million available for use under the Credit Facility. For the three and nine months ended July 31, 2023, our consolidated operating results included net sales of $19.8 million and $54.0 million, respectively, and operating income of $1.7 million and $5.1 million, respectively, associated with LMI. In connection with the Acquisition, we amended our existing finance lease with Lauren Real Estate Holding LLC for the purpose of adding an additional lease renewal option and increasing rental space by approximately 60,000 square feet of rental space which was added to the 313,595 square feet of rentable area located in Cambridge, Ohio.</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July 31, 2023, we are still determining the purchase price allocation for LMI. A preliminary purchase price allocation of the fair value of the assets acquired and liabilities assumed is included in the table below. These estimates are subject to change and will likely result in an increase or decrease in goodwill, particularly with regard to third-party valuations and our estimates of fixed assets, intangible assets, and inventory, during the measurement period, which may extend up to one year from the acquisition date.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As of Date of</w:t>
            </w:r>
          </w:p>
        </w:tc>
        <w:tc>
          <w:tcPr>
            <w:tcW w:w="0" w:type="dxa"/>
            <w:vAlign w:val="bottom"/>
          </w:tcPr>
          <w:p>
            <w:pPr>
              <w:spacing w:after="0"/>
              <w:rPr>
                <w:sz w:val="1"/>
                <w:szCs w:val="1"/>
                <w:color w:val="auto"/>
              </w:rPr>
            </w:pPr>
          </w:p>
        </w:tc>
      </w:tr>
      <w:tr>
        <w:trPr>
          <w:trHeight w:val="192"/>
        </w:trPr>
        <w:tc>
          <w:tcPr>
            <w:tcW w:w="9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0"/>
              </w:rPr>
              <w:t>Opening Balance Sheet</w:t>
            </w:r>
          </w:p>
        </w:tc>
        <w:tc>
          <w:tcPr>
            <w:tcW w:w="0" w:type="dxa"/>
            <w:vAlign w:val="bottom"/>
          </w:tcPr>
          <w:p>
            <w:pPr>
              <w:spacing w:after="0"/>
              <w:rPr>
                <w:sz w:val="1"/>
                <w:szCs w:val="1"/>
                <w:color w:val="auto"/>
              </w:rPr>
            </w:pPr>
          </w:p>
        </w:tc>
      </w:tr>
      <w:tr>
        <w:trPr>
          <w:trHeight w:val="194"/>
        </w:trPr>
        <w:tc>
          <w:tcPr>
            <w:tcW w:w="9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jc w:val="center"/>
              <w:ind w:right="154"/>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38"/>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06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30"/>
        </w:trPr>
        <w:tc>
          <w:tcPr>
            <w:tcW w:w="90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35,887</w:t>
            </w:r>
          </w:p>
        </w:tc>
        <w:tc>
          <w:tcPr>
            <w:tcW w:w="0" w:type="dxa"/>
            <w:vAlign w:val="bottom"/>
          </w:tcPr>
          <w:p>
            <w:pPr>
              <w:spacing w:after="0"/>
              <w:rPr>
                <w:sz w:val="1"/>
                <w:szCs w:val="1"/>
                <w:color w:val="auto"/>
              </w:rPr>
            </w:pPr>
          </w:p>
        </w:tc>
      </w:tr>
      <w:tr>
        <w:trPr>
          <w:trHeight w:val="230"/>
        </w:trPr>
        <w:tc>
          <w:tcPr>
            <w:tcW w:w="906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41,393</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w:t>
            </w:r>
          </w:p>
        </w:tc>
        <w:tc>
          <w:tcPr>
            <w:tcW w:w="0" w:type="dxa"/>
            <w:vAlign w:val="bottom"/>
          </w:tcPr>
          <w:p>
            <w:pPr>
              <w:spacing w:after="0"/>
              <w:rPr>
                <w:sz w:val="1"/>
                <w:szCs w:val="1"/>
                <w:color w:val="auto"/>
              </w:rPr>
            </w:pPr>
          </w:p>
        </w:tc>
      </w:tr>
      <w:tr>
        <w:trPr>
          <w:trHeight w:val="230"/>
        </w:trPr>
        <w:tc>
          <w:tcPr>
            <w:tcW w:w="90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Long-term debt (finance leases)</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(13,721)</w:t>
            </w:r>
          </w:p>
        </w:tc>
        <w:tc>
          <w:tcPr>
            <w:tcW w:w="0" w:type="dxa"/>
            <w:vAlign w:val="bottom"/>
          </w:tcPr>
          <w:p>
            <w:pPr>
              <w:spacing w:after="0"/>
              <w:rPr>
                <w:sz w:val="1"/>
                <w:szCs w:val="1"/>
                <w:color w:val="auto"/>
              </w:rPr>
            </w:pP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assets acquired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91,302</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Consideration: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06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net of cash and cash equivalents acquired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91,302</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used recognized valuation techniques to determine the preliminary fair value of the assets and liabilities, including the excess earnings method for customer relationships and relief from royalty method for trade names and other technology with a discount rate that reflects the risk of the expected future cash flows. The goodwill balance is deductible for tax purposes. LMI is allocated entirely to our North American Fenestration reportable operating segment.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 Forma Results</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calculated the pro forma impact of the LMI acquisitions and the associated debt financing on our operating results for the three and nine months ended July 31, 2022. The following pro forma results give effect to these acquisitions, assuming the transaction occurred on November 1, 2021.</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tcPr>
          <w:p>
            <w:pPr>
              <w:jc w:val="right"/>
              <w:ind w:right="49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2060" w:type="dxa"/>
            <w:vAlign w:val="bottom"/>
          </w:tcPr>
          <w:p>
            <w:pPr>
              <w:jc w:val="right"/>
              <w:ind w:right="516"/>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4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20" w:type="dxa"/>
            <w:vAlign w:val="bottom"/>
          </w:tcPr>
          <w:p>
            <w:pPr>
              <w:jc w:val="right"/>
              <w:ind w:right="758"/>
              <w:spacing w:after="0"/>
              <w:rPr>
                <w:sz w:val="20"/>
                <w:szCs w:val="20"/>
                <w:color w:val="auto"/>
              </w:rPr>
            </w:pPr>
            <w:r>
              <w:rPr>
                <w:rFonts w:ascii="Arial" w:cs="Arial" w:eastAsia="Arial" w:hAnsi="Arial"/>
                <w:sz w:val="14"/>
                <w:szCs w:val="14"/>
                <w:b w:val="1"/>
                <w:bCs w:val="1"/>
                <w:color w:val="auto"/>
              </w:rPr>
              <w:t>July 31, 2022</w:t>
            </w:r>
          </w:p>
        </w:tc>
        <w:tc>
          <w:tcPr>
            <w:tcW w:w="440" w:type="dxa"/>
            <w:vAlign w:val="bottom"/>
          </w:tcPr>
          <w:p>
            <w:pPr>
              <w:spacing w:after="0"/>
              <w:rPr>
                <w:sz w:val="17"/>
                <w:szCs w:val="17"/>
                <w:color w:val="auto"/>
              </w:rPr>
            </w:pPr>
          </w:p>
        </w:tc>
        <w:tc>
          <w:tcPr>
            <w:tcW w:w="2060" w:type="dxa"/>
            <w:vAlign w:val="bottom"/>
          </w:tcPr>
          <w:p>
            <w:pPr>
              <w:jc w:val="right"/>
              <w:ind w:right="716"/>
              <w:spacing w:after="0"/>
              <w:rPr>
                <w:sz w:val="20"/>
                <w:szCs w:val="20"/>
                <w:color w:val="auto"/>
              </w:rPr>
            </w:pPr>
            <w:r>
              <w:rPr>
                <w:rFonts w:ascii="Arial" w:cs="Arial" w:eastAsia="Arial" w:hAnsi="Arial"/>
                <w:sz w:val="14"/>
                <w:szCs w:val="14"/>
                <w:b w:val="1"/>
                <w:bCs w:val="1"/>
                <w:color w:val="auto"/>
              </w:rPr>
              <w:t>July 31, 2022</w:t>
            </w:r>
          </w:p>
        </w:tc>
      </w:tr>
      <w:tr>
        <w:trPr>
          <w:trHeight w:val="26"/>
        </w:trPr>
        <w:tc>
          <w:tcPr>
            <w:tcW w:w="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gridSpan w:val="3"/>
          </w:tcPr>
          <w:p>
            <w:pPr>
              <w:spacing w:after="0"/>
              <w:rPr>
                <w:sz w:val="2"/>
                <w:szCs w:val="2"/>
                <w:color w:val="auto"/>
              </w:rPr>
            </w:pPr>
          </w:p>
        </w:tc>
      </w:tr>
      <w:tr>
        <w:trPr>
          <w:trHeight w:val="180"/>
        </w:trPr>
        <w:tc>
          <w:tcPr>
            <w:tcW w:w="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20" w:type="dxa"/>
            <w:vAlign w:val="bottom"/>
            <w:gridSpan w:val="3"/>
          </w:tcPr>
          <w:p>
            <w:pPr>
              <w:jc w:val="right"/>
              <w:ind w:right="1116"/>
              <w:spacing w:after="0"/>
              <w:rPr>
                <w:sz w:val="20"/>
                <w:szCs w:val="20"/>
                <w:color w:val="auto"/>
              </w:rPr>
            </w:pPr>
            <w:r>
              <w:rPr>
                <w:rFonts w:ascii="Arial" w:cs="Arial" w:eastAsia="Arial" w:hAnsi="Arial"/>
                <w:sz w:val="14"/>
                <w:szCs w:val="14"/>
                <w:b w:val="1"/>
                <w:bCs w:val="1"/>
                <w:color w:val="auto"/>
              </w:rPr>
              <w:t>(In thousands, except per share amounts)</w:t>
            </w:r>
          </w:p>
        </w:tc>
      </w:tr>
      <w:tr>
        <w:trPr>
          <w:trHeight w:val="246"/>
        </w:trPr>
        <w:tc>
          <w:tcPr>
            <w:tcW w:w="40" w:type="dxa"/>
            <w:vAlign w:val="bottom"/>
          </w:tcPr>
          <w:p>
            <w:pPr>
              <w:spacing w:after="0"/>
              <w:rPr>
                <w:sz w:val="21"/>
                <w:szCs w:val="21"/>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341,925</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963,797</w:t>
            </w:r>
          </w:p>
        </w:tc>
      </w:tr>
      <w:tr>
        <w:trPr>
          <w:trHeight w:val="230"/>
        </w:trPr>
        <w:tc>
          <w:tcPr>
            <w:tcW w:w="4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ind w:right="18"/>
              <w:spacing w:after="0"/>
              <w:rPr>
                <w:sz w:val="20"/>
                <w:szCs w:val="20"/>
                <w:color w:val="auto"/>
              </w:rPr>
            </w:pPr>
            <w:r>
              <w:rPr>
                <w:rFonts w:ascii="Arial" w:cs="Arial" w:eastAsia="Arial" w:hAnsi="Arial"/>
                <w:sz w:val="18"/>
                <w:szCs w:val="18"/>
                <w:color w:val="auto"/>
              </w:rPr>
              <w:t>27,649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68,252</w:t>
            </w:r>
          </w:p>
        </w:tc>
      </w:tr>
      <w:tr>
        <w:trPr>
          <w:trHeight w:val="229"/>
        </w:trPr>
        <w:tc>
          <w:tcPr>
            <w:tcW w:w="40" w:type="dxa"/>
            <w:vAlign w:val="bottom"/>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0.84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4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ind w:right="18"/>
              <w:spacing w:after="0"/>
              <w:rPr>
                <w:sz w:val="20"/>
                <w:szCs w:val="20"/>
                <w:color w:val="auto"/>
              </w:rPr>
            </w:pPr>
            <w:r>
              <w:rPr>
                <w:rFonts w:ascii="Arial" w:cs="Arial" w:eastAsia="Arial" w:hAnsi="Arial"/>
                <w:sz w:val="18"/>
                <w:szCs w:val="18"/>
                <w:color w:val="auto"/>
              </w:rPr>
              <w:t>0.83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2.05</w:t>
            </w:r>
          </w:p>
        </w:tc>
      </w:tr>
    </w:tbl>
    <w:p>
      <w:pPr>
        <w:spacing w:after="0" w:line="22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derived the pro forma results for the LMI acquisition based on historical financial information obtained from the sellers and certain management assumptions. Our pro forma adjustments relate to the elimination of LMI intercompany sales to our North American Fenestration reportable segment and related cost of sales, incremental depreciation and amortization expense associated with property, plant and equipment and intangible assets to affect the transactions, assuming a November 1, 2021 effective date. In addition, we calculated the tax impact of these adjustments at a 25% effective tax rate.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at July 31, 2023 and October 31, 2022 (in thousands):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ind w:left="280"/>
              <w:spacing w:after="0"/>
              <w:rPr>
                <w:sz w:val="20"/>
                <w:szCs w:val="20"/>
                <w:color w:val="auto"/>
              </w:rPr>
            </w:pPr>
            <w:r>
              <w:rPr>
                <w:rFonts w:ascii="Arial" w:cs="Arial" w:eastAsia="Arial" w:hAnsi="Arial"/>
                <w:sz w:val="14"/>
                <w:szCs w:val="14"/>
                <w:b w:val="1"/>
                <w:bCs w:val="1"/>
                <w:color w:val="auto"/>
              </w:rPr>
              <w:t>July 31,</w:t>
            </w:r>
          </w:p>
        </w:tc>
        <w:tc>
          <w:tcPr>
            <w:tcW w:w="300" w:type="dxa"/>
            <w:vAlign w:val="bottom"/>
          </w:tcPr>
          <w:p>
            <w:pPr>
              <w:spacing w:after="0"/>
              <w:rPr>
                <w:sz w:val="14"/>
                <w:szCs w:val="14"/>
                <w:color w:val="auto"/>
              </w:rPr>
            </w:pPr>
          </w:p>
        </w:tc>
        <w:tc>
          <w:tcPr>
            <w:tcW w:w="1440" w:type="dxa"/>
            <w:vAlign w:val="bottom"/>
          </w:tcPr>
          <w:p>
            <w:pPr>
              <w:jc w:val="right"/>
              <w:ind w:right="435"/>
              <w:spacing w:after="0"/>
              <w:rPr>
                <w:sz w:val="20"/>
                <w:szCs w:val="20"/>
                <w:color w:val="auto"/>
              </w:rPr>
            </w:pPr>
            <w:r>
              <w:rPr>
                <w:rFonts w:ascii="Arial" w:cs="Arial" w:eastAsia="Arial" w:hAnsi="Arial"/>
                <w:sz w:val="14"/>
                <w:szCs w:val="14"/>
                <w:b w:val="1"/>
                <w:bCs w:val="1"/>
                <w:color w:val="auto"/>
              </w:rPr>
              <w:t>October 31,</w:t>
            </w:r>
          </w:p>
        </w:tc>
      </w:tr>
      <w:tr>
        <w:trPr>
          <w:trHeight w:val="192"/>
        </w:trPr>
        <w:tc>
          <w:tcPr>
            <w:tcW w:w="75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68,455</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Finished goods and work in process</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47,988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54,013</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Supplies and other</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r>
      <w:tr>
        <w:trPr>
          <w:trHeight w:val="223"/>
        </w:trPr>
        <w:tc>
          <w:tcPr>
            <w:tcW w:w="7540" w:type="dxa"/>
            <w:vAlign w:val="bottom"/>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108,389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124,019</w:t>
            </w:r>
          </w:p>
        </w:tc>
      </w:tr>
      <w:tr>
        <w:trPr>
          <w:trHeight w:val="229"/>
        </w:trPr>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Inventory reserves</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r>
      <w:tr>
        <w:trPr>
          <w:trHeight w:val="223"/>
        </w:trPr>
        <w:tc>
          <w:tcPr>
            <w:tcW w:w="7540" w:type="dxa"/>
            <w:vAlign w:val="bottom"/>
          </w:tcPr>
          <w:p>
            <w:pPr>
              <w:ind w:left="540"/>
              <w:spacing w:after="0"/>
              <w:rPr>
                <w:sz w:val="20"/>
                <w:szCs w:val="20"/>
                <w:color w:val="auto"/>
              </w:rPr>
            </w:pPr>
            <w:r>
              <w:rPr>
                <w:rFonts w:ascii="Arial" w:cs="Arial" w:eastAsia="Arial" w:hAnsi="Arial"/>
                <w:sz w:val="18"/>
                <w:szCs w:val="18"/>
                <w:color w:val="auto"/>
              </w:rPr>
              <w:t>Inventories,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105,368</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120,890</w:t>
            </w:r>
          </w:p>
        </w:tc>
      </w:tr>
      <w:tr>
        <w:trPr>
          <w:trHeight w:val="20"/>
        </w:trPr>
        <w:tc>
          <w:tcPr>
            <w:tcW w:w="7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Fixed costs related to excess manufacturing capacity, if any, have been expensed in the period they were incurred and, therefore, are not capitalized into inventory.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75"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We recognize a right-of-use (ROU) asset and lease liability for each operating and finance lease with a contractual term greater than 12 months at the time of lease inception. We include ROU assets and lease liabilities for leases that exist within other contracts. Leases with an original term of 12 months or less are not recognized on the balance sheet, and the rent expense related to those short-term leases is recognized over the lease term. We do not account for lease and non-lease (e.g., common area maintenance) components of contracts separately for any underlying asset class.</w:t>
      </w:r>
    </w:p>
    <w:p>
      <w:pPr>
        <w:spacing w:after="0" w:line="103"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We lease certain manufacturing plants, warehouses, office space, vehicles and equipment under finance and operating leases. Lease commencement occurs on the date we take possession or control of the property or equipment. Original terms for our real estate-related leases are generally between five years and twenty years. Original terms for equipment-related leases, primarily manufacturing equipment and vehicles, are generally between one year and ten years. Some of our leases also include rental escalation clauses. Renewal options are included in the determination of lease payments when management determines the options are reasonably certain of exercise, considering financial performance, strategic importance and/or invested capital.</w:t>
      </w:r>
    </w:p>
    <w:p>
      <w:pPr>
        <w:spacing w:after="0" w:line="10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If readily determinable, the rate implicit in the lease is used to discount lease payments to present value; however, substantially all of our leases do not provide a readily determinable implicit rate. When the implicit rate is not determinable, our estimated incremental borrowing rate is utilized, determined on a collateralized basis, to discount lease payments based on information available at lease commencement.</w:t>
      </w:r>
    </w:p>
    <w:p>
      <w:pPr>
        <w:spacing w:after="0" w:line="13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Total lease costs recorded include fixed operating lease costs and variable lease costs. Most of our real estate leases require we pay certain expenses, such as common area maintenance costs, of which the fixed portion is included in operating lease costs. We recognize operating lease costs on a straight-line basis over the lease term. In addition to the above costs, variable lease costs are recognized when probable and are not included in determining the present value of our lease liability.</w:t>
      </w:r>
    </w:p>
    <w:p>
      <w:pPr>
        <w:spacing w:after="0" w:line="13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ROU asset is measured at the initial amount of the lease liability adjusted for lease payments made at or before the lease commencement date and initial direct costs. For operating leases, ROU assets are reduced over the lease term by the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recognized straight-line lease expense less the amount of accretion of the lease liability determined using the effective interest method. For finance leases, ROU assets are amortized on a straight-line basis over the shorter of the useful life of the leased asset or the lease term. Interest expense on each finance lease liability is recognized utilizing the effective interest method. ROU assets are tested for impairment in the same manner as long-lived assets. Additionally, we monitor for events or changes in circumstances that may require a reassessment of one of our leases and determine if a remeasurement is required.</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presents the lease-related assets and liabilities recorded on the balance sheet at July 31, 2023 and October 31, 2022 (in thousands):</w:t>
      </w:r>
    </w:p>
    <w:p>
      <w:pPr>
        <w:spacing w:after="0" w:line="30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rPr>
              <w:t>Leases</w:t>
            </w:r>
          </w:p>
        </w:tc>
        <w:tc>
          <w:tcPr>
            <w:tcW w:w="424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Classification</w:t>
            </w:r>
          </w:p>
        </w:tc>
        <w:tc>
          <w:tcPr>
            <w:tcW w:w="3600" w:type="dxa"/>
            <w:vAlign w:val="bottom"/>
          </w:tcPr>
          <w:p>
            <w:pPr>
              <w:jc w:val="center"/>
              <w:ind w:left="1688"/>
              <w:spacing w:after="0"/>
              <w:rPr>
                <w:sz w:val="20"/>
                <w:szCs w:val="20"/>
                <w:color w:val="auto"/>
              </w:rPr>
            </w:pPr>
            <w:r>
              <w:rPr>
                <w:rFonts w:ascii="Arial" w:cs="Arial" w:eastAsia="Arial" w:hAnsi="Arial"/>
                <w:sz w:val="14"/>
                <w:szCs w:val="14"/>
                <w:b w:val="1"/>
                <w:bCs w:val="1"/>
                <w:color w:val="auto"/>
                <w:w w:val="93"/>
              </w:rPr>
              <w:t>July 31,</w:t>
            </w:r>
          </w:p>
        </w:tc>
        <w:tc>
          <w:tcPr>
            <w:tcW w:w="1380" w:type="dxa"/>
            <w:vAlign w:val="bottom"/>
          </w:tcPr>
          <w:p>
            <w:pPr>
              <w:jc w:val="center"/>
              <w:ind w:left="588"/>
              <w:spacing w:after="0"/>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86"/>
        </w:trPr>
        <w:tc>
          <w:tcPr>
            <w:tcW w:w="1360" w:type="dxa"/>
            <w:vAlign w:val="bottom"/>
            <w:vMerge w:val="continue"/>
          </w:tcPr>
          <w:p>
            <w:pPr>
              <w:spacing w:after="0"/>
              <w:rPr>
                <w:sz w:val="16"/>
                <w:szCs w:val="16"/>
                <w:color w:val="auto"/>
              </w:rPr>
            </w:pPr>
          </w:p>
        </w:tc>
        <w:tc>
          <w:tcPr>
            <w:tcW w:w="4240" w:type="dxa"/>
            <w:vAlign w:val="bottom"/>
            <w:vMerge w:val="continue"/>
          </w:tcPr>
          <w:p>
            <w:pPr>
              <w:spacing w:after="0"/>
              <w:rPr>
                <w:sz w:val="16"/>
                <w:szCs w:val="16"/>
                <w:color w:val="auto"/>
              </w:rPr>
            </w:pPr>
          </w:p>
        </w:tc>
        <w:tc>
          <w:tcPr>
            <w:tcW w:w="3600" w:type="dxa"/>
            <w:vAlign w:val="bottom"/>
          </w:tcPr>
          <w:p>
            <w:pPr>
              <w:jc w:val="right"/>
              <w:ind w:right="708"/>
              <w:spacing w:after="0"/>
              <w:rPr>
                <w:sz w:val="20"/>
                <w:szCs w:val="20"/>
                <w:color w:val="auto"/>
              </w:rPr>
            </w:pPr>
            <w:r>
              <w:rPr>
                <w:rFonts w:ascii="Arial" w:cs="Arial" w:eastAsia="Arial" w:hAnsi="Arial"/>
                <w:sz w:val="14"/>
                <w:szCs w:val="14"/>
                <w:b w:val="1"/>
                <w:bCs w:val="1"/>
                <w:color w:val="auto"/>
              </w:rPr>
              <w:t>2023</w:t>
            </w:r>
          </w:p>
        </w:tc>
        <w:tc>
          <w:tcPr>
            <w:tcW w:w="1380" w:type="dxa"/>
            <w:vAlign w:val="bottom"/>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10160</wp:posOffset>
            </wp:positionV>
            <wp:extent cx="708914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Operating lease assets</w:t>
      </w:r>
    </w:p>
    <w:p>
      <w:pPr>
        <w:spacing w:after="0" w:line="151" w:lineRule="exact"/>
        <w:rPr>
          <w:sz w:val="20"/>
          <w:szCs w:val="20"/>
          <w:color w:val="auto"/>
        </w:rPr>
      </w:pPr>
    </w:p>
    <w:p>
      <w:pPr>
        <w:ind w:left="60" w:right="160" w:firstLine="122"/>
        <w:spacing w:after="0" w:line="446" w:lineRule="auto"/>
        <w:rPr>
          <w:sz w:val="20"/>
          <w:szCs w:val="20"/>
          <w:color w:val="auto"/>
        </w:rPr>
      </w:pPr>
      <w:r>
        <w:rPr>
          <w:rFonts w:ascii="Arial" w:cs="Arial" w:eastAsia="Arial" w:hAnsi="Arial"/>
          <w:sz w:val="15"/>
          <w:szCs w:val="15"/>
          <w:color w:val="auto"/>
        </w:rPr>
        <w:t xml:space="preserve">Finance lease assets </w:t>
      </w:r>
      <w:r>
        <w:rPr>
          <w:rFonts w:ascii="Arial" w:cs="Arial" w:eastAsia="Arial" w:hAnsi="Arial"/>
          <w:sz w:val="15"/>
          <w:szCs w:val="15"/>
          <w:b w:val="1"/>
          <w:bCs w:val="1"/>
          <w:color w:val="auto"/>
        </w:rPr>
        <w:t>Total lease assets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3"/>
          </w:tcPr>
          <w:p>
            <w:pPr>
              <w:spacing w:after="0"/>
              <w:rPr>
                <w:sz w:val="20"/>
                <w:szCs w:val="20"/>
                <w:color w:val="auto"/>
              </w:rPr>
            </w:pPr>
            <w:r>
              <w:rPr>
                <w:rFonts w:ascii="Arial" w:cs="Arial" w:eastAsia="Arial" w:hAnsi="Arial"/>
                <w:sz w:val="18"/>
                <w:szCs w:val="18"/>
                <w:color w:val="auto"/>
              </w:rPr>
              <w:t>Operating lease right-of-use assets</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45,804</w:t>
            </w:r>
          </w:p>
        </w:tc>
        <w:tc>
          <w:tcPr>
            <w:tcW w:w="12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56,000</w:t>
            </w:r>
          </w:p>
        </w:tc>
      </w:tr>
      <w:tr>
        <w:trPr>
          <w:trHeight w:val="190"/>
        </w:trPr>
        <w:tc>
          <w:tcPr>
            <w:tcW w:w="5080" w:type="dxa"/>
            <w:vAlign w:val="bottom"/>
            <w:gridSpan w:val="3"/>
          </w:tcPr>
          <w:p>
            <w:pPr>
              <w:spacing w:after="0" w:line="190" w:lineRule="exact"/>
              <w:rPr>
                <w:sz w:val="20"/>
                <w:szCs w:val="20"/>
                <w:color w:val="auto"/>
              </w:rPr>
            </w:pPr>
            <w:r>
              <w:rPr>
                <w:rFonts w:ascii="Arial" w:cs="Arial" w:eastAsia="Arial" w:hAnsi="Arial"/>
                <w:sz w:val="18"/>
                <w:szCs w:val="18"/>
                <w:color w:val="auto"/>
                <w:w w:val="98"/>
              </w:rPr>
              <w:t>Property, plant and equipment (less accumulated depreciation of</w:t>
            </w: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3"/>
                <w:shd w:val="clear" w:color="auto" w:fill="CCEEFF"/>
              </w:rPr>
              <w:t>$6,073</w:t>
            </w:r>
          </w:p>
        </w:tc>
        <w:tc>
          <w:tcPr>
            <w:tcW w:w="4580" w:type="dxa"/>
            <w:vAlign w:val="bottom"/>
          </w:tcPr>
          <w:p>
            <w:pPr>
              <w:ind w:left="40"/>
              <w:spacing w:after="0" w:line="202" w:lineRule="exact"/>
              <w:rPr>
                <w:sz w:val="20"/>
                <w:szCs w:val="20"/>
                <w:color w:val="auto"/>
              </w:rPr>
            </w:pPr>
            <w:r>
              <w:rPr>
                <w:rFonts w:ascii="Arial" w:cs="Arial" w:eastAsia="Arial" w:hAnsi="Arial"/>
                <w:sz w:val="18"/>
                <w:szCs w:val="18"/>
                <w:color w:val="auto"/>
              </w:rPr>
              <w:t>and $3,726)</w:t>
            </w:r>
          </w:p>
        </w:tc>
        <w:tc>
          <w:tcPr>
            <w:tcW w:w="6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58,804</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22,003</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104,608</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78,003</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-453390</wp:posOffset>
            </wp:positionV>
            <wp:extent cx="708914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26543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1780" w:space="580"/>
            <w:col w:w="8880"/>
          </w:cols>
          <w:pgMar w:left="320" w:top="125" w:right="339" w:bottom="1440" w:gutter="0" w:footer="0" w:header="0"/>
          <w:type w:val="continuous"/>
        </w:sectPr>
      </w:pPr>
    </w:p>
    <w:tbl>
      <w:tblPr>
        <w:tblLayout w:type="fixed"/>
        <w:tblInd w:w="40" w:type="dxa"/>
        <w:tblCellMar>
          <w:top w:w="0" w:type="dxa"/>
          <w:left w:w="0" w:type="dxa"/>
          <w:bottom w:w="0" w:type="dxa"/>
          <w:right w:w="0" w:type="dxa"/>
        </w:tblCellMar>
      </w:tblPr>
      <w:tr>
        <w:trPr>
          <w:trHeight w:val="223"/>
        </w:trPr>
        <w:tc>
          <w:tcPr>
            <w:tcW w:w="1960" w:type="dxa"/>
            <w:vAlign w:val="bottom"/>
            <w:shd w:val="clear" w:color="auto" w:fill="CCEEFF"/>
          </w:tcPr>
          <w:p>
            <w:pPr>
              <w:spacing w:after="0"/>
              <w:rPr>
                <w:sz w:val="19"/>
                <w:szCs w:val="19"/>
                <w:color w:val="auto"/>
              </w:rPr>
            </w:pPr>
          </w:p>
        </w:tc>
        <w:tc>
          <w:tcPr>
            <w:tcW w:w="5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19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5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5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196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5440" w:type="dxa"/>
            <w:vAlign w:val="bottom"/>
          </w:tcPr>
          <w:p>
            <w:pPr>
              <w:ind w:left="360"/>
              <w:spacing w:after="0"/>
              <w:rPr>
                <w:sz w:val="20"/>
                <w:szCs w:val="20"/>
                <w:color w:val="auto"/>
              </w:rPr>
            </w:pPr>
            <w:r>
              <w:rPr>
                <w:rFonts w:ascii="Arial" w:cs="Arial" w:eastAsia="Arial" w:hAnsi="Arial"/>
                <w:sz w:val="18"/>
                <w:szCs w:val="18"/>
                <w:color w:val="auto"/>
              </w:rPr>
              <w:t>Current operating lease liabilities</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7,388</w:t>
            </w:r>
          </w:p>
        </w:tc>
        <w:tc>
          <w:tcPr>
            <w:tcW w:w="12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7,727</w:t>
            </w:r>
          </w:p>
        </w:tc>
      </w:tr>
      <w:tr>
        <w:trPr>
          <w:trHeight w:val="229"/>
        </w:trPr>
        <w:tc>
          <w:tcPr>
            <w:tcW w:w="1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w:t>
            </w:r>
          </w:p>
        </w:tc>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r>
      <w:tr>
        <w:trPr>
          <w:trHeight w:val="230"/>
        </w:trPr>
        <w:tc>
          <w:tcPr>
            <w:tcW w:w="1960" w:type="dxa"/>
            <w:vAlign w:val="bottom"/>
          </w:tcPr>
          <w:p>
            <w:pPr>
              <w:ind w:left="140"/>
              <w:spacing w:after="0"/>
              <w:rPr>
                <w:sz w:val="20"/>
                <w:szCs w:val="20"/>
                <w:color w:val="auto"/>
              </w:rPr>
            </w:pPr>
            <w:r>
              <w:rPr>
                <w:rFonts w:ascii="Arial" w:cs="Arial" w:eastAsia="Arial" w:hAnsi="Arial"/>
                <w:sz w:val="18"/>
                <w:szCs w:val="18"/>
                <w:color w:val="auto"/>
              </w:rPr>
              <w:t>Noncurrent</w:t>
            </w:r>
          </w:p>
        </w:tc>
        <w:tc>
          <w:tcPr>
            <w:tcW w:w="5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operating lease liabilities</w:t>
            </w: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49,286</w:t>
            </w:r>
          </w:p>
        </w:tc>
      </w:tr>
      <w:tr>
        <w:trPr>
          <w:trHeight w:val="229"/>
        </w:trPr>
        <w:tc>
          <w:tcPr>
            <w:tcW w:w="1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Finance</w:t>
            </w:r>
          </w:p>
        </w:tc>
        <w:tc>
          <w:tcPr>
            <w:tcW w:w="5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Long-term debt</w:t>
            </w: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53,189</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17,816</w:t>
            </w:r>
          </w:p>
        </w:tc>
      </w:tr>
      <w:tr>
        <w:trPr>
          <w:trHeight w:val="248"/>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5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102,447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76,165</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presents the components of lease costs for the three and nine months ended July 31, 2023 and 2022 was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8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w w:val="92"/>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6"/>
                <w:szCs w:val="16"/>
                <w:color w:val="auto"/>
              </w:rPr>
            </w:pPr>
          </w:p>
        </w:tc>
      </w:tr>
      <w:tr>
        <w:trPr>
          <w:trHeight w:val="203"/>
        </w:trPr>
        <w:tc>
          <w:tcPr>
            <w:tcW w:w="4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80" w:type="dxa"/>
            <w:vAlign w:val="bottom"/>
            <w:gridSpan w:val="3"/>
          </w:tcPr>
          <w:p>
            <w:pPr>
              <w:jc w:val="right"/>
              <w:ind w:right="696"/>
              <w:spacing w:after="0"/>
              <w:rPr>
                <w:sz w:val="20"/>
                <w:szCs w:val="20"/>
                <w:color w:val="auto"/>
              </w:rPr>
            </w:pPr>
            <w:r>
              <w:rPr>
                <w:rFonts w:ascii="Arial" w:cs="Arial" w:eastAsia="Arial" w:hAnsi="Arial"/>
                <w:sz w:val="14"/>
                <w:szCs w:val="14"/>
                <w:b w:val="1"/>
                <w:bCs w:val="1"/>
                <w:color w:val="auto"/>
              </w:rPr>
              <w:t>July 31,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6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July 31,</w:t>
            </w:r>
          </w:p>
        </w:tc>
        <w:tc>
          <w:tcPr>
            <w:tcW w:w="940" w:type="dxa"/>
            <w:vAlign w:val="bottom"/>
          </w:tcPr>
          <w:p>
            <w:pPr>
              <w:spacing w:after="0"/>
              <w:rPr>
                <w:sz w:val="17"/>
                <w:szCs w:val="17"/>
                <w:color w:val="auto"/>
              </w:rPr>
            </w:pPr>
          </w:p>
        </w:tc>
      </w:tr>
      <w:tr>
        <w:trPr>
          <w:trHeight w:val="25"/>
        </w:trPr>
        <w:tc>
          <w:tcPr>
            <w:tcW w:w="48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48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2022</w:t>
            </w: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cost</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w:t>
            </w:r>
          </w:p>
        </w:tc>
      </w:tr>
      <w:tr>
        <w:trPr>
          <w:trHeight w:val="203"/>
        </w:trPr>
        <w:tc>
          <w:tcPr>
            <w:tcW w:w="4820" w:type="dxa"/>
            <w:vAlign w:val="bottom"/>
          </w:tcPr>
          <w:p>
            <w:pPr>
              <w:ind w:left="140"/>
              <w:spacing w:after="0" w:line="202" w:lineRule="exact"/>
              <w:rPr>
                <w:sz w:val="20"/>
                <w:szCs w:val="20"/>
                <w:color w:val="auto"/>
              </w:rPr>
            </w:pPr>
            <w:r>
              <w:rPr>
                <w:rFonts w:ascii="Arial" w:cs="Arial" w:eastAsia="Arial" w:hAnsi="Arial"/>
                <w:sz w:val="18"/>
                <w:szCs w:val="18"/>
                <w:color w:val="auto"/>
              </w:rPr>
              <w:t>Finance lease cost</w:t>
            </w: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leased assets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29"/>
        </w:trPr>
        <w:tc>
          <w:tcPr>
            <w:tcW w:w="4820" w:type="dxa"/>
            <w:vAlign w:val="bottom"/>
          </w:tcPr>
          <w:p>
            <w:pPr>
              <w:ind w:left="360"/>
              <w:spacing w:after="0"/>
              <w:rPr>
                <w:sz w:val="20"/>
                <w:szCs w:val="20"/>
                <w:color w:val="auto"/>
              </w:rPr>
            </w:pPr>
            <w:r>
              <w:rPr>
                <w:rFonts w:ascii="Arial" w:cs="Arial" w:eastAsia="Arial" w:hAnsi="Arial"/>
                <w:sz w:val="18"/>
                <w:szCs w:val="18"/>
                <w:color w:val="auto"/>
              </w:rPr>
              <w:t>Interest on lease liabilities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Variable lease costs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Total lease cost</w:t>
            </w: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3,224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12,195</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9,630</w:t>
            </w:r>
          </w:p>
        </w:tc>
      </w:tr>
      <w:tr>
        <w:trPr>
          <w:trHeight w:val="20"/>
        </w:trPr>
        <w:tc>
          <w:tcPr>
            <w:tcW w:w="4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table below presents supplemental cash flow information related to leases for the nine months ended July 31, 2023 and 2022 was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Nine Months Ended</w:t>
            </w:r>
          </w:p>
        </w:tc>
        <w:tc>
          <w:tcPr>
            <w:tcW w:w="1180" w:type="dxa"/>
            <w:vAlign w:val="bottom"/>
          </w:tcPr>
          <w:p>
            <w:pPr>
              <w:spacing w:after="0"/>
              <w:rPr>
                <w:sz w:val="16"/>
                <w:szCs w:val="16"/>
                <w:color w:val="auto"/>
              </w:rPr>
            </w:pPr>
          </w:p>
        </w:tc>
      </w:tr>
      <w:tr>
        <w:trPr>
          <w:trHeight w:val="203"/>
        </w:trPr>
        <w:tc>
          <w:tcPr>
            <w:tcW w:w="7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8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July 31,</w:t>
            </w:r>
          </w:p>
        </w:tc>
        <w:tc>
          <w:tcPr>
            <w:tcW w:w="1180" w:type="dxa"/>
            <w:vAlign w:val="bottom"/>
          </w:tcPr>
          <w:p>
            <w:pPr>
              <w:spacing w:after="0"/>
              <w:rPr>
                <w:sz w:val="17"/>
                <w:szCs w:val="17"/>
                <w:color w:val="auto"/>
              </w:rPr>
            </w:pPr>
          </w:p>
        </w:tc>
      </w:tr>
      <w:tr>
        <w:trPr>
          <w:trHeight w:val="26"/>
        </w:trPr>
        <w:tc>
          <w:tcPr>
            <w:tcW w:w="74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4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2022</w:t>
            </w:r>
          </w:p>
        </w:tc>
      </w:tr>
      <w:tr>
        <w:trPr>
          <w:trHeight w:val="189"/>
        </w:trPr>
        <w:tc>
          <w:tcPr>
            <w:tcW w:w="74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Finance leases - financing cash flows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1,762</w:t>
            </w:r>
          </w:p>
        </w:tc>
        <w:tc>
          <w:tcPr>
            <w:tcW w:w="12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 - operating cash flows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Operating leases - operating cash flows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6,848</w:t>
            </w:r>
          </w:p>
        </w:tc>
        <w:tc>
          <w:tcPr>
            <w:tcW w:w="12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7,551</w:t>
            </w:r>
          </w:p>
        </w:tc>
      </w:tr>
      <w:tr>
        <w:trPr>
          <w:trHeight w:val="270"/>
        </w:trPr>
        <w:tc>
          <w:tcPr>
            <w:tcW w:w="74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Right-of-use assets obtained in exchange for lease liabilities:</w:t>
            </w: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25,723</w:t>
            </w:r>
          </w:p>
        </w:tc>
        <w:tc>
          <w:tcPr>
            <w:tcW w:w="120" w:type="dxa"/>
            <w:vAlign w:val="bottom"/>
          </w:tcPr>
          <w:p>
            <w:pPr>
              <w:spacing w:after="0"/>
              <w:rPr>
                <w:sz w:val="20"/>
                <w:szCs w:val="20"/>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6,028</w:t>
            </w:r>
          </w:p>
        </w:tc>
      </w:tr>
    </w:tbl>
    <w:p>
      <w:pPr>
        <w:spacing w:after="0" w:line="255"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The table below presents the weighted-average remaining lease terms and weighted-average discount rates for the Company's leases as of July 31, 2023 and October 31, 2022:</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July 31, 2023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jc w:val="right"/>
              <w:ind w:right="513"/>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jc w:val="right"/>
              <w:ind w:right="73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leases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Weighted-average discount rate</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4.01 %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3.84 %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leases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w w:val="92"/>
              </w:rPr>
              <w:t>The table below presents the maturity of the lease liabilities as of July 31, 2023 (in thousands):</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3"/>
          </w:tcPr>
          <w:p>
            <w:pPr>
              <w:ind w:left="140"/>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jc w:val="right"/>
              <w:ind w:right="373"/>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3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(remaining three months)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8,829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5,847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30,062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lease payments</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present value discount</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12,424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carrying amount of goodwill for the nine months ended July 31, 2023 was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ind w:right="315"/>
              <w:spacing w:after="0"/>
              <w:rPr>
                <w:sz w:val="20"/>
                <w:szCs w:val="20"/>
                <w:color w:val="auto"/>
              </w:rPr>
            </w:pPr>
            <w:r>
              <w:rPr>
                <w:rFonts w:ascii="Arial" w:cs="Arial" w:eastAsia="Arial" w:hAnsi="Arial"/>
                <w:sz w:val="16"/>
                <w:szCs w:val="16"/>
                <w:b w:val="1"/>
                <w:bCs w:val="1"/>
                <w:color w:val="auto"/>
              </w:rPr>
              <w:t>Nine Months Ended</w:t>
            </w:r>
          </w:p>
        </w:tc>
      </w:tr>
      <w:tr>
        <w:trPr>
          <w:trHeight w:val="186"/>
        </w:trPr>
        <w:tc>
          <w:tcPr>
            <w:tcW w:w="9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jc w:val="right"/>
              <w:ind w:right="615"/>
              <w:spacing w:after="0"/>
              <w:rPr>
                <w:sz w:val="20"/>
                <w:szCs w:val="20"/>
                <w:color w:val="auto"/>
              </w:rPr>
            </w:pPr>
            <w:r>
              <w:rPr>
                <w:rFonts w:ascii="Arial" w:cs="Arial" w:eastAsia="Arial" w:hAnsi="Arial"/>
                <w:sz w:val="14"/>
                <w:szCs w:val="14"/>
                <w:b w:val="1"/>
                <w:bCs w:val="1"/>
                <w:color w:val="auto"/>
              </w:rPr>
              <w:t>July 31, 2023</w:t>
            </w:r>
          </w:p>
        </w:tc>
      </w:tr>
      <w:tr>
        <w:trPr>
          <w:trHeight w:val="26"/>
        </w:trPr>
        <w:tc>
          <w:tcPr>
            <w:tcW w:w="9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as of November 1,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137,855</w:t>
            </w:r>
          </w:p>
        </w:tc>
      </w:tr>
      <w:tr>
        <w:trPr>
          <w:trHeight w:val="229"/>
        </w:trPr>
        <w:tc>
          <w:tcPr>
            <w:tcW w:w="9060" w:type="dxa"/>
            <w:vAlign w:val="bottom"/>
          </w:tcPr>
          <w:p>
            <w:pPr>
              <w:ind w:left="360"/>
              <w:spacing w:after="0"/>
              <w:rPr>
                <w:sz w:val="20"/>
                <w:szCs w:val="20"/>
                <w:color w:val="auto"/>
              </w:rPr>
            </w:pPr>
            <w:r>
              <w:rPr>
                <w:rFonts w:ascii="Arial" w:cs="Arial" w:eastAsia="Arial" w:hAnsi="Arial"/>
                <w:sz w:val="18"/>
                <w:szCs w:val="18"/>
                <w:color w:val="auto"/>
              </w:rPr>
              <w:t>LMI acquisition</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41,393</w:t>
            </w:r>
          </w:p>
        </w:tc>
      </w:tr>
      <w:tr>
        <w:trPr>
          <w:trHeight w:val="230"/>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7,161</w:t>
            </w:r>
          </w:p>
        </w:tc>
      </w:tr>
      <w:tr>
        <w:trPr>
          <w:trHeight w:val="223"/>
        </w:trPr>
        <w:tc>
          <w:tcPr>
            <w:tcW w:w="9060" w:type="dxa"/>
            <w:vAlign w:val="bottom"/>
          </w:tcPr>
          <w:p>
            <w:pPr>
              <w:ind w:left="20"/>
              <w:spacing w:after="0"/>
              <w:rPr>
                <w:sz w:val="20"/>
                <w:szCs w:val="20"/>
                <w:color w:val="auto"/>
              </w:rPr>
            </w:pPr>
            <w:r>
              <w:rPr>
                <w:rFonts w:ascii="Arial" w:cs="Arial" w:eastAsia="Arial" w:hAnsi="Arial"/>
                <w:sz w:val="18"/>
                <w:szCs w:val="18"/>
                <w:color w:val="auto"/>
              </w:rPr>
              <w:t>Balance as of the end of the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186,409</w:t>
            </w:r>
          </w:p>
        </w:tc>
      </w:tr>
      <w:tr>
        <w:trPr>
          <w:trHeight w:val="21"/>
        </w:trPr>
        <w:tc>
          <w:tcPr>
            <w:tcW w:w="9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At our last annual test date, August 31, 2022, we evaluated the recoverability of goodwill at each of our five reporting units with goodwill balances and determined that our goodwill was not impaired. An additional reporting unit was acquired during the nine months ended July 31, 2023. We evaluated for indicators of impairment for all reporting units during the three and nine months ended July 31, 2023 and determined that there were no triggering events. For additional discussion of change in reporting units and a summary of the change in the carrying amount of goodwill by segment, see Note 12, “Segment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Amortizable intangible assets consisted of the following as of July 31, 2023 and October 31, 2022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920"/>
              <w:spacing w:after="0"/>
              <w:rPr>
                <w:sz w:val="20"/>
                <w:szCs w:val="20"/>
                <w:color w:val="auto"/>
              </w:rPr>
            </w:pPr>
            <w:r>
              <w:rPr>
                <w:rFonts w:ascii="Arial" w:cs="Arial" w:eastAsia="Arial" w:hAnsi="Arial"/>
                <w:sz w:val="14"/>
                <w:szCs w:val="14"/>
                <w:b w:val="1"/>
                <w:bCs w:val="1"/>
                <w:color w:val="auto"/>
              </w:rPr>
              <w:t>July 31, 2023</w:t>
            </w:r>
          </w:p>
        </w:tc>
        <w:tc>
          <w:tcPr>
            <w:tcW w:w="160" w:type="dxa"/>
            <w:vAlign w:val="bottom"/>
          </w:tcPr>
          <w:p>
            <w:pPr>
              <w:spacing w:after="0"/>
              <w:rPr>
                <w:sz w:val="16"/>
                <w:szCs w:val="16"/>
                <w:color w:val="auto"/>
              </w:rPr>
            </w:pPr>
          </w:p>
        </w:tc>
        <w:tc>
          <w:tcPr>
            <w:tcW w:w="2860" w:type="dxa"/>
            <w:vAlign w:val="bottom"/>
            <w:gridSpan w:val="4"/>
          </w:tcPr>
          <w:p>
            <w:pPr>
              <w:jc w:val="right"/>
              <w:ind w:right="916"/>
              <w:spacing w:after="0"/>
              <w:rPr>
                <w:sz w:val="20"/>
                <w:szCs w:val="20"/>
                <w:color w:val="auto"/>
              </w:rPr>
            </w:pPr>
            <w:r>
              <w:rPr>
                <w:rFonts w:ascii="Arial" w:cs="Arial" w:eastAsia="Arial" w:hAnsi="Arial"/>
                <w:sz w:val="14"/>
                <w:szCs w:val="14"/>
                <w:b w:val="1"/>
                <w:bCs w:val="1"/>
                <w:color w:val="auto"/>
              </w:rPr>
              <w:t>October 31, 2022</w:t>
            </w:r>
          </w:p>
        </w:tc>
      </w:tr>
      <w:tr>
        <w:trPr>
          <w:trHeight w:val="26"/>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29"/>
        </w:trPr>
        <w:tc>
          <w:tcPr>
            <w:tcW w:w="50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4"/>
              </w:rPr>
              <w:t>Gross Carrying</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36"/>
              <w:spacing w:after="0" w:line="12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Accumulated</w:t>
            </w:r>
          </w:p>
        </w:tc>
      </w:tr>
      <w:tr>
        <w:trPr>
          <w:trHeight w:val="196"/>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7"/>
                <w:szCs w:val="17"/>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7"/>
                <w:szCs w:val="17"/>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rPr>
              <w:t>Amortization</w:t>
            </w:r>
          </w:p>
        </w:tc>
      </w:tr>
      <w:tr>
        <w:trPr>
          <w:trHeight w:val="229"/>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159,697</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97,647</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139,607</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88,646</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56,161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42,737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54,389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40,610</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and other technology</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25,162</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22,019</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22,390</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22,095</w:t>
            </w:r>
          </w:p>
        </w:tc>
      </w:tr>
      <w:tr>
        <w:trPr>
          <w:trHeight w:val="223"/>
        </w:trPr>
        <w:tc>
          <w:tcPr>
            <w:tcW w:w="5040" w:type="dxa"/>
            <w:vAlign w:val="bottom"/>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241,020</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162,403</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216,386</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151,351</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connection to the LMI Acquisition, we added gross carrying intangibles of $16.0 million of customer relationships, $3.0 million of other technology and $0.5 million of trade names, each with the weighted-average amortization of twenty years. We had aggregate amortization expense related to intangible assets for the three and nine months ended July 31, 2023 of $3.0 million and $9.1 million, respectively, and $3.0 million and $9.0 million for the comparable prior year periods.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Estimated remaining amortization expense, assuming current intangible balances and no new acquisitions, for future fiscal years as of July 31, 2023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jc w:val="right"/>
              <w:ind w:right="694"/>
              <w:spacing w:after="0"/>
              <w:rPr>
                <w:sz w:val="20"/>
                <w:szCs w:val="20"/>
                <w:color w:val="auto"/>
              </w:rPr>
            </w:pPr>
            <w:r>
              <w:rPr>
                <w:rFonts w:ascii="Arial" w:cs="Arial" w:eastAsia="Arial" w:hAnsi="Arial"/>
                <w:sz w:val="14"/>
                <w:szCs w:val="14"/>
                <w:b w:val="1"/>
                <w:bCs w:val="1"/>
                <w:color w:val="auto"/>
              </w:rPr>
              <w:t>Estimated</w:t>
            </w:r>
          </w:p>
        </w:tc>
      </w:tr>
      <w:tr>
        <w:trPr>
          <w:trHeight w:val="192"/>
        </w:trPr>
        <w:tc>
          <w:tcPr>
            <w:tcW w:w="90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Amortization Expense</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three months)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11,427</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10,199</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10,124</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10,125</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33,739</w:t>
            </w: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78,617</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and Finance Lease Obligations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at July 31, 2023 and October 31, 2022 (in thousands):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July 31,</w:t>
            </w:r>
          </w:p>
        </w:tc>
        <w:tc>
          <w:tcPr>
            <w:tcW w:w="320" w:type="dxa"/>
            <w:vAlign w:val="bottom"/>
          </w:tcPr>
          <w:p>
            <w:pPr>
              <w:spacing w:after="0"/>
              <w:rPr>
                <w:sz w:val="14"/>
                <w:szCs w:val="14"/>
                <w:color w:val="auto"/>
              </w:rPr>
            </w:pPr>
          </w:p>
        </w:tc>
        <w:tc>
          <w:tcPr>
            <w:tcW w:w="1420" w:type="dxa"/>
            <w:vAlign w:val="bottom"/>
          </w:tcPr>
          <w:p>
            <w:pPr>
              <w:jc w:val="right"/>
              <w:ind w:right="415"/>
              <w:spacing w:after="0"/>
              <w:rPr>
                <w:sz w:val="20"/>
                <w:szCs w:val="20"/>
                <w:color w:val="auto"/>
              </w:rPr>
            </w:pPr>
            <w:r>
              <w:rPr>
                <w:rFonts w:ascii="Arial" w:cs="Arial" w:eastAsia="Arial" w:hAnsi="Arial"/>
                <w:sz w:val="14"/>
                <w:szCs w:val="14"/>
                <w:b w:val="1"/>
                <w:bCs w:val="1"/>
                <w:color w:val="auto"/>
              </w:rPr>
              <w:t>October 31,</w:t>
            </w:r>
          </w:p>
        </w:tc>
      </w:tr>
      <w:tr>
        <w:trPr>
          <w:trHeight w:val="196"/>
        </w:trPr>
        <w:tc>
          <w:tcPr>
            <w:tcW w:w="75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Finance lease obligations and other</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55,792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19,202</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deferred financing fees</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r>
      <w:tr>
        <w:trPr>
          <w:trHeight w:val="223"/>
        </w:trPr>
        <w:tc>
          <w:tcPr>
            <w:tcW w:w="7540" w:type="dxa"/>
            <w:vAlign w:val="bottom"/>
          </w:tcPr>
          <w:p>
            <w:pPr>
              <w:ind w:left="340"/>
              <w:spacing w:after="0"/>
              <w:rPr>
                <w:sz w:val="20"/>
                <w:szCs w:val="20"/>
                <w:color w:val="auto"/>
              </w:rPr>
            </w:pPr>
            <w:r>
              <w:rPr>
                <w:rFonts w:ascii="Arial" w:cs="Arial" w:eastAsia="Arial" w:hAnsi="Arial"/>
                <w:sz w:val="18"/>
                <w:szCs w:val="18"/>
                <w:color w:val="auto"/>
              </w:rPr>
              <w:t>Total debt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109,512</w:t>
            </w:r>
          </w:p>
        </w:tc>
        <w:tc>
          <w:tcPr>
            <w:tcW w:w="1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30,674</w:t>
            </w:r>
          </w:p>
        </w:tc>
      </w:tr>
      <w:tr>
        <w:trPr>
          <w:trHeight w:val="229"/>
        </w:trPr>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maturities of long-term debt</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23"/>
        </w:trPr>
        <w:tc>
          <w:tcPr>
            <w:tcW w:w="7540" w:type="dxa"/>
            <w:vAlign w:val="bottom"/>
          </w:tcPr>
          <w:p>
            <w:pPr>
              <w:ind w:left="460"/>
              <w:spacing w:after="0"/>
              <w:rPr>
                <w:sz w:val="20"/>
                <w:szCs w:val="20"/>
                <w:color w:val="auto"/>
              </w:rPr>
            </w:pPr>
            <w:r>
              <w:rPr>
                <w:rFonts w:ascii="Arial" w:cs="Arial" w:eastAsia="Arial" w:hAnsi="Arial"/>
                <w:sz w:val="18"/>
                <w:szCs w:val="18"/>
                <w:color w:val="auto"/>
              </w:rPr>
              <w:t>Long-term debt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107,234</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29,628</w:t>
            </w:r>
          </w:p>
        </w:tc>
      </w:tr>
      <w:tr>
        <w:trPr>
          <w:trHeight w:val="20"/>
        </w:trPr>
        <w:tc>
          <w:tcPr>
            <w:tcW w:w="7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5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On July 6, 2022, we entered into our Second Amended and Restated Credit Agreement (the “Credit Facility”) with Wells Fargo Securities, LLC, as Agent, Swingline Lender and Issuing Lender, and BofA Securities, Inc. serving as Syndication Agent. We capitalized $1.2 million of deferred financing fees related to the Credit Facility. This $325.0 million revolving credit facility has a five-year term, maturing on July 6, 2027, and replaces our previous credit facility. Our previous credit facility is more fully described in our Annual Report on Form 10-K for the fiscal year ended October 31, 2022.</w:t>
      </w:r>
    </w:p>
    <w:p>
      <w:pPr>
        <w:spacing w:after="0" w:line="9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Interest payments for the Credit Facility are calculated, at our election and depending upon the Consolidated Net Leverage Ratio, at a Base Rate (as defined within the Credit Facility) plus an applicable margin or at the same rate as Risk-Free Rate (“RFR”) Loans for domestic borrowings or Eurocurrency Rate Loans plus an applicable margin. In addition, we are subject to commitment fees for the unused portion of the Credit Facility.</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applicable margin and commitment fees are outlined in the following table:</w:t>
      </w:r>
    </w:p>
    <w:p>
      <w:pPr>
        <w:spacing w:after="0" w:line="46" w:lineRule="exact"/>
        <w:rPr>
          <w:sz w:val="20"/>
          <w:szCs w:val="20"/>
          <w:color w:val="auto"/>
        </w:rPr>
      </w:pPr>
    </w:p>
    <w:p>
      <w:pPr>
        <w:ind w:left="240"/>
        <w:spacing w:after="0"/>
        <w:tabs>
          <w:tab w:leader="none" w:pos="7180" w:val="left"/>
        </w:tabs>
        <w:rPr>
          <w:sz w:val="20"/>
          <w:szCs w:val="20"/>
          <w:color w:val="auto"/>
        </w:rPr>
      </w:pPr>
      <w:r>
        <w:rPr>
          <w:rFonts w:ascii="Arial" w:cs="Arial" w:eastAsia="Arial" w:hAnsi="Arial"/>
          <w:sz w:val="18"/>
          <w:szCs w:val="18"/>
          <w:b w:val="1"/>
          <w:bCs w:val="1"/>
          <w:color w:val="auto"/>
        </w:rPr>
        <w:t>Pricing</w:t>
      </w:r>
      <w:r>
        <w:rPr>
          <w:sz w:val="20"/>
          <w:szCs w:val="20"/>
          <w:color w:val="auto"/>
        </w:rPr>
        <w:tab/>
      </w:r>
      <w:r>
        <w:rPr>
          <w:rFonts w:ascii="Arial" w:cs="Arial" w:eastAsia="Arial" w:hAnsi="Arial"/>
          <w:sz w:val="18"/>
          <w:szCs w:val="18"/>
          <w:b w:val="1"/>
          <w:bCs w:val="1"/>
          <w:color w:val="auto"/>
        </w:rPr>
        <w:t>Eurocurrency Rate Loans</w:t>
      </w:r>
    </w:p>
    <w:p>
      <w:pPr>
        <w:spacing w:after="0" w:line="2" w:lineRule="exact"/>
        <w:rPr>
          <w:sz w:val="20"/>
          <w:szCs w:val="20"/>
          <w:color w:val="auto"/>
        </w:rPr>
      </w:pPr>
    </w:p>
    <w:p>
      <w:pPr>
        <w:ind w:left="300"/>
        <w:spacing w:after="0"/>
        <w:tabs>
          <w:tab w:leader="none" w:pos="1800" w:val="left"/>
          <w:tab w:leader="none" w:pos="5360" w:val="left"/>
          <w:tab w:leader="none" w:pos="7580" w:val="left"/>
          <w:tab w:leader="none" w:pos="9700" w:val="left"/>
        </w:tabs>
        <w:rPr>
          <w:sz w:val="20"/>
          <w:szCs w:val="20"/>
          <w:color w:val="auto"/>
        </w:rPr>
      </w:pPr>
      <w:r>
        <w:rPr>
          <w:rFonts w:ascii="Arial" w:cs="Arial" w:eastAsia="Arial" w:hAnsi="Arial"/>
          <w:sz w:val="18"/>
          <w:szCs w:val="18"/>
          <w:b w:val="1"/>
          <w:bCs w:val="1"/>
          <w:color w:val="auto"/>
        </w:rPr>
        <w:t>Level</w:t>
      </w:r>
      <w:r>
        <w:rPr>
          <w:sz w:val="20"/>
          <w:szCs w:val="20"/>
          <w:color w:val="auto"/>
        </w:rPr>
        <w:tab/>
      </w:r>
      <w:r>
        <w:rPr>
          <w:rFonts w:ascii="Arial" w:cs="Arial" w:eastAsia="Arial" w:hAnsi="Arial"/>
          <w:sz w:val="18"/>
          <w:szCs w:val="18"/>
          <w:b w:val="1"/>
          <w:bCs w:val="1"/>
          <w:color w:val="auto"/>
        </w:rPr>
        <w:t>Consolidated Net Leverage Ratio</w:t>
      </w:r>
      <w:r>
        <w:rPr>
          <w:sz w:val="20"/>
          <w:szCs w:val="20"/>
          <w:color w:val="auto"/>
        </w:rPr>
        <w:tab/>
      </w:r>
      <w:r>
        <w:rPr>
          <w:rFonts w:ascii="Arial" w:cs="Arial" w:eastAsia="Arial" w:hAnsi="Arial"/>
          <w:sz w:val="18"/>
          <w:szCs w:val="18"/>
          <w:b w:val="1"/>
          <w:bCs w:val="1"/>
          <w:color w:val="auto"/>
        </w:rPr>
        <w:t>Commitment Fee</w:t>
      </w:r>
      <w:r>
        <w:rPr>
          <w:sz w:val="20"/>
          <w:szCs w:val="20"/>
          <w:color w:val="auto"/>
        </w:rPr>
        <w:tab/>
      </w:r>
      <w:r>
        <w:rPr>
          <w:rFonts w:ascii="Arial" w:cs="Arial" w:eastAsia="Arial" w:hAnsi="Arial"/>
          <w:sz w:val="18"/>
          <w:szCs w:val="18"/>
          <w:b w:val="1"/>
          <w:bCs w:val="1"/>
          <w:color w:val="auto"/>
        </w:rPr>
        <w:t>and RFR Loans</w:t>
      </w:r>
      <w:r>
        <w:rPr>
          <w:sz w:val="20"/>
          <w:szCs w:val="20"/>
          <w:color w:val="auto"/>
        </w:rPr>
        <w:tab/>
      </w:r>
      <w:r>
        <w:rPr>
          <w:rFonts w:ascii="Arial" w:cs="Arial" w:eastAsia="Arial" w:hAnsi="Arial"/>
          <w:sz w:val="15"/>
          <w:szCs w:val="15"/>
          <w:b w:val="1"/>
          <w:bCs w:val="1"/>
          <w:color w:val="auto"/>
        </w:rPr>
        <w:t>Base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III</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Less than or equal to 1.50 to 1.00</w:t>
      </w:r>
    </w:p>
    <w:p>
      <w:pPr>
        <w:spacing w:after="0" w:line="23"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Greater than 1.50 to 1.00, but less than or equal to 2.25 to 1.00</w:t>
      </w:r>
    </w:p>
    <w:p>
      <w:pPr>
        <w:spacing w:after="0" w:line="1"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Greater than 2.25 to 1.00, but less than or equal to 3.00 to 1.00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Greater than 3.00 to 1.00</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jc w:val="right"/>
              <w:ind w:right="730"/>
              <w:spacing w:after="0"/>
              <w:rPr>
                <w:sz w:val="20"/>
                <w:szCs w:val="20"/>
                <w:color w:val="auto"/>
              </w:rPr>
            </w:pPr>
            <w:r>
              <w:rPr>
                <w:rFonts w:ascii="Arial" w:cs="Arial" w:eastAsia="Arial" w:hAnsi="Arial"/>
                <w:sz w:val="18"/>
                <w:szCs w:val="18"/>
                <w:color w:val="auto"/>
                <w:w w:val="88"/>
              </w:rPr>
              <w:t>0.150%</w:t>
            </w:r>
          </w:p>
        </w:tc>
        <w:tc>
          <w:tcPr>
            <w:tcW w:w="2140" w:type="dxa"/>
            <w:vAlign w:val="bottom"/>
          </w:tcPr>
          <w:p>
            <w:pPr>
              <w:jc w:val="right"/>
              <w:ind w:right="750"/>
              <w:spacing w:after="0"/>
              <w:rPr>
                <w:sz w:val="20"/>
                <w:szCs w:val="20"/>
                <w:color w:val="auto"/>
              </w:rPr>
            </w:pPr>
            <w:r>
              <w:rPr>
                <w:rFonts w:ascii="Arial" w:cs="Arial" w:eastAsia="Arial" w:hAnsi="Arial"/>
                <w:sz w:val="18"/>
                <w:szCs w:val="18"/>
                <w:color w:val="auto"/>
              </w:rPr>
              <w:t>1.25%</w:t>
            </w:r>
          </w:p>
        </w:tc>
        <w:tc>
          <w:tcPr>
            <w:tcW w:w="132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324"/>
        </w:trPr>
        <w:tc>
          <w:tcPr>
            <w:tcW w:w="1380" w:type="dxa"/>
            <w:vAlign w:val="bottom"/>
          </w:tcPr>
          <w:p>
            <w:pPr>
              <w:jc w:val="right"/>
              <w:ind w:right="730"/>
              <w:spacing w:after="0"/>
              <w:rPr>
                <w:sz w:val="20"/>
                <w:szCs w:val="20"/>
                <w:color w:val="auto"/>
              </w:rPr>
            </w:pPr>
            <w:r>
              <w:rPr>
                <w:rFonts w:ascii="Arial" w:cs="Arial" w:eastAsia="Arial" w:hAnsi="Arial"/>
                <w:sz w:val="18"/>
                <w:szCs w:val="18"/>
                <w:color w:val="auto"/>
                <w:w w:val="88"/>
              </w:rPr>
              <w:t>0.175%</w:t>
            </w:r>
          </w:p>
        </w:tc>
        <w:tc>
          <w:tcPr>
            <w:tcW w:w="2140" w:type="dxa"/>
            <w:vAlign w:val="bottom"/>
          </w:tcPr>
          <w:p>
            <w:pPr>
              <w:jc w:val="right"/>
              <w:ind w:right="750"/>
              <w:spacing w:after="0"/>
              <w:rPr>
                <w:sz w:val="20"/>
                <w:szCs w:val="20"/>
                <w:color w:val="auto"/>
              </w:rPr>
            </w:pPr>
            <w:r>
              <w:rPr>
                <w:rFonts w:ascii="Arial" w:cs="Arial" w:eastAsia="Arial" w:hAnsi="Arial"/>
                <w:sz w:val="18"/>
                <w:szCs w:val="18"/>
                <w:color w:val="auto"/>
              </w:rPr>
              <w:t>1.50%</w:t>
            </w:r>
          </w:p>
        </w:tc>
        <w:tc>
          <w:tcPr>
            <w:tcW w:w="132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418"/>
        </w:trPr>
        <w:tc>
          <w:tcPr>
            <w:tcW w:w="1380" w:type="dxa"/>
            <w:vAlign w:val="bottom"/>
          </w:tcPr>
          <w:p>
            <w:pPr>
              <w:jc w:val="right"/>
              <w:ind w:right="730"/>
              <w:spacing w:after="0"/>
              <w:rPr>
                <w:sz w:val="20"/>
                <w:szCs w:val="20"/>
                <w:color w:val="auto"/>
              </w:rPr>
            </w:pPr>
            <w:r>
              <w:rPr>
                <w:rFonts w:ascii="Arial" w:cs="Arial" w:eastAsia="Arial" w:hAnsi="Arial"/>
                <w:sz w:val="18"/>
                <w:szCs w:val="18"/>
                <w:color w:val="auto"/>
                <w:w w:val="88"/>
              </w:rPr>
              <w:t>0.200%</w:t>
            </w:r>
          </w:p>
        </w:tc>
        <w:tc>
          <w:tcPr>
            <w:tcW w:w="2140" w:type="dxa"/>
            <w:vAlign w:val="bottom"/>
          </w:tcPr>
          <w:p>
            <w:pPr>
              <w:jc w:val="right"/>
              <w:ind w:right="750"/>
              <w:spacing w:after="0"/>
              <w:rPr>
                <w:sz w:val="20"/>
                <w:szCs w:val="20"/>
                <w:color w:val="auto"/>
              </w:rPr>
            </w:pPr>
            <w:r>
              <w:rPr>
                <w:rFonts w:ascii="Arial" w:cs="Arial" w:eastAsia="Arial" w:hAnsi="Arial"/>
                <w:sz w:val="18"/>
                <w:szCs w:val="18"/>
                <w:color w:val="auto"/>
              </w:rPr>
              <w:t>1.75%</w:t>
            </w:r>
          </w:p>
        </w:tc>
        <w:tc>
          <w:tcPr>
            <w:tcW w:w="132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324"/>
        </w:trPr>
        <w:tc>
          <w:tcPr>
            <w:tcW w:w="1380" w:type="dxa"/>
            <w:vAlign w:val="bottom"/>
          </w:tcPr>
          <w:p>
            <w:pPr>
              <w:jc w:val="right"/>
              <w:ind w:right="730"/>
              <w:spacing w:after="0"/>
              <w:rPr>
                <w:sz w:val="20"/>
                <w:szCs w:val="20"/>
                <w:color w:val="auto"/>
              </w:rPr>
            </w:pPr>
            <w:r>
              <w:rPr>
                <w:rFonts w:ascii="Arial" w:cs="Arial" w:eastAsia="Arial" w:hAnsi="Arial"/>
                <w:sz w:val="18"/>
                <w:szCs w:val="18"/>
                <w:color w:val="auto"/>
                <w:w w:val="88"/>
              </w:rPr>
              <w:t>0.250%</w:t>
            </w:r>
          </w:p>
        </w:tc>
        <w:tc>
          <w:tcPr>
            <w:tcW w:w="2140" w:type="dxa"/>
            <w:vAlign w:val="bottom"/>
          </w:tcPr>
          <w:p>
            <w:pPr>
              <w:jc w:val="right"/>
              <w:ind w:right="750"/>
              <w:spacing w:after="0"/>
              <w:rPr>
                <w:sz w:val="20"/>
                <w:szCs w:val="20"/>
                <w:color w:val="auto"/>
              </w:rPr>
            </w:pPr>
            <w:r>
              <w:rPr>
                <w:rFonts w:ascii="Arial" w:cs="Arial" w:eastAsia="Arial" w:hAnsi="Arial"/>
                <w:sz w:val="18"/>
                <w:szCs w:val="18"/>
                <w:color w:val="auto"/>
              </w:rPr>
              <w:t>2.00%</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-410845</wp:posOffset>
            </wp:positionV>
            <wp:extent cx="713232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00" w:space="580"/>
            <w:col w:w="3860" w:space="720"/>
            <w:col w:w="5480"/>
          </w:cols>
          <w:pgMar w:left="320" w:top="125" w:right="339" w:bottom="1440" w:gutter="0" w:footer="0" w:header="0"/>
          <w:type w:val="continuous"/>
        </w:sectPr>
      </w:pPr>
    </w:p>
    <w:p>
      <w:pPr>
        <w:spacing w:after="0" w:line="4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the event of default, outstanding borrowings would accrue interest at the Default Rate, as defined, whereby the obligations will bear interest at a per annum rate equal to 2% above the total per annum rate otherwise applicable.</w:t>
      </w:r>
    </w:p>
    <w:p>
      <w:pPr>
        <w:spacing w:after="0" w:line="10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Credit Facility provides for incremental revolving credit commitments for a minimum principal amount of $10.0 million, up to an aggregate amount of $150.0 million or 100% of Consolidated EBITDA, subject to the lender's discretion to elect or decline the incremental increase. We can also borrow up to the lesser of $15.0 million or the revolving credit commitment, as defined, under a Swingline feature of the Credit Facility.</w:t>
      </w:r>
    </w:p>
    <w:p>
      <w:pPr>
        <w:spacing w:after="0" w:line="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Credit Facility contains a: (1) Consolidated Interest Coverage Ratio requirement whereby we must not permit the Consolidated Interest Coverage Ratio, as defined, to be less than 3.00 to 1.00, and (2) Consolidated Net Leverage Ratio requirement, whereby we must not permit the Consolidated Net Leverage Ratio, as defined, to be greater than 3.25 to 1.00.</w:t>
      </w:r>
    </w:p>
    <w:p>
      <w:pPr>
        <w:spacing w:after="0" w:line="1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$25.0 million per year) and other transactions as further defined in the Credit Facility. Some of these limitations, however, do not take effect so long as Consolidated Net Leverage Ratio is less than or equal to 2.75 to 1.00 and available liquidity exceeds $25.0 million. Substantially all of our domestic assets, with the exception of real property, are used as collateral for the Credit Agreement.</w:t>
      </w:r>
    </w:p>
    <w:p>
      <w:pPr>
        <w:spacing w:after="0" w:line="12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July 31, 2023, we had $55.0 million of borrowings outstanding under the Credit Facility (reduced by unamortized debt issuance costs of $1.3 million), $5.1 million of outstanding letters of credit and $55.8 million outstanding primarily under finance leases and other debt. We had $264.9 million available for use under the Credit Facility at July 31, 2023. Outstanding</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6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borrowings under the Credit Facility accrue interest at 6.67% per annum. Our weighted-average borrowing rate for borrowings outstanding during the nine months ended July 31, 2023 and 2022 was 5.91% and 1.81%, respectively. We were in compliance with our debt covenants as of July 31, 2023.</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Retirement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17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Our non-contributory, single employer defined benefit pension plan covers certain of our employees in the U.S. The net periodic pension cost for this plan for the three and nine months ended July 31, 2023 and 2022 was as follows (in thousands):</w:t>
      </w:r>
    </w:p>
    <w:p>
      <w:pPr>
        <w:spacing w:after="0" w:line="67"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2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9"/>
              </w:rPr>
              <w:t>Nine Months Ended</w:t>
            </w:r>
          </w:p>
        </w:tc>
        <w:tc>
          <w:tcPr>
            <w:tcW w:w="1140" w:type="dxa"/>
            <w:vAlign w:val="bottom"/>
          </w:tcPr>
          <w:p>
            <w:pPr>
              <w:spacing w:after="0"/>
              <w:rPr>
                <w:sz w:val="16"/>
                <w:szCs w:val="16"/>
                <w:color w:val="auto"/>
              </w:rPr>
            </w:pPr>
          </w:p>
        </w:tc>
      </w:tr>
      <w:tr>
        <w:trPr>
          <w:trHeight w:val="203"/>
        </w:trPr>
        <w:tc>
          <w:tcPr>
            <w:tcW w:w="3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20" w:type="dxa"/>
            <w:vAlign w:val="bottom"/>
            <w:gridSpan w:val="3"/>
          </w:tcPr>
          <w:p>
            <w:pPr>
              <w:jc w:val="right"/>
              <w:ind w:right="976"/>
              <w:spacing w:after="0"/>
              <w:rPr>
                <w:sz w:val="20"/>
                <w:szCs w:val="20"/>
                <w:color w:val="auto"/>
              </w:rPr>
            </w:pPr>
            <w:r>
              <w:rPr>
                <w:rFonts w:ascii="Arial" w:cs="Arial" w:eastAsia="Arial" w:hAnsi="Arial"/>
                <w:sz w:val="14"/>
                <w:szCs w:val="14"/>
                <w:b w:val="1"/>
                <w:bCs w:val="1"/>
                <w:color w:val="auto"/>
              </w:rPr>
              <w:t>July 31,</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July 31,</w:t>
            </w:r>
          </w:p>
        </w:tc>
        <w:tc>
          <w:tcPr>
            <w:tcW w:w="1140" w:type="dxa"/>
            <w:vAlign w:val="bottom"/>
          </w:tcPr>
          <w:p>
            <w:pPr>
              <w:spacing w:after="0"/>
              <w:rPr>
                <w:sz w:val="17"/>
                <w:szCs w:val="17"/>
                <w:color w:val="auto"/>
              </w:rPr>
            </w:pPr>
          </w:p>
        </w:tc>
      </w:tr>
      <w:tr>
        <w:trPr>
          <w:trHeight w:val="26"/>
        </w:trPr>
        <w:tc>
          <w:tcPr>
            <w:tcW w:w="3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35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r>
      <w:tr>
        <w:trPr>
          <w:trHeight w:val="230"/>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net loss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3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periodic pension benefit</w:t>
            </w: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During the nine months ended July 31, 2022, we made no contributions to fund our plan. During fiscal 2023</w:t>
      </w:r>
      <w:r>
        <w:rPr>
          <w:rFonts w:ascii="Arial" w:cs="Arial" w:eastAsia="Arial" w:hAnsi="Arial"/>
          <w:sz w:val="16"/>
          <w:szCs w:val="16"/>
          <w:color w:val="auto"/>
        </w:rPr>
        <w:t>,</w:t>
      </w:r>
      <w:r>
        <w:rPr>
          <w:rFonts w:ascii="Arial" w:cs="Arial" w:eastAsia="Arial" w:hAnsi="Arial"/>
          <w:sz w:val="18"/>
          <w:szCs w:val="18"/>
          <w:color w:val="auto"/>
        </w:rPr>
        <w:t xml:space="preserve"> we may make a contribution to the pension plan equal to the remaining obligation in order to complete the plan termination that became effective November 1, 2022. In August 2023, some participants began receiving pension settlements. The pension obligation of $3.9 million is included in current liabilities under the caption “Accrued liabilities” within current liabilities as of July 31, 2023 and under the caption “Pension benefit obligations” as of October 31, 2023 in the accompanying condensed consolidated balance sheets.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Plans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also have a supplemental benefit plan covering certain executive officers and key employees and a non-qualified deferred compensation plan covering members of the Board of Directors and certain key employees. As of July 31, 2023 and October 31, 2022, our liability under the supplemental benefit plan was approximately $2.0 million and $1.9 million, respectively. During the three months ended July 31, 2023, the supplemental benefit plan was terminated. Benefits associated with this plan will be distributed in June 2024 in accordance with Internal Revenue Service regulations. As of July 31, 2023 and October 31, 2022, the liability associated with the deferred compensation plan was approximately $4.1 million and $3.3 million, respectively. We record the current portion of liabilities associated with these plans under the caption “Accrued liabilities,” and the long-term portion under the caption “Other liabilities” in the accompanying condensed consolidated balance sheets.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To determine our income tax expense or benefit for interim periods, consistent with accounting standards, we apply the estimated annual effective income tax rate to year-to-date results, plus any applicable discrete items, which are recorded in the period in which they occur. Discrete items include, among others, such events as changes in estimates due to the finalization of tax returns, tax audit settlements, expiration of statutes of limitations, tax benefits on equity compensation, and increase or decrease in valuation allowances on deferred tax assets. Our annual effective tax rates from continuing operations for the nine months ended July 31, 2023 and 2022 were 18.2% and 22.2%, respectively. The difference between our effective income tax rate and the U.S. federal statutory rate of 21% principally results from discrete tax items, U.S. state tax, non-U.S. tax rate differential and other permanent differences. The primary discrete item affecting the 2023 effective rate was a benefit of $1.7 million related to a true-up of tax provision accrual to tax return filings. The primary discrete items affecting the 2022 effective rate were the charge of $0.2 million related to the vesting or exercise of equity-based compensation awards and a benefit of $1.0 million for the true-up of our accruals and related deferred taxes from prior year filings.</w:t>
      </w:r>
    </w:p>
    <w:p>
      <w:pPr>
        <w:spacing w:after="0" w:line="5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of July 31, 2023, our liability for uncertain tax positions (UTP) of $1.4 million relates to certain U.S. federal and state tax items regarding the interpretation of tax laws and regulations, including a minimal amount of interest and penalties. We include all interest and penalties related to uncertain tax benefits within our income tax provision account. To the extent interest and penalties are not assessed with respect to uncertain tax positions or the uncertainty of deductions in the future, amounts accrued will be reduced and reflected as a reduction of the overall income tax provision.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July 31, 2023, we have an income tax receivable of $2.5 million included in current assets under the caption “Prepaid and other current assets” in the accompanying condensed consolidated balance sheets.</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evaluate the likelihood of realization of our deferred tax assets by considering both positive and negative evidence. We maintain a valuation allowance for certain state net operating losses which totaled $0.5 million as of July 31, 2023 and October 31, 2022, respectively.</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August 16, 2022 the Inflation Reduction Act of 2022 was signed into law. We are evaluating the regulations but do not believe they will result in a material impact to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and Environmental Compliance Costs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Currently, we are not involved in any such matters.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2023.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 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23"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 of Assets and Liabilities</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68" w:lineRule="exact"/>
        <w:rPr>
          <w:sz w:val="20"/>
          <w:szCs w:val="20"/>
          <w:color w:val="auto"/>
        </w:rPr>
      </w:pPr>
    </w:p>
    <w:p>
      <w:pPr>
        <w:ind w:left="480" w:hanging="148"/>
        <w:spacing w:after="0"/>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76"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27" w:lineRule="exact"/>
        <w:rPr>
          <w:sz w:val="20"/>
          <w:szCs w:val="20"/>
          <w:color w:val="auto"/>
        </w:rPr>
      </w:pPr>
    </w:p>
    <w:p>
      <w:pPr>
        <w:jc w:val="both"/>
        <w:ind w:left="500" w:hanging="168"/>
        <w:spacing w:after="0" w:line="259"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8" w:lineRule="exact"/>
        <w:rPr>
          <w:rFonts w:ascii="Arial" w:cs="Arial" w:eastAsia="Arial" w:hAnsi="Arial"/>
          <w:sz w:val="18"/>
          <w:szCs w:val="18"/>
          <w:color w:val="auto"/>
        </w:rPr>
      </w:pPr>
    </w:p>
    <w:p>
      <w:pPr>
        <w:ind w:left="480" w:hanging="148"/>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that are both significant to the fair value measurement and unobservable.</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 approximates carrying value at July 31, 2023, and October 31, 2022 (Level 2 measurement).</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performance share awards are marked-to-market on a quarterly basis during a three-year vesting period based on market data (Level 2 measurement). For further information, refer to Note 11, “Stock-Based Compensation - Performance Share Awards.”</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used recognized valuation techniques to determine the preliminary fair value of the assets and liabilities, including the excess earnings method for customer relationships and relief from royalty method for trade names and other technology with a discount rate that reflects the risk of the expected future cash flows (Level 3 measurement). For further information, refer to Note 2, “Acquisition.”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aggregate number of shares of common stock authorized for grant under the 2020 Plan is 3,139,895 as approved by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performance shares and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7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Restricted stock awards are granted to key employees and officers annually, and typically cliff vest over a three-year period with service and continued employment as the only vesting criteria. The recipient of the restricted stock award is entitled to all of the rights of a shareholder, except that the award is nontransferable during the vesting period and quarterly dividends are not paid until the award vests.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non-vested restricted stock awards activity during the nine months ended July 31, 2023 is presented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8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Restricted Stock Awards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jc w:val="right"/>
              <w:ind w:right="39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96"/>
        </w:trPr>
        <w:tc>
          <w:tcPr>
            <w:tcW w:w="708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Grant Date Fair Value per Share</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October 31, 2022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212,100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860" w:type="dxa"/>
            <w:vAlign w:val="bottom"/>
          </w:tcPr>
          <w:p>
            <w:pPr>
              <w:jc w:val="right"/>
              <w:spacing w:after="0"/>
              <w:rPr>
                <w:sz w:val="20"/>
                <w:szCs w:val="20"/>
                <w:color w:val="auto"/>
              </w:rPr>
            </w:pPr>
            <w:r>
              <w:rPr>
                <w:rFonts w:ascii="Arial" w:cs="Arial" w:eastAsia="Arial" w:hAnsi="Arial"/>
                <w:sz w:val="18"/>
                <w:szCs w:val="18"/>
                <w:color w:val="auto"/>
              </w:rPr>
              <w:t>94,700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Vested</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(54,400)</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July 31, 2023</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242,300</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total weighted-average grant-date fair value of restricted stock awards that vested during each of the nine months ended July 31, 2023 and 2022 was $1.0 million and $1.2 million, respectively. As of July 31, 2023, total unrecognized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cost related to unamortized restricted stock awards was $2.7 million. We expect to recognize this expense over the remaining weighted-average vesting period of 1.9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and performance shares as further described below. As a result, the final stock options were granted during the fiscal year ended October 31, 2017. Stock options typically vested ratably over a three-year period with service and continued employment as the vesting conditions. Our stock options may be exercised up to a maximum of ten years from the date of grant. The fair value of the stock options was determined on the grant date and expensed over the vesting period resulting in an increase in additional paid-in-capital. For employees who were nearing retirement-eligibility, we recognize stock option expense ratably over the shorter of the vesting period or the period from the grant-date to the retirement-eligibility date.</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use a Black-Scholes pricing model to estimate the fair value of stock options. A description of the methodology for the valuation assumptions was disclosed in our Annual Report on Form 10-K for the fiscal year ended October 31, 2022.</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stock option activity for the nine months ended July 31,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Weighted-Average</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Weighted-Average</w:t>
            </w:r>
          </w:p>
        </w:tc>
        <w:tc>
          <w:tcPr>
            <w:tcW w:w="200" w:type="dxa"/>
            <w:vAlign w:val="bottom"/>
          </w:tcPr>
          <w:p>
            <w:pPr>
              <w:spacing w:after="0"/>
              <w:rPr>
                <w:sz w:val="14"/>
                <w:szCs w:val="14"/>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5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Stock Options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5"/>
              </w:rPr>
              <w:t>Remaining Contractual</w:t>
            </w:r>
          </w:p>
        </w:tc>
        <w:tc>
          <w:tcPr>
            <w:tcW w:w="200" w:type="dxa"/>
            <w:vAlign w:val="bottom"/>
          </w:tcPr>
          <w:p>
            <w:pPr>
              <w:spacing w:after="0"/>
              <w:rPr>
                <w:sz w:val="12"/>
                <w:szCs w:val="12"/>
                <w:color w:val="auto"/>
              </w:rPr>
            </w:pPr>
          </w:p>
        </w:tc>
        <w:tc>
          <w:tcPr>
            <w:tcW w:w="1120" w:type="dxa"/>
            <w:vAlign w:val="bottom"/>
          </w:tcPr>
          <w:p>
            <w:pPr>
              <w:jc w:val="center"/>
              <w:ind w:right="119"/>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7"/>
        </w:trPr>
        <w:tc>
          <w:tcPr>
            <w:tcW w:w="474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(in years)</w:t>
            </w:r>
          </w:p>
        </w:tc>
        <w:tc>
          <w:tcPr>
            <w:tcW w:w="20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Value (000s)</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October 31,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175,117</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2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Forfeited/Expired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21.11</w:t>
            </w: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July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132,317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Pr>
          <w:p>
            <w:pPr>
              <w:ind w:left="20"/>
              <w:spacing w:after="0" w:line="203" w:lineRule="exact"/>
              <w:rPr>
                <w:sz w:val="20"/>
                <w:szCs w:val="20"/>
                <w:color w:val="auto"/>
              </w:rPr>
            </w:pPr>
            <w:r>
              <w:rPr>
                <w:rFonts w:ascii="Arial" w:cs="Arial" w:eastAsia="Arial" w:hAnsi="Arial"/>
                <w:sz w:val="18"/>
                <w:szCs w:val="18"/>
                <w:color w:val="auto"/>
              </w:rPr>
              <w:t>Vested at July 31, 2023</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132,317</w:t>
            </w:r>
          </w:p>
        </w:tc>
        <w:tc>
          <w:tcPr>
            <w:tcW w:w="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19.33</w:t>
            </w:r>
          </w:p>
        </w:tc>
        <w:tc>
          <w:tcPr>
            <w:tcW w:w="20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2.2</w:t>
            </w:r>
          </w:p>
        </w:tc>
        <w:tc>
          <w:tcPr>
            <w:tcW w:w="2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July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132,317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Intrinsic value is the amount by which the market price of the common stock on the date of exercise exceeds the exercise price of the stock option.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total intrinsic value of stock options exercised during the nine months ended July 31, 2023 and 2022 was $0.3 million and $0.1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nine months ended July 31, 2023 and 2022, non-employee directors received 38,704 and 36,669 restricted stock units, respectively, at a weighted-average grant date fair value of $20.67 per share and $22.52 per share, respectively, which vested immediately. During the nine months ended July 31, 2023, 21,774 restricted stock units, which were awarded to key employees, vested. During the nine months ended July 31, 2023, we paid $0.4 million and $1.0 million for the comparable prior year to settle vested restricted stock units.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Awards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have awarded annual grants of performance shares to key employees and officers. Performance share awards vest with return on net assets (RONA) as the vesting condition and pay out 100% in cash, and are accounted for as liability.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expected cash settlement of the performance share award is recorded as a liability and is being marked to market over the three-year term of the award and can fluctuate depending on the number of shares ultimately expected to vest. Depending on the achievement of the performance conditions, 0% to 200% of the awarded performance shares may ultimately vest.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performance share grants and the grant date fair value for the RONA performance metrics: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3440"/>
              <w:spacing w:after="0"/>
              <w:rPr>
                <w:sz w:val="20"/>
                <w:szCs w:val="20"/>
                <w:color w:val="auto"/>
              </w:rPr>
            </w:pPr>
            <w:r>
              <w:rPr>
                <w:rFonts w:ascii="Arial" w:cs="Arial" w:eastAsia="Arial" w:hAnsi="Arial"/>
                <w:sz w:val="18"/>
                <w:szCs w:val="18"/>
                <w:b w:val="1"/>
                <w:bCs w:val="1"/>
                <w:color w:val="auto"/>
              </w:rPr>
              <w:t>Grant Date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 Forfeited</w:t>
            </w:r>
          </w:p>
        </w:tc>
        <w:tc>
          <w:tcPr>
            <w:tcW w:w="0" w:type="dxa"/>
            <w:vAlign w:val="bottom"/>
          </w:tcPr>
          <w:p>
            <w:pPr>
              <w:spacing w:after="0"/>
              <w:rPr>
                <w:sz w:val="1"/>
                <w:szCs w:val="1"/>
                <w:color w:val="auto"/>
              </w:rPr>
            </w:pPr>
          </w:p>
        </w:tc>
      </w:tr>
      <w:tr>
        <w:trPr>
          <w:trHeight w:val="198"/>
        </w:trPr>
        <w:tc>
          <w:tcPr>
            <w:tcW w:w="78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2, 2020</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December 9, 2021</w:t>
            </w:r>
          </w:p>
        </w:tc>
        <w:tc>
          <w:tcPr>
            <w:tcW w:w="1040" w:type="dxa"/>
            <w:vAlign w:val="bottom"/>
          </w:tcPr>
          <w:p>
            <w:pPr>
              <w:jc w:val="right"/>
              <w:spacing w:after="0"/>
              <w:rPr>
                <w:sz w:val="20"/>
                <w:szCs w:val="20"/>
                <w:color w:val="auto"/>
              </w:rPr>
            </w:pPr>
            <w:r>
              <w:rPr>
                <w:rFonts w:ascii="Arial" w:cs="Arial" w:eastAsia="Arial" w:hAnsi="Arial"/>
                <w:sz w:val="18"/>
                <w:szCs w:val="18"/>
                <w:color w:val="auto"/>
              </w:rPr>
              <w:t>80,900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22.54</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7, 2022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December 2022, 101,200 shares vested pursuant to the December 2019 grant, which were settled with a cash payment of $2.2 million.</w:t>
      </w:r>
    </w:p>
    <w:p>
      <w:pPr>
        <w:spacing w:after="0" w:line="1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Performance share awards are payable in cash based upon the number of performance shares ultimately earned, and are therefore not considered outstanding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award performance restricted stock units to key employees and officers. These awards cliff vest upon a three-year service period with the absolute total shareholder return of our common stock over this three-year term as the vesting criteria. The number of shares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To value the performance restricted stock units, we used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Level</w:t>
            </w:r>
          </w:p>
        </w:tc>
        <w:tc>
          <w:tcPr>
            <w:tcW w:w="530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Criteria</w:t>
            </w:r>
          </w:p>
        </w:tc>
        <w:tc>
          <w:tcPr>
            <w:tcW w:w="3460" w:type="dxa"/>
            <w:vAlign w:val="bottom"/>
          </w:tcPr>
          <w:p>
            <w:pPr>
              <w:ind w:left="660"/>
              <w:spacing w:after="0"/>
              <w:rPr>
                <w:sz w:val="20"/>
                <w:szCs w:val="20"/>
                <w:color w:val="auto"/>
              </w:rPr>
            </w:pPr>
            <w:r>
              <w:rPr>
                <w:rFonts w:ascii="Arial" w:cs="Arial" w:eastAsia="Arial" w:hAnsi="Arial"/>
                <w:sz w:val="18"/>
                <w:szCs w:val="18"/>
                <w:b w:val="1"/>
                <w:bCs w:val="1"/>
                <w:color w:val="auto"/>
              </w:rPr>
              <w:t>Percentage of Award Vested</w:t>
            </w:r>
          </w:p>
        </w:tc>
      </w:tr>
      <w:tr>
        <w:trPr>
          <w:trHeight w:val="223"/>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A-TSR greater than or equal to 50%</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229"/>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Level 2</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A-TSR less than 50% and greater than or equal to 20%</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30"/>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Level 3</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A-TSR less than 20% and greater than or equal to -20%</w:t>
            </w:r>
          </w:p>
        </w:tc>
        <w:tc>
          <w:tcPr>
            <w:tcW w:w="3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30"/>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Level 4</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A-TSR less than -20%</w:t>
            </w:r>
          </w:p>
        </w:tc>
        <w:tc>
          <w:tcPr>
            <w:tcW w:w="34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performance restricted stock unit grants and the grant date fair value for the A-TSR performance metric:</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3440"/>
              <w:spacing w:after="0"/>
              <w:rPr>
                <w:sz w:val="20"/>
                <w:szCs w:val="20"/>
                <w:color w:val="auto"/>
              </w:rPr>
            </w:pPr>
            <w:r>
              <w:rPr>
                <w:rFonts w:ascii="Arial" w:cs="Arial" w:eastAsia="Arial" w:hAnsi="Arial"/>
                <w:sz w:val="18"/>
                <w:szCs w:val="18"/>
                <w:b w:val="1"/>
                <w:bCs w:val="1"/>
                <w:color w:val="auto"/>
              </w:rPr>
              <w:t>Grant Date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 Forfeited</w:t>
            </w:r>
          </w:p>
        </w:tc>
        <w:tc>
          <w:tcPr>
            <w:tcW w:w="0" w:type="dxa"/>
            <w:vAlign w:val="bottom"/>
          </w:tcPr>
          <w:p>
            <w:pPr>
              <w:spacing w:after="0"/>
              <w:rPr>
                <w:sz w:val="1"/>
                <w:szCs w:val="1"/>
                <w:color w:val="auto"/>
              </w:rPr>
            </w:pPr>
          </w:p>
        </w:tc>
      </w:tr>
      <w:tr>
        <w:trPr>
          <w:trHeight w:val="198"/>
        </w:trPr>
        <w:tc>
          <w:tcPr>
            <w:tcW w:w="78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2, 2020</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December 9, 2021</w:t>
            </w:r>
          </w:p>
        </w:tc>
        <w:tc>
          <w:tcPr>
            <w:tcW w:w="1040" w:type="dxa"/>
            <w:vAlign w:val="bottom"/>
          </w:tcPr>
          <w:p>
            <w:pPr>
              <w:jc w:val="right"/>
              <w:spacing w:after="0"/>
              <w:rPr>
                <w:sz w:val="20"/>
                <w:szCs w:val="20"/>
                <w:color w:val="auto"/>
              </w:rPr>
            </w:pPr>
            <w:r>
              <w:rPr>
                <w:rFonts w:ascii="Arial" w:cs="Arial" w:eastAsia="Arial" w:hAnsi="Arial"/>
                <w:sz w:val="18"/>
                <w:szCs w:val="18"/>
                <w:color w:val="auto"/>
              </w:rPr>
              <w:t>50,900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21.06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7, 2022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nine months ended July 31, 2023, 32,680 performance restricted stock units vested.</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July 31, 2023, we have deemed 45,667 shares related to the December 2020 grant of performance restricted stock units as probable to vest.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summarizes amounts expensed as selling, general and administrative expense related to restricted stock awards, stock options, restricted stock units, performance share awards and performance restricted stock units for the three and nine months ended July 31, 2023 and 2022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6"/>
                <w:szCs w:val="16"/>
                <w:color w:val="auto"/>
              </w:rPr>
            </w:pPr>
          </w:p>
        </w:tc>
      </w:tr>
      <w:tr>
        <w:trPr>
          <w:trHeight w:val="203"/>
        </w:trPr>
        <w:tc>
          <w:tcPr>
            <w:tcW w:w="4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July 31, 2023</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July 31, 2023</w:t>
            </w:r>
          </w:p>
        </w:tc>
        <w:tc>
          <w:tcPr>
            <w:tcW w:w="1020" w:type="dxa"/>
            <w:vAlign w:val="bottom"/>
          </w:tcPr>
          <w:p>
            <w:pPr>
              <w:spacing w:after="0"/>
              <w:rPr>
                <w:sz w:val="17"/>
                <w:szCs w:val="17"/>
                <w:color w:val="auto"/>
              </w:rPr>
            </w:pPr>
          </w:p>
        </w:tc>
      </w:tr>
      <w:tr>
        <w:trPr>
          <w:trHeight w:val="26"/>
        </w:trPr>
        <w:tc>
          <w:tcPr>
            <w:tcW w:w="4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43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1,512</w:t>
            </w: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 awards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r>
      <w:tr>
        <w:trPr>
          <w:trHeight w:val="23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Performance restricted stock units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r>
      <w:tr>
        <w:trPr>
          <w:trHeight w:val="248"/>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compensation expense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5,271</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There were no charges to retained earnings during the nine months ended July 31, 2023.</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treasury stock activity during the nine months ended July 31, 2023: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60" w:type="dxa"/>
            <w:vAlign w:val="bottom"/>
          </w:tcPr>
          <w:p>
            <w:pPr>
              <w:spacing w:after="0"/>
              <w:rPr>
                <w:sz w:val="16"/>
                <w:szCs w:val="16"/>
                <w:color w:val="auto"/>
              </w:rPr>
            </w:pPr>
          </w:p>
        </w:tc>
        <w:tc>
          <w:tcPr>
            <w:tcW w:w="2180" w:type="dxa"/>
            <w:vAlign w:val="bottom"/>
          </w:tcPr>
          <w:p>
            <w:pPr>
              <w:jc w:val="right"/>
              <w:ind w:right="395"/>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9060" w:type="dxa"/>
            <w:vAlign w:val="bottom"/>
          </w:tcPr>
          <w:p>
            <w:pPr>
              <w:spacing w:after="0"/>
              <w:rPr>
                <w:sz w:val="17"/>
                <w:szCs w:val="17"/>
                <w:color w:val="auto"/>
              </w:rPr>
            </w:pPr>
          </w:p>
        </w:tc>
        <w:tc>
          <w:tcPr>
            <w:tcW w:w="2180" w:type="dxa"/>
            <w:vAlign w:val="bottom"/>
          </w:tcPr>
          <w:p>
            <w:pPr>
              <w:jc w:val="right"/>
              <w:ind w:right="615"/>
              <w:spacing w:after="0"/>
              <w:rPr>
                <w:sz w:val="20"/>
                <w:szCs w:val="20"/>
                <w:color w:val="auto"/>
              </w:rPr>
            </w:pPr>
            <w:r>
              <w:rPr>
                <w:rFonts w:ascii="Arial" w:cs="Arial" w:eastAsia="Arial" w:hAnsi="Arial"/>
                <w:sz w:val="14"/>
                <w:szCs w:val="14"/>
                <w:b w:val="1"/>
                <w:bCs w:val="1"/>
                <w:color w:val="auto"/>
              </w:rPr>
              <w:t>July 31, 2023</w:t>
            </w:r>
          </w:p>
        </w:tc>
      </w:tr>
      <w:tr>
        <w:trPr>
          <w:trHeight w:val="25"/>
        </w:trPr>
        <w:tc>
          <w:tcPr>
            <w:tcW w:w="90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as of November 1, 2022</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4,081,806</w:t>
            </w:r>
          </w:p>
        </w:tc>
      </w:tr>
      <w:tr>
        <w:trPr>
          <w:trHeight w:val="230"/>
        </w:trPr>
        <w:tc>
          <w:tcPr>
            <w:tcW w:w="9060" w:type="dxa"/>
            <w:vAlign w:val="bottom"/>
          </w:tcPr>
          <w:p>
            <w:pPr>
              <w:ind w:left="140"/>
              <w:spacing w:after="0"/>
              <w:rPr>
                <w:sz w:val="20"/>
                <w:szCs w:val="20"/>
                <w:color w:val="auto"/>
              </w:rPr>
            </w:pPr>
            <w:r>
              <w:rPr>
                <w:rFonts w:ascii="Arial" w:cs="Arial" w:eastAsia="Arial" w:hAnsi="Arial"/>
                <w:sz w:val="18"/>
                <w:szCs w:val="18"/>
                <w:color w:val="auto"/>
              </w:rPr>
              <w:t>Restricted stock awards granted</w:t>
            </w:r>
          </w:p>
        </w:tc>
        <w:tc>
          <w:tcPr>
            <w:tcW w:w="2180" w:type="dxa"/>
            <w:vAlign w:val="bottom"/>
          </w:tcPr>
          <w:p>
            <w:pPr>
              <w:jc w:val="right"/>
              <w:spacing w:after="0"/>
              <w:rPr>
                <w:sz w:val="20"/>
                <w:szCs w:val="20"/>
                <w:color w:val="auto"/>
              </w:rPr>
            </w:pPr>
            <w:r>
              <w:rPr>
                <w:rFonts w:ascii="Arial" w:cs="Arial" w:eastAsia="Arial" w:hAnsi="Arial"/>
                <w:sz w:val="18"/>
                <w:szCs w:val="18"/>
                <w:color w:val="auto"/>
              </w:rPr>
              <w:t>(94,700)</w:t>
            </w:r>
          </w:p>
        </w:tc>
      </w:tr>
      <w:tr>
        <w:trPr>
          <w:trHeight w:val="230"/>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restricted stock units vested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(32,680)</w:t>
            </w:r>
          </w:p>
        </w:tc>
      </w:tr>
      <w:tr>
        <w:trPr>
          <w:trHeight w:val="230"/>
        </w:trPr>
        <w:tc>
          <w:tcPr>
            <w:tcW w:w="9060" w:type="dxa"/>
            <w:vAlign w:val="bottom"/>
          </w:tcPr>
          <w:p>
            <w:pPr>
              <w:ind w:left="140"/>
              <w:spacing w:after="0"/>
              <w:rPr>
                <w:sz w:val="20"/>
                <w:szCs w:val="20"/>
                <w:color w:val="auto"/>
              </w:rPr>
            </w:pPr>
            <w:r>
              <w:rPr>
                <w:rFonts w:ascii="Arial" w:cs="Arial" w:eastAsia="Arial" w:hAnsi="Arial"/>
                <w:sz w:val="18"/>
                <w:szCs w:val="18"/>
                <w:color w:val="auto"/>
              </w:rPr>
              <w:t>Stock options exercised</w:t>
            </w:r>
          </w:p>
        </w:tc>
        <w:tc>
          <w:tcPr>
            <w:tcW w:w="2180" w:type="dxa"/>
            <w:vAlign w:val="bottom"/>
          </w:tcPr>
          <w:p>
            <w:pPr>
              <w:jc w:val="right"/>
              <w:spacing w:after="0"/>
              <w:rPr>
                <w:sz w:val="20"/>
                <w:szCs w:val="20"/>
                <w:color w:val="auto"/>
              </w:rPr>
            </w:pPr>
            <w:r>
              <w:rPr>
                <w:rFonts w:ascii="Arial" w:cs="Arial" w:eastAsia="Arial" w:hAnsi="Arial"/>
                <w:sz w:val="18"/>
                <w:szCs w:val="18"/>
                <w:color w:val="auto"/>
              </w:rPr>
              <w:t>(38,800)</w:t>
            </w:r>
          </w:p>
        </w:tc>
      </w:tr>
      <w:tr>
        <w:trPr>
          <w:trHeight w:val="229"/>
        </w:trPr>
        <w:tc>
          <w:tcPr>
            <w:tcW w:w="9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repurchases</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w:t>
            </w:r>
          </w:p>
        </w:tc>
      </w:tr>
      <w:tr>
        <w:trPr>
          <w:trHeight w:val="223"/>
        </w:trPr>
        <w:tc>
          <w:tcPr>
            <w:tcW w:w="9060" w:type="dxa"/>
            <w:vAlign w:val="bottom"/>
          </w:tcPr>
          <w:p>
            <w:pPr>
              <w:ind w:left="20"/>
              <w:spacing w:after="0"/>
              <w:rPr>
                <w:sz w:val="20"/>
                <w:szCs w:val="20"/>
                <w:color w:val="auto"/>
              </w:rPr>
            </w:pPr>
            <w:r>
              <w:rPr>
                <w:rFonts w:ascii="Arial" w:cs="Arial" w:eastAsia="Arial" w:hAnsi="Arial"/>
                <w:sz w:val="18"/>
                <w:szCs w:val="18"/>
                <w:color w:val="auto"/>
              </w:rPr>
              <w:t>Balance at July 31, 2023</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4,190,626</w:t>
            </w:r>
          </w:p>
        </w:tc>
      </w:tr>
      <w:tr>
        <w:trPr>
          <w:trHeight w:val="20"/>
        </w:trPr>
        <w:tc>
          <w:tcPr>
            <w:tcW w:w="90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We present three reportable business segments (1) NA Fenestration, comprising four operating segments in 2023 (compared to three operating segments in 2022) primarily focused on the fenestration market in North America including vinyl profiles, insulating glass spacers, screens, custom compound mixing, and other fenestration components; (2) EU Fenestration, comprising our U.K.-based vinyl extrusion business, manufacturing vinyl profiles &amp; conservatories, and the European insulating glass business manufacturing insulating glass spacers; and (3) NA Cabinet Components, comprising our cabinet door and components operations. The additional NA Fenestration operating segment in 2023 is related to the Acquisition of LMI, an advanced polymer solutions provider with a focus on advanced methods for mixing rubber compounds. For additional discussion of our Acquisition of LMI, see Note 2, “Acquisition.” Additionally, we maintain an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the accompanying condensed consolidated financial statements. Corporate general and administrative expense allocated during the three and nine month period ended July 31, 2023 was $6.3 million and $17.1 million, respectively, and $5.8 million and $17.1 million for the comparable prior year periods.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134"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Segment information for the three and nine months ended July 31, 2023 and 2022, and total assets as of July 31, 2023 and October 31, 2022 are summarized in the following table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 Fenestration</w:t>
            </w:r>
          </w:p>
        </w:tc>
        <w:tc>
          <w:tcPr>
            <w:tcW w:w="12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 Fenestration</w:t>
            </w:r>
          </w:p>
        </w:tc>
        <w:tc>
          <w:tcPr>
            <w:tcW w:w="1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NA Cabinet</w:t>
            </w:r>
          </w:p>
        </w:tc>
        <w:tc>
          <w:tcPr>
            <w:tcW w:w="14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Unallocated Corp.</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Components</w:t>
            </w:r>
          </w:p>
        </w:tc>
        <w:tc>
          <w:tcPr>
            <w:tcW w:w="2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&amp; Other</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260" w:type="dxa"/>
            <w:vAlign w:val="bottom"/>
            <w:tcBorders>
              <w:top w:val="single" w:sz="8" w:color="CCEEFF"/>
            </w:tcBorders>
            <w:gridSpan w:val="5"/>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Three Months Ended July 31, 2023</w:t>
            </w: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4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Net sales</w:t>
            </w:r>
          </w:p>
        </w:tc>
        <w:tc>
          <w:tcPr>
            <w:tcW w:w="18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177,081</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67,889</w:t>
            </w:r>
          </w:p>
        </w:tc>
        <w:tc>
          <w:tcPr>
            <w:tcW w:w="1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55,385</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(715)</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299,640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16,150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37,463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rPr>
              <w:t>Three Months Ended July 31, 2022</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184,744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5,703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auto"/>
            </w:tcBorders>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1"/>
              </w:rPr>
              <w:t>Nine Months Ended July 31, 2023</w:t>
            </w:r>
          </w:p>
        </w:tc>
        <w:tc>
          <w:tcPr>
            <w:tcW w:w="192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487,036</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186,604</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163,577</w:t>
            </w:r>
          </w:p>
        </w:tc>
        <w:tc>
          <w:tcPr>
            <w:tcW w:w="1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(2,126)</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835,091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36,052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(14,464)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71,202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rPr>
              <w:t>Nine Months Ended July 31, 2022</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509,283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199,954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207,711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10,653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30,554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30,229</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19,488</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60" w:type="dxa"/>
            <w:vAlign w:val="bottom"/>
            <w:gridSpan w:val="5"/>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As of July 31, 2023</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assets</w:t>
            </w:r>
          </w:p>
        </w:tc>
        <w:tc>
          <w:tcPr>
            <w:tcW w:w="2960" w:type="dxa"/>
            <w:vAlign w:val="bottom"/>
            <w:tcBorders>
              <w:top w:val="single" w:sz="8" w:color="CCEEFF"/>
            </w:tcBorders>
            <w:gridSpan w:val="4"/>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382,783</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248,404</w:t>
            </w:r>
          </w:p>
        </w:tc>
        <w:tc>
          <w:tcPr>
            <w:tcW w:w="1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159,102</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57,520</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847,809</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As of October 31, 2022</w:t>
            </w:r>
          </w:p>
        </w:tc>
        <w:tc>
          <w:tcPr>
            <w:tcW w:w="2680" w:type="dxa"/>
            <w:vAlign w:val="bottom"/>
            <w:tcBorders>
              <w:bottom w:val="single" w:sz="8" w:color="CCEEFF"/>
            </w:tcBorders>
            <w:gridSpan w:val="3"/>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279,139</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223,729</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176,154</w:t>
            </w:r>
          </w:p>
        </w:tc>
        <w:tc>
          <w:tcPr>
            <w:tcW w:w="1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45,595</w:t>
            </w:r>
          </w:p>
        </w:tc>
        <w:tc>
          <w:tcPr>
            <w:tcW w:w="1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724,617</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the change in the carrying amount of goodwill by reportable business segment for the nine months ended July 31, 2023 (in thousands):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 Fenestration</w:t>
            </w:r>
          </w:p>
        </w:tc>
        <w:tc>
          <w:tcPr>
            <w:tcW w:w="10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EU Fenestration</w:t>
            </w: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 Cabinet Comp.</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Unallocated Corp.</w:t>
            </w:r>
          </w:p>
        </w:tc>
        <w:tc>
          <w:tcPr>
            <w:tcW w:w="280" w:type="dxa"/>
            <w:vAlign w:val="bottom"/>
          </w:tcPr>
          <w:p>
            <w:pPr>
              <w:spacing w:after="0"/>
              <w:rPr>
                <w:sz w:val="14"/>
                <w:szCs w:val="14"/>
                <w:color w:val="auto"/>
              </w:rPr>
            </w:pPr>
          </w:p>
        </w:tc>
        <w:tc>
          <w:tcPr>
            <w:tcW w:w="9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&amp; Other</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October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38,712</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59,996</w:t>
            </w: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39,147</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137,855</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LMI acquisition</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41,393</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Balance as of July 31, 2023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80,105</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67,157</w:t>
            </w: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39,147</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186,409</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further details of Goodwill, see Note 5, “Goodwill &amp; Intangible Assets,” located herewith.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did not allocate non-operating loss or income tax benefit to the reportable segments. The following table reconciles operating income as reported above to net income for the three and nine months ended July 31, 2023 and 2022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4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w w:val="92"/>
              </w:rPr>
              <w:t>Three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6"/>
                <w:szCs w:val="16"/>
                <w:color w:val="auto"/>
              </w:rPr>
            </w:pPr>
          </w:p>
        </w:tc>
      </w:tr>
      <w:tr>
        <w:trPr>
          <w:trHeight w:val="203"/>
        </w:trPr>
        <w:tc>
          <w:tcPr>
            <w:tcW w:w="4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4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July 31,</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6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July 31,</w:t>
            </w:r>
          </w:p>
        </w:tc>
        <w:tc>
          <w:tcPr>
            <w:tcW w:w="940" w:type="dxa"/>
            <w:vAlign w:val="bottom"/>
          </w:tcPr>
          <w:p>
            <w:pPr>
              <w:spacing w:after="0"/>
              <w:rPr>
                <w:sz w:val="17"/>
                <w:szCs w:val="17"/>
                <w:color w:val="auto"/>
              </w:rPr>
            </w:pPr>
          </w:p>
        </w:tc>
      </w:tr>
      <w:tr>
        <w:trPr>
          <w:trHeight w:val="26"/>
        </w:trPr>
        <w:tc>
          <w:tcPr>
            <w:tcW w:w="48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48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2022</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37,463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34,035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82,711</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(2,068)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(6,571)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(1,849)</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(4,099)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(7,801)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(18,098)</w:t>
            </w:r>
          </w:p>
        </w:tc>
      </w:tr>
      <w:tr>
        <w:trPr>
          <w:trHeight w:val="248"/>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31,698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25,908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compute basic earnings per share by dividing net income by the weighted-average number of common shares outstanding during the period. Diluted earnings per common and potential common shares include the weighted-average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6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Basic and diluted earnings per share for the three and nine months ended July 31, 2023 and 2022 were calculated as follows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 Income</w:t>
            </w:r>
          </w:p>
        </w:tc>
        <w:tc>
          <w:tcPr>
            <w:tcW w:w="1460" w:type="dxa"/>
            <w:vAlign w:val="bottom"/>
          </w:tcPr>
          <w:p>
            <w:pPr>
              <w:jc w:val="right"/>
              <w:ind w:right="72"/>
              <w:spacing w:after="0"/>
              <w:rPr>
                <w:sz w:val="20"/>
                <w:szCs w:val="20"/>
                <w:color w:val="auto"/>
              </w:rPr>
            </w:pPr>
            <w:r>
              <w:rPr>
                <w:rFonts w:ascii="Arial" w:cs="Arial" w:eastAsia="Arial" w:hAnsi="Arial"/>
                <w:sz w:val="14"/>
                <w:szCs w:val="14"/>
                <w:b w:val="1"/>
                <w:bCs w:val="1"/>
                <w:color w:val="auto"/>
              </w:rPr>
              <w:t>Weighted-Average</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60" w:type="dxa"/>
            <w:vAlign w:val="bottom"/>
          </w:tcPr>
          <w:p>
            <w:pPr>
              <w:jc w:val="right"/>
              <w:ind w:right="43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6480" w:type="dxa"/>
            <w:vAlign w:val="bottom"/>
            <w:tcBorders>
              <w:top w:val="single" w:sz="8" w:color="CCEEFF"/>
            </w:tcBorders>
            <w:gridSpan w:val="3"/>
            <w:shd w:val="clear" w:color="auto" w:fill="CCEEFF"/>
          </w:tcPr>
          <w:p>
            <w:pPr>
              <w:spacing w:after="0" w:line="161" w:lineRule="exact"/>
              <w:rPr>
                <w:sz w:val="20"/>
                <w:szCs w:val="20"/>
                <w:color w:val="auto"/>
              </w:rPr>
            </w:pPr>
            <w:r>
              <w:rPr>
                <w:rFonts w:ascii="Arial" w:cs="Arial" w:eastAsia="Arial" w:hAnsi="Arial"/>
                <w:sz w:val="16"/>
                <w:szCs w:val="16"/>
                <w:b w:val="1"/>
                <w:bCs w:val="1"/>
                <w:color w:val="auto"/>
              </w:rPr>
              <w:t>Three Months Ended July 31, 2023</w:t>
            </w:r>
          </w:p>
        </w:tc>
        <w:tc>
          <w:tcPr>
            <w:tcW w:w="2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31,698</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32,716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32,919</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8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b w:val="1"/>
                <w:bCs w:val="1"/>
                <w:color w:val="auto"/>
              </w:rPr>
              <w:t>Three Months Ended July 31, 2022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4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25,908</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32,999</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25,908</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33,173</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23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6"/>
                <w:szCs w:val="16"/>
                <w:b w:val="1"/>
                <w:bCs w:val="1"/>
                <w:color w:val="auto"/>
                <w:w w:val="91"/>
              </w:rPr>
              <w:t>Nine Months Ended July 31, 2023</w:t>
            </w:r>
          </w:p>
        </w:tc>
        <w:tc>
          <w:tcPr>
            <w:tcW w:w="4140" w:type="dxa"/>
            <w:vAlign w:val="bottom"/>
            <w:tcBorders>
              <w:bottom w:val="single" w:sz="8" w:color="CCEEFF"/>
            </w:tcBorders>
            <w:gridSpan w:val="2"/>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55,119</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32,841</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33,031</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8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b w:val="1"/>
                <w:bCs w:val="1"/>
                <w:color w:val="auto"/>
              </w:rPr>
              <w:t>Nine Months Ended July 31, 2022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4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63,669</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33,093</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63,669</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33,256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do not include equity instruments in our calculation of diluted earnings per share if those instruments would be anti-dilutive. Such dilution is dependent on the excess of the market price of our stock over the exercise price and other components of the treasury stock method. There were no anti-dilutive instruments for the three and nine months ended July 31, 2023 and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New Accounting Guidance</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and nine months ended July 31, 2023. As of July 31, 2023, we believe the impact of any recently issued standards that are not yet effective are either not applicable to us at this time or will not have a material impact on our condensed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 xml:space="preserve">Certain of the statements contained in this document and in documents incorporated by reference herein, including those made under the caption </w:t>
      </w:r>
      <w:r>
        <w:rPr>
          <w:rFonts w:ascii="Arial" w:cs="Arial" w:eastAsia="Arial" w:hAnsi="Arial"/>
          <w:sz w:val="17"/>
          <w:szCs w:val="17"/>
          <w:i w:val="1"/>
          <w:iCs w:val="1"/>
          <w:color w:val="auto"/>
        </w:rPr>
        <w:t xml:space="preserve">“Management’s Discussion and Analysis of Financial Condition and Results of Operations” </w:t>
      </w:r>
      <w:r>
        <w:rPr>
          <w:rFonts w:ascii="Arial" w:cs="Arial" w:eastAsia="Arial" w:hAnsi="Arial"/>
          <w:sz w:val="17"/>
          <w:szCs w:val="17"/>
          <w:color w:val="auto"/>
        </w:rPr>
        <w:t>are “forward-looking” statements as defined under the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spacing w:after="0" w:line="98" w:lineRule="exact"/>
        <w:rPr>
          <w:sz w:val="20"/>
          <w:szCs w:val="20"/>
          <w:color w:val="auto"/>
        </w:rPr>
      </w:pPr>
    </w:p>
    <w:p>
      <w:pPr>
        <w:ind w:left="660" w:hanging="166"/>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impacts from public health issues (including pandemics, such as the COVID-19 pandemic and quarantines) on the economy, demand for our products or our operations, including the responses of governmental authorities to contain such public health issues;</w:t>
      </w:r>
    </w:p>
    <w:p>
      <w:pPr>
        <w:spacing w:after="0" w:line="8"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market conditions, particularly in the new home construction, and residential remodeling and replacement (R&amp;R) activity markets in the United States, United Kingdom, Germany and elsewhere;</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non-pass-through raw material costs;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domestic and international economic conditions;</w:t>
      </w:r>
    </w:p>
    <w:p>
      <w:pPr>
        <w:spacing w:after="0" w:line="63"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availability and prices of raw material including inflationary pressures and supply chain challenges, which could be exacerbated by political or global unrest such as the current military conflict in Ukraine;</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skilled labor;</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purchases by our principal customers;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implement our internal operating plans and acquisition strategies;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implement our plans with respect to information technology (IT) systems and processes;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control costs and increase profitability;</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environmental laws and regulations;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warranty obligations;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energy costs and the availability of energy;</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laws, and interpretations thereof;</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service our debt facilities and remain in good standing with our lenders;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availability or applicability of our insurance coverage;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good relationships with our suppliers, subcontractors, and key customers; and</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resolution of litigation and other legal proceedings.</w:t>
      </w:r>
    </w:p>
    <w:p>
      <w:pPr>
        <w:spacing w:after="0" w:line="14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 xml:space="preserve">For information on additional factors that could cause actual results to differ materially, please refer to the section entitled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 our Annual Report on Form 10-K for the fiscal year ended October 31,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Third-Party Information</w:t>
      </w:r>
    </w:p>
    <w:p>
      <w:pPr>
        <w:spacing w:after="0" w:line="1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this report, we rely on and refer to information regarding industry data obtained from market research, publicly available information, industry publications, U.S. government sources and other third parties. Although we believe this information is reliable, we cannot guarantee the accuracy or completeness of the information and have not independently verified it.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accompanying unaudited condensed consolidated financial statements and related notes as of July 31, 2023, and for the three and nine months ended July 31, 2023 and 2022, included elsewhere herein. For additional information pertaining to our business, including risk factors which should be considered before investing in our common stock, refer to our Annual Report on Form 10-K for the fiscal year ended October 31, 2022.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manufacture components for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custom mixing, solar panel sealants, trim moldings, vinyl decking, vinyl fencing, customized compounds, water retention barriers, and conservatory roof components.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12"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1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currently have three reportable business segments: (1) North American Fenestration segment (“NA Fenestration”), comprising four operating segments, manufacturing vinyl profiles, IG spacers, screens, custom compound mixing, and other fenestration components; (2) European Fenestration segment (“EU Fenestration”), comprising our U.K.-based vinyl extrusion business, manufacturing vinyl profiles and conservatories, and the European insulating glass business manufacturing IG spacers; and (3) North American Cabinet Components segment (“NA Cabinet Components”), comprising our North American cabinet door and components business and two wood-manufacturing plants. We maintain a grouping called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our accompanying condensed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Transactions and Events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November 1, 2022, we entered into an Asset Purchase Agreement with LMI and the equity owners of LMI, Lauren International, Ltd. and Meteor-US-Beteiligungs GMBH. Under the Purchase Agreement, we acquired substantially all of the operating assets comprising LMI’s polymer mixing and rubber compound production business and also agreed to assume certain liabilities relating to the Acquisition. As consideration for the Purchased Assets, we paid $91.3 million in cash utilizing funds borrowed under our Credit Facility. In connection with the Acquisition, we amended our existing finance lease with Lauren Real Estate Holding LLC for the purpose of adding an additional lease renewal option and increasing rental space by approximately 60,000 square feet of rental space which was added to the 313,595 square feet of rentable area located in Cambridge, Ohio.</w:t>
      </w:r>
    </w:p>
    <w:p>
      <w:pPr>
        <w:spacing w:after="0" w:line="12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U.S. and global markets are experiencing volatility and disruption following the escalation of geopolitical tensions and the military conflict between Russia and Ukraine. Although the length and impact of the ongoing military conflict is highly unpredictable, the conflict in Ukraine could lead to market or operational disruptions, including significant volatility in commodity prices, credit and capital markets, as well as supply chain interruptions. Russia, Europe’s largest provider of natural gas, has significantly reduced the export of natural gas compared to the beginning of the conflict resulting in the increase in natural gas prices and the potential for natural gas shortages. If this trend continues, this would not only negatively impact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European manufacturing facilities, this may also impact our customers and their demand for our products. We continue to monitor these situations and their impact on our business.</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war in Ukraine and the impact on the global economy including inflation and the price of raw materials, supply chain disruptions, and the volatility in interest rates including home mortgage rates are unpredictable and there may be developments outside our control requiring us to adjust our operating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Overview and Outlook</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believe the primary drivers of our operating results continue to be North American new home construction and residential remodeling and replacement (R&amp;R) activity. We believe that housing starts and window shipments are indicators of activity levels in the homebuilding and window industries, and we use this data, as published by or derived from third-party sources, to evaluate the market. We have evaluated the market using data from the National Association of Homebuilders (NAHB) with regard to housing starts, and published reports by Ducker Worldwide, LLC (Ducker), a consulting and research firm, with regard to window shipments in the U.S. We obtain market data from Catalina Research, a consulting and research firm, for insight into the U.S. residential wood cabinet demand.</w:t>
      </w:r>
    </w:p>
    <w:p>
      <w:pPr>
        <w:spacing w:after="0" w:line="11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 xml:space="preserve">In August </w:t>
      </w:r>
      <w:r>
        <w:rPr>
          <w:rFonts w:ascii="Arial" w:cs="Arial" w:eastAsia="Arial" w:hAnsi="Arial"/>
          <w:sz w:val="14"/>
          <w:szCs w:val="14"/>
          <w:color w:val="auto"/>
        </w:rPr>
        <w:t>2023</w:t>
      </w:r>
      <w:r>
        <w:rPr>
          <w:rFonts w:ascii="Arial" w:cs="Arial" w:eastAsia="Arial" w:hAnsi="Arial"/>
          <w:sz w:val="16"/>
          <w:szCs w:val="16"/>
          <w:color w:val="auto"/>
        </w:rPr>
        <w:t xml:space="preserve">, the NAHB forecasted calendar-year housing starts to be 1.4 million in the 2023 and 2024 calendar-years and 1.5 million in 2025. In August </w:t>
      </w:r>
      <w:r>
        <w:rPr>
          <w:rFonts w:ascii="Arial" w:cs="Arial" w:eastAsia="Arial" w:hAnsi="Arial"/>
          <w:sz w:val="14"/>
          <w:szCs w:val="14"/>
          <w:color w:val="auto"/>
        </w:rPr>
        <w:t>2023</w:t>
      </w:r>
      <w:r>
        <w:rPr>
          <w:rFonts w:ascii="Arial" w:cs="Arial" w:eastAsia="Arial" w:hAnsi="Arial"/>
          <w:sz w:val="16"/>
          <w:szCs w:val="16"/>
          <w:color w:val="auto"/>
        </w:rPr>
        <w:t>, the Ducker forecast indicated that total window shipments are expected to decrease 6.6% in calendar-year 2023 and increase 2.9% in 2024.</w:t>
      </w:r>
    </w:p>
    <w:p>
      <w:pPr>
        <w:spacing w:after="0" w:line="5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Several commodities in our business are subject to pricing fluctuations, including polyvinyl resin (PVC), titanium dioxide (TiO2), petroleum products, aluminum and wood. For the majority of our customers and critical suppliers, we have price adjusters in place which effectively share the impact of pass-through price changes for our primary commodities with our customers commensurate with the market at large. Our long-term exposure to these price fluctuations is somewhat mitigated due to the contractual component of the adjuster programs.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are in high demand, particularly in Europe, which can affect the cost of the raw materials, a portion of which we may not be able to fully recover.</w:t>
      </w:r>
    </w:p>
    <w:p>
      <w:pPr>
        <w:spacing w:after="0" w:line="11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global economy remains uncertain due to currency devaluations, political unrest, terror threats, global pandemics such as COVID-19, and even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31, 2023 Compared to Three Months Ended July 31,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6"/>
                <w:szCs w:val="16"/>
                <w:b w:val="1"/>
                <w:bCs w:val="1"/>
                <w:color w:val="auto"/>
                <w:w w:val="98"/>
              </w:rPr>
              <w:t>Three Months Ended July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91"/>
              </w:rPr>
              <w:t>Change $</w:t>
            </w:r>
          </w:p>
        </w:tc>
        <w:tc>
          <w:tcPr>
            <w:tcW w:w="14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7"/>
          </w:tcPr>
          <w:p>
            <w:pPr>
              <w:jc w:val="right"/>
              <w:ind w:right="860"/>
              <w:spacing w:after="0"/>
              <w:rPr>
                <w:sz w:val="20"/>
                <w:szCs w:val="20"/>
                <w:color w:val="auto"/>
              </w:rPr>
            </w:pPr>
            <w:r>
              <w:rPr>
                <w:rFonts w:ascii="Arial" w:cs="Arial" w:eastAsia="Arial" w:hAnsi="Arial"/>
                <w:sz w:val="13"/>
                <w:szCs w:val="13"/>
                <w:b w:val="1"/>
                <w:bCs w:val="1"/>
                <w:color w:val="auto"/>
              </w:rPr>
              <w:t>(Dollars in thousands)</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299,640</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324,037</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(24,397)</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Cost of sales (excluding depreciation and amortization)</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221,065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251,446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(30,381)</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10,596</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9,734</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(1,344)</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(7,801)</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3,702</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0" w:type="dxa"/>
            <w:vAlign w:val="bottom"/>
            <w:tcBorders>
              <w:top w:val="single" w:sz="8" w:color="CCEEFF"/>
              <w:bottom w:val="single" w:sz="8" w:color="CCEEFF"/>
            </w:tcBorders>
            <w:gridSpan w:val="2"/>
            <w:vMerge w:val="restart"/>
          </w:tcPr>
          <w:p>
            <w:pPr>
              <w:ind w:left="420"/>
              <w:spacing w:after="0"/>
              <w:rPr>
                <w:sz w:val="20"/>
                <w:szCs w:val="20"/>
                <w:color w:val="auto"/>
              </w:rPr>
            </w:pPr>
            <w:r>
              <w:rPr>
                <w:rFonts w:ascii="Arial" w:cs="Arial" w:eastAsia="Arial" w:hAnsi="Arial"/>
                <w:sz w:val="18"/>
                <w:szCs w:val="18"/>
                <w:color w:val="auto"/>
              </w:rPr>
              <w:t>Our period-over-period results by reportable segment follow.</w:t>
            </w: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5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Changes Related to Operating Income by Reportable Segment: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440" w:type="dxa"/>
            <w:vAlign w:val="bottom"/>
            <w:gridSpan w:val="3"/>
          </w:tcPr>
          <w:p>
            <w:pPr>
              <w:spacing w:after="0"/>
              <w:rPr>
                <w:sz w:val="20"/>
                <w:szCs w:val="20"/>
                <w:color w:val="auto"/>
              </w:rPr>
            </w:pPr>
            <w:r>
              <w:rPr>
                <w:rFonts w:ascii="Arial" w:cs="Arial" w:eastAsia="Arial" w:hAnsi="Arial"/>
                <w:sz w:val="18"/>
                <w:szCs w:val="18"/>
                <w:i w:val="1"/>
                <w:iCs w:val="1"/>
                <w:color w:val="auto"/>
              </w:rPr>
              <w:t>NA Fenestration</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6"/>
                <w:szCs w:val="16"/>
                <w:b w:val="1"/>
                <w:bCs w:val="1"/>
                <w:color w:val="auto"/>
                <w:w w:val="96"/>
              </w:rPr>
              <w:t>Three Months Ended July 31,</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7"/>
          </w:tcPr>
          <w:p>
            <w:pPr>
              <w:jc w:val="right"/>
              <w:ind w:right="900"/>
              <w:spacing w:after="0"/>
              <w:rPr>
                <w:sz w:val="20"/>
                <w:szCs w:val="20"/>
                <w:color w:val="auto"/>
              </w:rPr>
            </w:pPr>
            <w:r>
              <w:rPr>
                <w:rFonts w:ascii="Arial" w:cs="Arial" w:eastAsia="Arial" w:hAnsi="Arial"/>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177,081</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184,744</w:t>
            </w:r>
          </w:p>
        </w:tc>
        <w:tc>
          <w:tcPr>
            <w:tcW w:w="1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(7,663)</w:t>
            </w:r>
          </w:p>
        </w:tc>
        <w:tc>
          <w:tcPr>
            <w:tcW w:w="14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gridSpan w:val="2"/>
          </w:tcPr>
          <w:p>
            <w:pPr>
              <w:ind w:left="80"/>
              <w:spacing w:after="0"/>
              <w:rPr>
                <w:sz w:val="20"/>
                <w:szCs w:val="20"/>
                <w:color w:val="auto"/>
              </w:rPr>
            </w:pPr>
            <w:r>
              <w:rPr>
                <w:rFonts w:ascii="Arial" w:cs="Arial" w:eastAsia="Arial" w:hAnsi="Arial"/>
                <w:sz w:val="18"/>
                <w:szCs w:val="18"/>
                <w:color w:val="auto"/>
              </w:rPr>
              <w:t>Cost of sales (excluding depreciation and amortization)</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135,126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142,970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(7,844)</w:t>
            </w:r>
          </w:p>
        </w:tc>
        <w:tc>
          <w:tcPr>
            <w:tcW w:w="1400" w:type="dxa"/>
            <w:vAlign w:val="bottom"/>
          </w:tcPr>
          <w:p>
            <w:pPr>
              <w:jc w:val="center"/>
              <w:ind w:left="32"/>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5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14,254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c>
          <w:tcPr>
            <w:tcW w:w="14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0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Depreciation and amortization</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5,033</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989</w:t>
            </w:r>
          </w:p>
        </w:tc>
        <w:tc>
          <w:tcPr>
            <w:tcW w:w="1400" w:type="dxa"/>
            <w:vAlign w:val="bottom"/>
            <w:tcBorders>
              <w:bottom w:val="single" w:sz="8" w:color="CCEEFF"/>
            </w:tcBorders>
          </w:tcPr>
          <w:p>
            <w:pPr>
              <w:jc w:val="center"/>
              <w:ind w:left="32"/>
              <w:spacing w:after="0"/>
              <w:rPr>
                <w:sz w:val="20"/>
                <w:szCs w:val="20"/>
                <w:color w:val="auto"/>
              </w:rPr>
            </w:pPr>
            <w:r>
              <w:rPr>
                <w:rFonts w:ascii="Arial" w:cs="Arial" w:eastAsia="Arial" w:hAnsi="Arial"/>
                <w:sz w:val="18"/>
                <w:szCs w:val="18"/>
                <w:color w:val="auto"/>
                <w:w w:val="91"/>
              </w:rPr>
              <w:t>(24)%</w:t>
            </w: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22,668</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23,086</w:t>
            </w:r>
          </w:p>
        </w:tc>
        <w:tc>
          <w:tcPr>
            <w:tcW w:w="1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140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income margin</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4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13 %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12 %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decreased $7.7 million, or 4%, for the three months ended July 31, 2023 compared to the same period in 2022,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$22.3 million decrease in volumes mainly due to softer market demand, a return to normal seasonality, and a decrease in price and raw material surcharges of $5.2 million, partially offset by a $19.8 million contribution from the addition of LMI in 2023.</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cost of sales decreased $7.8 million, or 5%, for the three months ended July 31, 2023 compared to the same period in 2022. Cost</w:t>
      </w:r>
      <w:r>
        <w:rPr>
          <w:rFonts w:ascii="Arial" w:cs="Arial" w:eastAsia="Arial" w:hAnsi="Arial"/>
          <w:sz w:val="18"/>
          <w:szCs w:val="18"/>
          <w:i w:val="1"/>
          <w:iCs w:val="1"/>
          <w:color w:val="auto"/>
        </w:rPr>
        <w:t xml:space="preserve"> </w:t>
      </w:r>
      <w:r>
        <w:rPr>
          <w:rFonts w:ascii="Arial" w:cs="Arial" w:eastAsia="Arial" w:hAnsi="Arial"/>
          <w:sz w:val="18"/>
          <w:szCs w:val="18"/>
          <w:color w:val="auto"/>
        </w:rPr>
        <w:t>of sales, including labor, decreased primarily due to lower volumes and deflation of raw materials during the period partially offset by LMI’s cost of sales in 2023.</w:t>
      </w:r>
    </w:p>
    <w:p>
      <w:pPr>
        <w:spacing w:after="0" w:line="103"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i w:val="1"/>
          <w:iCs w:val="1"/>
          <w:color w:val="auto"/>
        </w:rPr>
        <w:t>Selling, General and Administrative. S</w:t>
      </w:r>
      <w:r>
        <w:rPr>
          <w:rFonts w:ascii="Arial" w:cs="Arial" w:eastAsia="Arial" w:hAnsi="Arial"/>
          <w:sz w:val="18"/>
          <w:szCs w:val="18"/>
          <w:color w:val="auto"/>
        </w:rPr>
        <w:t>elling, general and administrative expenses decreased $0.4 million, or 3%, for the three months ended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2023 compared to the same period in 2022 primarily due to decreases in labor costs and professional fees year-over-year.</w:t>
      </w:r>
    </w:p>
    <w:p>
      <w:pPr>
        <w:spacing w:after="0" w:line="103"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increased $1.0 million, or 24%, for the three months ended July 31, 2023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2022, primarily due to the acquisition of LMI’s property, plant and equipment and intangible assets.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 Fenestration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6"/>
                <w:szCs w:val="16"/>
                <w:b w:val="1"/>
                <w:bCs w:val="1"/>
                <w:color w:val="auto"/>
                <w:w w:val="96"/>
              </w:rPr>
              <w:t>Three Months Ended July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 Change</w:t>
            </w:r>
          </w:p>
        </w:tc>
        <w:tc>
          <w:tcPr>
            <w:tcW w:w="14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77"/>
        </w:trPr>
        <w:tc>
          <w:tcPr>
            <w:tcW w:w="5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4"/>
          </w:tcPr>
          <w:p>
            <w:pPr>
              <w:jc w:val="right"/>
              <w:ind w:right="813"/>
              <w:spacing w:after="0"/>
              <w:rPr>
                <w:sz w:val="20"/>
                <w:szCs w:val="20"/>
                <w:color w:val="auto"/>
              </w:rPr>
            </w:pPr>
            <w:r>
              <w:rPr>
                <w:rFonts w:ascii="Arial" w:cs="Arial" w:eastAsia="Arial" w:hAnsi="Arial"/>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67,889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67,613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44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41,266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47,212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(5,946)</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8,039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8,256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4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2,434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2,327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40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9,818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140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4"/>
              </w:rPr>
              <w:t>64%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4" w:lineRule="exact"/>
              <w:rPr>
                <w:sz w:val="20"/>
                <w:szCs w:val="20"/>
                <w:color w:val="auto"/>
              </w:rPr>
            </w:pPr>
            <w:r>
              <w:rPr>
                <w:rFonts w:ascii="Arial" w:cs="Arial" w:eastAsia="Arial" w:hAnsi="Arial"/>
                <w:sz w:val="18"/>
                <w:szCs w:val="18"/>
                <w:color w:val="auto"/>
              </w:rPr>
              <w:t>24 %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4" w:lineRule="exact"/>
              <w:rPr>
                <w:sz w:val="20"/>
                <w:szCs w:val="20"/>
                <w:color w:val="auto"/>
              </w:rPr>
            </w:pPr>
            <w:r>
              <w:rPr>
                <w:rFonts w:ascii="Arial" w:cs="Arial" w:eastAsia="Arial" w:hAnsi="Arial"/>
                <w:sz w:val="18"/>
                <w:szCs w:val="18"/>
                <w:color w:val="auto"/>
              </w:rPr>
              <w:t>15 %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$0.3 million for the three months ended July 31, 2023 compared to the same period in 2022, which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 $2.2 million benefit from foreign currency rate change and $2.1 million of base price increases, partially offset by a $4.0 million decrease in volumes largely due to softer market demand, and a return to normal seasonality.</w:t>
      </w:r>
    </w:p>
    <w:p>
      <w:pPr>
        <w:spacing w:after="0" w:line="10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cost of sales decreased $5.9 million, or 13%, for the three months ended July 31, 2023 compared to the same period in 2022. Cost</w:t>
      </w:r>
      <w:r>
        <w:rPr>
          <w:rFonts w:ascii="Arial" w:cs="Arial" w:eastAsia="Arial" w:hAnsi="Arial"/>
          <w:sz w:val="18"/>
          <w:szCs w:val="18"/>
          <w:i w:val="1"/>
          <w:iCs w:val="1"/>
          <w:color w:val="auto"/>
        </w:rPr>
        <w:t xml:space="preserve"> </w:t>
      </w:r>
      <w:r>
        <w:rPr>
          <w:rFonts w:ascii="Arial" w:cs="Arial" w:eastAsia="Arial" w:hAnsi="Arial"/>
          <w:sz w:val="18"/>
          <w:szCs w:val="18"/>
          <w:color w:val="auto"/>
        </w:rPr>
        <w:t>of sales decreased primarily due to deflation of the price of raw materials and lower volumes partially offset by foreign currency rate changes during the period.</w:t>
      </w:r>
    </w:p>
    <w:p>
      <w:pPr>
        <w:spacing w:after="0" w:line="11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decreased $0.2 million, or 3%, for the three months ended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2023 compared to the same period in 2022. The decrease is primarily due to a decrease in insurance expense and foreign currency impacts, partially offset by an increase in labor costs year-over-year.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Cabinet Components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6"/>
                <w:szCs w:val="16"/>
                <w:b w:val="1"/>
                <w:bCs w:val="1"/>
                <w:color w:val="auto"/>
                <w:w w:val="97"/>
              </w:rPr>
              <w:t>Three Months Ended July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 Change</w:t>
            </w:r>
          </w:p>
        </w:tc>
        <w:tc>
          <w:tcPr>
            <w:tcW w:w="14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Variance %</w:t>
            </w:r>
          </w:p>
        </w:tc>
        <w:tc>
          <w:tcPr>
            <w:tcW w:w="0" w:type="dxa"/>
            <w:vAlign w:val="bottom"/>
          </w:tcPr>
          <w:p>
            <w:pPr>
              <w:spacing w:after="0"/>
              <w:rPr>
                <w:sz w:val="1"/>
                <w:szCs w:val="1"/>
                <w:color w:val="auto"/>
              </w:rPr>
            </w:pPr>
          </w:p>
        </w:tc>
      </w:tr>
      <w:tr>
        <w:trPr>
          <w:trHeight w:val="177"/>
        </w:trPr>
        <w:tc>
          <w:tcPr>
            <w:tcW w:w="5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4"/>
          </w:tcPr>
          <w:p>
            <w:pPr>
              <w:jc w:val="right"/>
              <w:ind w:right="813"/>
              <w:spacing w:after="0"/>
              <w:rPr>
                <w:sz w:val="20"/>
                <w:szCs w:val="20"/>
                <w:color w:val="auto"/>
              </w:rPr>
            </w:pPr>
            <w:r>
              <w:rPr>
                <w:rFonts w:ascii="Arial" w:cs="Arial" w:eastAsia="Arial" w:hAnsi="Arial"/>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55,385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72,480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(17,095)</w:t>
            </w:r>
          </w:p>
        </w:tc>
        <w:tc>
          <w:tcPr>
            <w:tcW w:w="14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29"/>
        </w:trPr>
        <w:tc>
          <w:tcPr>
            <w:tcW w:w="544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44,935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61,543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(16,608)</w:t>
            </w:r>
          </w:p>
        </w:tc>
        <w:tc>
          <w:tcPr>
            <w:tcW w:w="1400" w:type="dxa"/>
            <w:vAlign w:val="bottom"/>
          </w:tcPr>
          <w:p>
            <w:pPr>
              <w:jc w:val="center"/>
              <w:ind w:left="13"/>
              <w:spacing w:after="0"/>
              <w:rPr>
                <w:sz w:val="20"/>
                <w:szCs w:val="20"/>
                <w:color w:val="auto"/>
              </w:rPr>
            </w:pPr>
            <w:r>
              <w:rPr>
                <w:rFonts w:ascii="Arial" w:cs="Arial" w:eastAsia="Arial" w:hAnsi="Arial"/>
                <w:sz w:val="18"/>
                <w:szCs w:val="18"/>
                <w:color w:val="auto"/>
                <w:w w:val="94"/>
              </w:rPr>
              <w:t>27%</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5,335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3,084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3,273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40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Arial" w:cs="Arial" w:eastAsia="Arial" w:hAnsi="Arial"/>
                <w:sz w:val="18"/>
                <w:szCs w:val="18"/>
                <w:color w:val="auto"/>
              </w:rPr>
              <w:t>3 %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$17.1 million, or 24%, for the three months ended July 31, 2023 compared to the same period in 2022,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an $11.5 million decrease in volumes due to softer market demand driven by weaker consumer confidence and a $5.6 million decrease in price and raw material indexes.</w:t>
      </w:r>
    </w:p>
    <w:p>
      <w:pPr>
        <w:spacing w:after="0" w:line="10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decreased $16.6 million, or 27%, for the three months ended July 31, 2023 compared to the same period in 2022.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decreased primarily due to lower volumes during the period and lumber price deflation.</w:t>
      </w:r>
    </w:p>
    <w:p>
      <w:pPr>
        <w:spacing w:after="0" w:line="103"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 decreased $0.2 million, or 4%, for the three months ended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2023 compared to the same period in 2022 primarily due to a decrease in labor costs year-over-year.</w:t>
      </w:r>
    </w:p>
    <w:p>
      <w:pPr>
        <w:spacing w:after="0" w:line="10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decreased $0.2 million, or 6%, for the three months ended July 31, 2023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2022, reflecting the run-off of depreciation expense related to existing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Unallocated Corporate &amp; Other</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6"/>
                <w:szCs w:val="16"/>
                <w:b w:val="1"/>
                <w:bCs w:val="1"/>
                <w:color w:val="auto"/>
                <w:w w:val="97"/>
              </w:rPr>
              <w:t>Three Months Ended July 31,</w:t>
            </w:r>
          </w:p>
        </w:tc>
        <w:tc>
          <w:tcPr>
            <w:tcW w:w="1420" w:type="dxa"/>
            <w:vAlign w:val="bottom"/>
            <w:tcBorders>
              <w:bottom w:val="single" w:sz="8" w:color="auto"/>
            </w:tcBorders>
          </w:tcPr>
          <w:p>
            <w:pPr>
              <w:spacing w:after="0"/>
              <w:rPr>
                <w:sz w:val="18"/>
                <w:szCs w:val="18"/>
                <w:color w:val="auto"/>
              </w:rPr>
            </w:pPr>
          </w:p>
        </w:tc>
      </w:tr>
      <w:tr>
        <w:trPr>
          <w:trHeight w:val="210"/>
        </w:trPr>
        <w:tc>
          <w:tcPr>
            <w:tcW w:w="5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14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Variance %</w:t>
            </w:r>
          </w:p>
        </w:tc>
      </w:tr>
      <w:tr>
        <w:trPr>
          <w:trHeight w:val="177"/>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4"/>
          </w:tcPr>
          <w:p>
            <w:pPr>
              <w:jc w:val="right"/>
              <w:ind w:right="693"/>
              <w:spacing w:after="0"/>
              <w:rPr>
                <w:sz w:val="20"/>
                <w:szCs w:val="20"/>
                <w:color w:val="auto"/>
              </w:rPr>
            </w:pPr>
            <w:r>
              <w:rPr>
                <w:rFonts w:ascii="Arial" w:cs="Arial" w:eastAsia="Arial" w:hAnsi="Arial"/>
                <w:sz w:val="13"/>
                <w:szCs w:val="13"/>
                <w:b w:val="1"/>
                <w:bCs w:val="1"/>
                <w:color w:val="auto"/>
              </w:rPr>
              <w:t>(Dollars in thousands)</w:t>
            </w:r>
          </w:p>
        </w:tc>
        <w:tc>
          <w:tcPr>
            <w:tcW w:w="1420" w:type="dxa"/>
            <w:vAlign w:val="bottom"/>
          </w:tcPr>
          <w:p>
            <w:pPr>
              <w:spacing w:after="0"/>
              <w:rPr>
                <w:sz w:val="15"/>
                <w:szCs w:val="15"/>
                <w:color w:val="auto"/>
              </w:rPr>
            </w:pPr>
          </w:p>
        </w:tc>
      </w:tr>
      <w:tr>
        <w:trPr>
          <w:trHeight w:val="23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2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8"/>
              </w:rPr>
              <w:t>11%</w:t>
            </w:r>
          </w:p>
        </w:tc>
      </w:tr>
      <w:tr>
        <w:trPr>
          <w:trHeight w:val="229"/>
        </w:trPr>
        <w:tc>
          <w:tcPr>
            <w:tcW w:w="562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420" w:type="dxa"/>
            <w:vAlign w:val="bottom"/>
          </w:tcPr>
          <w:p>
            <w:pPr>
              <w:jc w:val="center"/>
              <w:ind w:left="13"/>
              <w:spacing w:after="0"/>
              <w:rPr>
                <w:sz w:val="20"/>
                <w:szCs w:val="20"/>
                <w:color w:val="auto"/>
              </w:rPr>
            </w:pPr>
            <w:r>
              <w:rPr>
                <w:rFonts w:ascii="Arial" w:cs="Arial" w:eastAsia="Arial" w:hAnsi="Arial"/>
                <w:sz w:val="18"/>
                <w:szCs w:val="18"/>
                <w:color w:val="auto"/>
                <w:w w:val="94"/>
              </w:rPr>
              <w:t>(6)%</w:t>
            </w:r>
          </w:p>
        </w:tc>
      </w:tr>
      <w:tr>
        <w:trPr>
          <w:trHeight w:val="230"/>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42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2"/>
              </w:rPr>
              <w:t>(433)%</w:t>
            </w:r>
          </w:p>
        </w:tc>
      </w:tr>
      <w:tr>
        <w:trPr>
          <w:trHeight w:val="229"/>
        </w:trPr>
        <w:tc>
          <w:tcPr>
            <w:tcW w:w="5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20" w:type="dxa"/>
            <w:vAlign w:val="bottom"/>
            <w:tcBorders>
              <w:bottom w:val="single" w:sz="8" w:color="CCEEFF"/>
            </w:tcBorders>
          </w:tcPr>
          <w:p>
            <w:pPr>
              <w:jc w:val="center"/>
              <w:ind w:left="13"/>
              <w:spacing w:after="0"/>
              <w:rPr>
                <w:sz w:val="20"/>
                <w:szCs w:val="20"/>
                <w:color w:val="auto"/>
              </w:rPr>
            </w:pPr>
            <w:r>
              <w:rPr>
                <w:rFonts w:ascii="Arial" w:cs="Arial" w:eastAsia="Arial" w:hAnsi="Arial"/>
                <w:sz w:val="18"/>
                <w:szCs w:val="18"/>
                <w:color w:val="auto"/>
                <w:w w:val="88"/>
              </w:rPr>
              <w:t>50%</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42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2"/>
              </w:rPr>
              <w:t>(203)%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for Unallocated Corporate &amp; Other represents the elimination of inter-segment sales for the three months ended July 31, 2023</w:t>
      </w:r>
      <w:r>
        <w:rPr>
          <w:rFonts w:ascii="Arial" w:cs="Arial" w:eastAsia="Arial" w:hAnsi="Arial"/>
          <w:sz w:val="18"/>
          <w:szCs w:val="18"/>
          <w:i w:val="1"/>
          <w:iCs w:val="1"/>
          <w:color w:val="auto"/>
        </w:rPr>
        <w:t xml:space="preserve"> </w:t>
      </w:r>
      <w:r>
        <w:rPr>
          <w:rFonts w:ascii="Arial" w:cs="Arial" w:eastAsia="Arial" w:hAnsi="Arial"/>
          <w:sz w:val="18"/>
          <w:szCs w:val="18"/>
          <w:color w:val="auto"/>
        </w:rPr>
        <w:t>and 2022.</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for Unallocated Corporate &amp; Other consists of the elimination of inter-segment sales, profit in inventory, and other costs.</w:t>
      </w:r>
    </w:p>
    <w:p>
      <w:pPr>
        <w:spacing w:after="0" w:line="19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expenses increased $2.5 million, or 433%,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July 31, 2023 compared to the same period in 2022. This increase is primarily attributable to an increase in medical claims expense and higher compensation expense including the valuations of our stock-based compensation awards during the three months ended July 31, 2023 as compared to the prior year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Non-Operating Items:</w:t>
      </w:r>
    </w:p>
    <w:p>
      <w:pPr>
        <w:spacing w:after="0" w:line="50"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$1.3 million for the three months ended July 31, 2023 compared to the same period in 2022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higher borrowings outstanding during the period and an increase in interest rates.</w:t>
      </w:r>
    </w:p>
    <w:p>
      <w:pPr>
        <w:spacing w:after="0" w:line="117" w:lineRule="exact"/>
        <w:rPr>
          <w:sz w:val="20"/>
          <w:szCs w:val="20"/>
          <w:color w:val="auto"/>
        </w:rPr>
      </w:pPr>
    </w:p>
    <w:p>
      <w:pPr>
        <w:jc w:val="both"/>
        <w:ind w:firstLine="445"/>
        <w:spacing w:after="0" w:line="243"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recorded income tax expense of $4.1 million on pre-tax</w:t>
      </w:r>
      <w:r>
        <w:rPr>
          <w:rFonts w:ascii="Arial" w:cs="Arial" w:eastAsia="Arial" w:hAnsi="Arial"/>
          <w:sz w:val="18"/>
          <w:szCs w:val="18"/>
          <w:i w:val="1"/>
          <w:iCs w:val="1"/>
          <w:color w:val="auto"/>
        </w:rPr>
        <w:t xml:space="preserve"> </w:t>
      </w:r>
      <w:r>
        <w:rPr>
          <w:rFonts w:ascii="Arial" w:cs="Arial" w:eastAsia="Arial" w:hAnsi="Arial"/>
          <w:sz w:val="16"/>
          <w:szCs w:val="16"/>
          <w:color w:val="auto"/>
        </w:rPr>
        <w:t>income</w:t>
      </w:r>
      <w:r>
        <w:rPr>
          <w:rFonts w:ascii="Arial" w:cs="Arial" w:eastAsia="Arial" w:hAnsi="Arial"/>
          <w:sz w:val="18"/>
          <w:szCs w:val="18"/>
          <w:i w:val="1"/>
          <w:iCs w:val="1"/>
          <w:color w:val="auto"/>
        </w:rPr>
        <w:t xml:space="preserve"> </w:t>
      </w:r>
      <w:r>
        <w:rPr>
          <w:rFonts w:ascii="Arial" w:cs="Arial" w:eastAsia="Arial" w:hAnsi="Arial"/>
          <w:sz w:val="18"/>
          <w:szCs w:val="18"/>
          <w:color w:val="auto"/>
        </w:rPr>
        <w:t>of $35.8 million for the three months ended July 31, 2023,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effective rate of 11.5%, and income tax </w:t>
      </w:r>
      <w:r>
        <w:rPr>
          <w:rFonts w:ascii="Arial" w:cs="Arial" w:eastAsia="Arial" w:hAnsi="Arial"/>
          <w:sz w:val="16"/>
          <w:szCs w:val="16"/>
          <w:color w:val="auto"/>
        </w:rPr>
        <w:t>expense</w:t>
      </w:r>
      <w:r>
        <w:rPr>
          <w:rFonts w:ascii="Arial" w:cs="Arial" w:eastAsia="Arial" w:hAnsi="Arial"/>
          <w:sz w:val="18"/>
          <w:szCs w:val="18"/>
          <w:color w:val="auto"/>
        </w:rPr>
        <w:t xml:space="preserve"> of $7.8 million on pre-tax </w:t>
      </w:r>
      <w:r>
        <w:rPr>
          <w:rFonts w:ascii="Arial" w:cs="Arial" w:eastAsia="Arial" w:hAnsi="Arial"/>
          <w:sz w:val="16"/>
          <w:szCs w:val="16"/>
          <w:color w:val="auto"/>
        </w:rPr>
        <w:t>income</w:t>
      </w:r>
      <w:r>
        <w:rPr>
          <w:rFonts w:ascii="Arial" w:cs="Arial" w:eastAsia="Arial" w:hAnsi="Arial"/>
          <w:sz w:val="18"/>
          <w:szCs w:val="18"/>
          <w:color w:val="auto"/>
        </w:rPr>
        <w:t xml:space="preserve"> of $33.7 million for the three months ended July 31, 2022, an effective rate of 23.1%. The decrease in income tax expense year-over-year was primarily driven by a benefit for tax provision accrual to tax return filings, as well as a shift of income to lower tax jurisdictions.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July 31, 2023 Compared to Nine Months Ended July 31, 2022</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w w:val="99"/>
              </w:rPr>
              <w:t>Nine Months Ended July 31,</w:t>
            </w:r>
          </w:p>
        </w:tc>
        <w:tc>
          <w:tcPr>
            <w:tcW w:w="1560" w:type="dxa"/>
            <w:vAlign w:val="bottom"/>
            <w:tcBorders>
              <w:bottom w:val="single" w:sz="8" w:color="auto"/>
            </w:tcBorders>
          </w:tcPr>
          <w:p>
            <w:pPr>
              <w:spacing w:after="0"/>
              <w:rPr>
                <w:sz w:val="18"/>
                <w:szCs w:val="18"/>
                <w:color w:val="auto"/>
              </w:rPr>
            </w:pPr>
          </w:p>
        </w:tc>
      </w:tr>
      <w:tr>
        <w:trPr>
          <w:trHeight w:val="187"/>
        </w:trPr>
        <w:tc>
          <w:tcPr>
            <w:tcW w:w="5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92"/>
              <w:spacing w:after="0"/>
              <w:rPr>
                <w:sz w:val="20"/>
                <w:szCs w:val="20"/>
                <w:color w:val="auto"/>
              </w:rPr>
            </w:pPr>
            <w:r>
              <w:rPr>
                <w:rFonts w:ascii="Arial" w:cs="Arial" w:eastAsia="Arial" w:hAnsi="Arial"/>
                <w:sz w:val="14"/>
                <w:szCs w:val="14"/>
                <w:b w:val="1"/>
                <w:bCs w:val="1"/>
                <w:color w:val="auto"/>
              </w:rPr>
              <w:t>Change $</w:t>
            </w:r>
          </w:p>
        </w:tc>
        <w:tc>
          <w:tcPr>
            <w:tcW w:w="1560" w:type="dxa"/>
            <w:vAlign w:val="bottom"/>
          </w:tcPr>
          <w:p>
            <w:pPr>
              <w:jc w:val="right"/>
              <w:ind w:right="272"/>
              <w:spacing w:after="0"/>
              <w:rPr>
                <w:sz w:val="20"/>
                <w:szCs w:val="20"/>
                <w:color w:val="auto"/>
              </w:rPr>
            </w:pPr>
            <w:r>
              <w:rPr>
                <w:rFonts w:ascii="Arial" w:cs="Arial" w:eastAsia="Arial" w:hAnsi="Arial"/>
                <w:sz w:val="14"/>
                <w:szCs w:val="14"/>
                <w:b w:val="1"/>
                <w:bCs w:val="1"/>
                <w:color w:val="auto"/>
              </w:rPr>
              <w:t>% Variance</w:t>
            </w:r>
          </w:p>
        </w:tc>
      </w:tr>
      <w:tr>
        <w:trPr>
          <w:trHeight w:val="25"/>
        </w:trPr>
        <w:tc>
          <w:tcPr>
            <w:tcW w:w="5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2"/>
        </w:trPr>
        <w:tc>
          <w:tcPr>
            <w:tcW w:w="5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4"/>
          </w:tcPr>
          <w:p>
            <w:pPr>
              <w:jc w:val="right"/>
              <w:ind w:right="612"/>
              <w:spacing w:after="0"/>
              <w:rPr>
                <w:sz w:val="20"/>
                <w:szCs w:val="20"/>
                <w:color w:val="auto"/>
              </w:rPr>
            </w:pPr>
            <w:r>
              <w:rPr>
                <w:rFonts w:ascii="Arial" w:cs="Arial" w:eastAsia="Arial" w:hAnsi="Arial"/>
                <w:sz w:val="13"/>
                <w:szCs w:val="13"/>
                <w:b w:val="1"/>
                <w:bCs w:val="1"/>
                <w:color w:val="auto"/>
              </w:rPr>
              <w:t>(Dollars in thousands)</w:t>
            </w:r>
          </w:p>
        </w:tc>
        <w:tc>
          <w:tcPr>
            <w:tcW w:w="1560" w:type="dxa"/>
            <w:vAlign w:val="bottom"/>
          </w:tcPr>
          <w:p>
            <w:pPr>
              <w:spacing w:after="0"/>
              <w:rPr>
                <w:sz w:val="17"/>
                <w:szCs w:val="17"/>
                <w:color w:val="auto"/>
              </w:rPr>
            </w:pPr>
          </w:p>
        </w:tc>
      </w:tr>
      <w:tr>
        <w:trPr>
          <w:trHeight w:val="237"/>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835,091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913,970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480" w:type="dxa"/>
            <w:vAlign w:val="bottom"/>
          </w:tcPr>
          <w:p>
            <w:pPr>
              <w:ind w:left="12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637,586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712,931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(75,345)</w:t>
            </w:r>
          </w:p>
        </w:tc>
        <w:tc>
          <w:tcPr>
            <w:tcW w:w="15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(4,722)</w:t>
            </w:r>
          </w:p>
        </w:tc>
        <w:tc>
          <w:tcPr>
            <w:tcW w:w="156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29"/>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44 %</w:t>
            </w:r>
          </w:p>
        </w:tc>
      </w:tr>
      <w:tr>
        <w:trPr>
          <w:trHeight w:val="248"/>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period-over-period results by reportable segment follow.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Operating Income by Reportable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Fenestration</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6"/>
                <w:szCs w:val="16"/>
                <w:b w:val="1"/>
                <w:bCs w:val="1"/>
                <w:color w:val="auto"/>
                <w:w w:val="96"/>
              </w:rPr>
              <w:t>Nine Months Ended July 31,</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 Change</w:t>
            </w:r>
          </w:p>
        </w:tc>
        <w:tc>
          <w:tcPr>
            <w:tcW w:w="138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 Variance</w:t>
            </w:r>
          </w:p>
        </w:tc>
        <w:tc>
          <w:tcPr>
            <w:tcW w:w="0" w:type="dxa"/>
            <w:vAlign w:val="bottom"/>
          </w:tcPr>
          <w:p>
            <w:pPr>
              <w:spacing w:after="0"/>
              <w:rPr>
                <w:sz w:val="1"/>
                <w:szCs w:val="1"/>
                <w:color w:val="auto"/>
              </w:rPr>
            </w:pPr>
          </w:p>
        </w:tc>
      </w:tr>
      <w:tr>
        <w:trPr>
          <w:trHeight w:val="181"/>
        </w:trPr>
        <w:tc>
          <w:tcPr>
            <w:tcW w:w="5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4"/>
          </w:tcPr>
          <w:p>
            <w:pPr>
              <w:jc w:val="right"/>
              <w:ind w:right="834"/>
              <w:spacing w:after="0"/>
              <w:rPr>
                <w:sz w:val="20"/>
                <w:szCs w:val="20"/>
                <w:color w:val="auto"/>
              </w:rPr>
            </w:pPr>
            <w:r>
              <w:rPr>
                <w:rFonts w:ascii="Arial" w:cs="Arial" w:eastAsia="Arial" w:hAnsi="Arial"/>
                <w:sz w:val="13"/>
                <w:szCs w:val="13"/>
                <w:b w:val="1"/>
                <w:bCs w:val="1"/>
                <w:color w:val="auto"/>
              </w:rPr>
              <w:t>(Dollars in thousands)</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487,036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509,283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(22,247)</w:t>
            </w:r>
          </w:p>
        </w:tc>
        <w:tc>
          <w:tcPr>
            <w:tcW w:w="13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29"/>
        </w:trPr>
        <w:tc>
          <w:tcPr>
            <w:tcW w:w="5400" w:type="dxa"/>
            <w:vAlign w:val="bottom"/>
          </w:tcPr>
          <w:p>
            <w:pPr>
              <w:ind w:left="80"/>
              <w:spacing w:after="0"/>
              <w:rPr>
                <w:sz w:val="20"/>
                <w:szCs w:val="20"/>
                <w:color w:val="auto"/>
              </w:rPr>
            </w:pPr>
            <w:r>
              <w:rPr>
                <w:rFonts w:ascii="Arial" w:cs="Arial" w:eastAsia="Arial" w:hAnsi="Arial"/>
                <w:sz w:val="18"/>
                <w:szCs w:val="18"/>
                <w:color w:val="auto"/>
              </w:rPr>
              <w:t>Cost of sales (excluding depreciation and amortization)</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382,315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56"/>
              <w:spacing w:after="0"/>
              <w:rPr>
                <w:sz w:val="20"/>
                <w:szCs w:val="20"/>
                <w:color w:val="auto"/>
              </w:rPr>
            </w:pPr>
            <w:r>
              <w:rPr>
                <w:rFonts w:ascii="Arial" w:cs="Arial" w:eastAsia="Arial" w:hAnsi="Arial"/>
                <w:sz w:val="18"/>
                <w:szCs w:val="18"/>
                <w:color w:val="auto"/>
              </w:rPr>
              <w:t>396,505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(14,190)</w:t>
            </w: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41,707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43,099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3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15,328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12,221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138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w w:val="91"/>
              </w:rPr>
              <w:t>(25)%</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47,686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57,458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(9,772)</w:t>
            </w:r>
          </w:p>
        </w:tc>
        <w:tc>
          <w:tcPr>
            <w:tcW w:w="138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1"/>
              </w:rPr>
              <w:t>(17)%</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Operating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10 %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4" w:lineRule="exact"/>
              <w:rPr>
                <w:sz w:val="20"/>
                <w:szCs w:val="20"/>
                <w:color w:val="auto"/>
              </w:rPr>
            </w:pPr>
            <w:r>
              <w:rPr>
                <w:rFonts w:ascii="Arial" w:cs="Arial" w:eastAsia="Arial" w:hAnsi="Arial"/>
                <w:sz w:val="18"/>
                <w:szCs w:val="18"/>
                <w:color w:val="auto"/>
              </w:rPr>
              <w:t>11 %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decreased $22.2 million, or 4%, for the nine months ended July 31, 2023 compared to the same period in 2022, which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driven by a $70.5 million decrease in volumes mainly due to softer market demand, a return to normal seasonality, customer destocking, and a decrease in price and raw material surcharges of $5.7 million, partially offset by a $54.0 million contribution from the addition of LMI in 2023.</w:t>
      </w:r>
    </w:p>
    <w:p>
      <w:pPr>
        <w:spacing w:after="0" w:line="9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cost of sales decreased $14.2 million, or 4%, for the nine months ended July 31, 2023 as compared to the same period in 2022.</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sales, including labor, decreased primarily due to lower volumes and deflation of raw materials during the period partially offset by LMI’s cost of sales in 2023.</w:t>
      </w:r>
    </w:p>
    <w:p>
      <w:pPr>
        <w:spacing w:after="0" w:line="116"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i w:val="1"/>
          <w:iCs w:val="1"/>
          <w:color w:val="auto"/>
        </w:rPr>
        <w:t>Selling, General and Administrative. S</w:t>
      </w:r>
      <w:r>
        <w:rPr>
          <w:rFonts w:ascii="Arial" w:cs="Arial" w:eastAsia="Arial" w:hAnsi="Arial"/>
          <w:sz w:val="18"/>
          <w:szCs w:val="18"/>
          <w:color w:val="auto"/>
        </w:rPr>
        <w:t>elling, general and administrative expenses decreased $1.4 million, or 3%, for the nine months ended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2023 as compared to the same period in 2022 primarily due to decreases in labor costs and professional fees year-over-year.</w:t>
      </w:r>
    </w:p>
    <w:p>
      <w:pPr>
        <w:spacing w:after="0" w:line="103"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increased $3.1 million, or 25%, for the nine months ended July 31, 2023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2022, primarily due to the acquisition of LMI’s property, plant and equipment and intangible assets.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 Fenestration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6"/>
                <w:szCs w:val="16"/>
                <w:b w:val="1"/>
                <w:bCs w:val="1"/>
                <w:color w:val="auto"/>
                <w:w w:val="96"/>
              </w:rPr>
              <w:t>Nine Months Ended July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 Change</w:t>
            </w:r>
          </w:p>
        </w:tc>
        <w:tc>
          <w:tcPr>
            <w:tcW w:w="140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Variance %</w:t>
            </w:r>
          </w:p>
        </w:tc>
        <w:tc>
          <w:tcPr>
            <w:tcW w:w="0" w:type="dxa"/>
            <w:vAlign w:val="bottom"/>
          </w:tcPr>
          <w:p>
            <w:pPr>
              <w:spacing w:after="0"/>
              <w:rPr>
                <w:sz w:val="1"/>
                <w:szCs w:val="1"/>
                <w:color w:val="auto"/>
              </w:rPr>
            </w:pPr>
          </w:p>
        </w:tc>
      </w:tr>
      <w:tr>
        <w:trPr>
          <w:trHeight w:val="181"/>
        </w:trPr>
        <w:tc>
          <w:tcPr>
            <w:tcW w:w="5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4"/>
          </w:tcPr>
          <w:p>
            <w:pPr>
              <w:jc w:val="right"/>
              <w:ind w:right="814"/>
              <w:spacing w:after="0"/>
              <w:rPr>
                <w:sz w:val="20"/>
                <w:szCs w:val="20"/>
                <w:color w:val="auto"/>
              </w:rPr>
            </w:pPr>
            <w:r>
              <w:rPr>
                <w:rFonts w:ascii="Arial" w:cs="Arial" w:eastAsia="Arial" w:hAnsi="Arial"/>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186,604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199,954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14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29"/>
        </w:trPr>
        <w:tc>
          <w:tcPr>
            <w:tcW w:w="544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6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119,421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Arial" w:cs="Arial" w:eastAsia="Arial" w:hAnsi="Arial"/>
                <w:sz w:val="18"/>
                <w:szCs w:val="18"/>
                <w:color w:val="auto"/>
              </w:rPr>
              <w:t>138,147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(18,726)</w:t>
            </w:r>
          </w:p>
        </w:tc>
        <w:tc>
          <w:tcPr>
            <w:tcW w:w="1400" w:type="dxa"/>
            <w:vAlign w:val="bottom"/>
          </w:tcPr>
          <w:p>
            <w:pPr>
              <w:jc w:val="center"/>
              <w:ind w:left="34"/>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23,996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24,160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7,135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7,418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40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36,052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30,229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140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88"/>
              </w:rPr>
              <w:t>19%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19 %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line="204" w:lineRule="exact"/>
              <w:rPr>
                <w:sz w:val="20"/>
                <w:szCs w:val="20"/>
                <w:color w:val="auto"/>
              </w:rPr>
            </w:pPr>
            <w:r>
              <w:rPr>
                <w:rFonts w:ascii="Arial" w:cs="Arial" w:eastAsia="Arial" w:hAnsi="Arial"/>
                <w:sz w:val="18"/>
                <w:szCs w:val="18"/>
                <w:color w:val="auto"/>
              </w:rPr>
              <w:t>15 %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decreased $13.4 million, or 7%, comparing the nine months ended July 31, 2023 to the same period in 2022,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$16.1 million decrease in volumes largely due to softer market demand, a return to normal seasonality, and customer destocking, and $8.6 million of foreign currency rate change, partially offset by $11.3 million of base price increases.</w:t>
      </w:r>
    </w:p>
    <w:p>
      <w:pPr>
        <w:spacing w:after="0" w:line="116"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The cost of sales decreased $18.7 million, or 14%, for the nine months ended July 31, 2023 compared to the same period in 2022. Cost</w:t>
      </w:r>
      <w:r>
        <w:rPr>
          <w:rFonts w:ascii="Arial" w:cs="Arial" w:eastAsia="Arial" w:hAnsi="Arial"/>
          <w:sz w:val="17"/>
          <w:szCs w:val="17"/>
          <w:i w:val="1"/>
          <w:iCs w:val="1"/>
          <w:color w:val="auto"/>
        </w:rPr>
        <w:t xml:space="preserve"> </w:t>
      </w:r>
      <w:r>
        <w:rPr>
          <w:rFonts w:ascii="Arial" w:cs="Arial" w:eastAsia="Arial" w:hAnsi="Arial"/>
          <w:sz w:val="17"/>
          <w:szCs w:val="17"/>
          <w:color w:val="auto"/>
        </w:rPr>
        <w:t>of sales decreased primarily due to a decrease in volumes, deflation in the price of raw materials and foreign currency impacts.</w:t>
      </w:r>
    </w:p>
    <w:p>
      <w:pPr>
        <w:spacing w:after="0" w:line="7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decreased $0.2 million, or 1%, for the nine months ended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2023 compared to the same period in 2022. The decrease is primarily due to a decrease in professional fees and foreign currency impacts, partially offset by an increase in labor costs year-over-year.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Cabinet Components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6"/>
                <w:szCs w:val="16"/>
                <w:b w:val="1"/>
                <w:bCs w:val="1"/>
                <w:color w:val="auto"/>
                <w:w w:val="96"/>
              </w:rPr>
              <w:t>Nine Months Ended July 31,</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 Change</w:t>
            </w:r>
          </w:p>
        </w:tc>
        <w:tc>
          <w:tcPr>
            <w:tcW w:w="140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Variance %</w:t>
            </w:r>
          </w:p>
        </w:tc>
        <w:tc>
          <w:tcPr>
            <w:tcW w:w="0" w:type="dxa"/>
            <w:vAlign w:val="bottom"/>
          </w:tcPr>
          <w:p>
            <w:pPr>
              <w:spacing w:after="0"/>
              <w:rPr>
                <w:sz w:val="1"/>
                <w:szCs w:val="1"/>
                <w:color w:val="auto"/>
              </w:rPr>
            </w:pPr>
          </w:p>
        </w:tc>
      </w:tr>
      <w:tr>
        <w:trPr>
          <w:trHeight w:val="181"/>
        </w:trPr>
        <w:tc>
          <w:tcPr>
            <w:tcW w:w="5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4"/>
          </w:tcPr>
          <w:p>
            <w:pPr>
              <w:jc w:val="right"/>
              <w:ind w:right="814"/>
              <w:spacing w:after="0"/>
              <w:rPr>
                <w:sz w:val="20"/>
                <w:szCs w:val="20"/>
                <w:color w:val="auto"/>
              </w:rPr>
            </w:pPr>
            <w:r>
              <w:rPr>
                <w:rFonts w:ascii="Arial" w:cs="Arial" w:eastAsia="Arial" w:hAnsi="Arial"/>
                <w:sz w:val="13"/>
                <w:szCs w:val="13"/>
                <w:b w:val="1"/>
                <w:bCs w:val="1"/>
                <w:color w:val="auto"/>
              </w:rPr>
              <w:t>(Dollars in thousands)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163,577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207,711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(44,134)</w:t>
            </w:r>
          </w:p>
        </w:tc>
        <w:tc>
          <w:tcPr>
            <w:tcW w:w="14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1"/>
              </w:rPr>
              <w:t>(21)%</w:t>
            </w:r>
          </w:p>
        </w:tc>
        <w:tc>
          <w:tcPr>
            <w:tcW w:w="0" w:type="dxa"/>
            <w:vAlign w:val="bottom"/>
          </w:tcPr>
          <w:p>
            <w:pPr>
              <w:spacing w:after="0"/>
              <w:rPr>
                <w:sz w:val="1"/>
                <w:szCs w:val="1"/>
                <w:color w:val="auto"/>
              </w:rPr>
            </w:pPr>
          </w:p>
        </w:tc>
      </w:tr>
      <w:tr>
        <w:trPr>
          <w:trHeight w:val="229"/>
        </w:trPr>
        <w:tc>
          <w:tcPr>
            <w:tcW w:w="544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6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136,722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Arial" w:cs="Arial" w:eastAsia="Arial" w:hAnsi="Arial"/>
                <w:sz w:val="18"/>
                <w:szCs w:val="18"/>
                <w:color w:val="auto"/>
              </w:rPr>
              <w:t>179,791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(43,069)</w:t>
            </w:r>
          </w:p>
        </w:tc>
        <w:tc>
          <w:tcPr>
            <w:tcW w:w="1400" w:type="dxa"/>
            <w:vAlign w:val="bottom"/>
          </w:tcPr>
          <w:p>
            <w:pPr>
              <w:jc w:val="center"/>
              <w:ind w:left="34"/>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15,939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15,823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8,988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10,653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140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1,444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40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88"/>
              </w:rPr>
              <w:t>34%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1 %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line="204" w:lineRule="exact"/>
              <w:rPr>
                <w:sz w:val="20"/>
                <w:szCs w:val="20"/>
                <w:color w:val="auto"/>
              </w:rPr>
            </w:pPr>
            <w:r>
              <w:rPr>
                <w:rFonts w:ascii="Arial" w:cs="Arial" w:eastAsia="Arial" w:hAnsi="Arial"/>
                <w:sz w:val="18"/>
                <w:szCs w:val="18"/>
                <w:color w:val="auto"/>
              </w:rPr>
              <w:t>1 %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$44.1 million, or 21%, for the nine months ended July 31, 2023 compared to the same period in 2022,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 $40.6 million decrease in volumes due to softer market demand driven by weaker consumer confidence partially offset by a $3.5 million decrease in raw material indexes.</w:t>
      </w:r>
    </w:p>
    <w:p>
      <w:pPr>
        <w:spacing w:after="0" w:line="10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decreased $43.1 million, or 24%, for the nine months ended July 31, 2023 compared with the same period in 2022,</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 a result of lower volumes year-over-year and lumber price deflation.</w:t>
      </w:r>
    </w:p>
    <w:p>
      <w:pPr>
        <w:spacing w:after="0" w:line="10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 increased $0.1 million, or 1%, for the nine months ended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2023 compared to the same period in 2022. This increase is primarily due to a the loss on an asset caused by wind damage to a manufacturing facility and an increase in professional fees partially offset by a decrease in labor costs.</w:t>
      </w:r>
    </w:p>
    <w:p>
      <w:pPr>
        <w:spacing w:after="0" w:line="11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decreased $1.7 million, or 16%, for the nine months ended July 31, 2023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2022, reflecting the run-off of depreciation expense related to existing assets.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Unallocated Corporate &amp; Other</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6"/>
                <w:szCs w:val="16"/>
                <w:b w:val="1"/>
                <w:bCs w:val="1"/>
                <w:color w:val="auto"/>
                <w:w w:val="97"/>
              </w:rPr>
              <w:t>Nine Months Ended July 31,</w:t>
            </w:r>
          </w:p>
        </w:tc>
        <w:tc>
          <w:tcPr>
            <w:tcW w:w="1420" w:type="dxa"/>
            <w:vAlign w:val="bottom"/>
            <w:tcBorders>
              <w:bottom w:val="single" w:sz="8" w:color="auto"/>
            </w:tcBorders>
          </w:tcPr>
          <w:p>
            <w:pPr>
              <w:spacing w:after="0"/>
              <w:rPr>
                <w:sz w:val="18"/>
                <w:szCs w:val="18"/>
                <w:color w:val="auto"/>
              </w:rPr>
            </w:pPr>
          </w:p>
        </w:tc>
      </w:tr>
      <w:tr>
        <w:trPr>
          <w:trHeight w:val="193"/>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rPr>
              <w:t>$ Change</w:t>
            </w:r>
          </w:p>
        </w:tc>
        <w:tc>
          <w:tcPr>
            <w:tcW w:w="142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Variance %</w:t>
            </w:r>
          </w:p>
        </w:tc>
      </w:tr>
      <w:tr>
        <w:trPr>
          <w:trHeight w:val="181"/>
        </w:trPr>
        <w:tc>
          <w:tcPr>
            <w:tcW w:w="5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gridSpan w:val="4"/>
          </w:tcPr>
          <w:p>
            <w:pPr>
              <w:jc w:val="right"/>
              <w:ind w:right="694"/>
              <w:spacing w:after="0"/>
              <w:rPr>
                <w:sz w:val="20"/>
                <w:szCs w:val="20"/>
                <w:color w:val="auto"/>
              </w:rPr>
            </w:pPr>
            <w:r>
              <w:rPr>
                <w:rFonts w:ascii="Arial" w:cs="Arial" w:eastAsia="Arial" w:hAnsi="Arial"/>
                <w:sz w:val="13"/>
                <w:szCs w:val="13"/>
                <w:b w:val="1"/>
                <w:bCs w:val="1"/>
                <w:color w:val="auto"/>
              </w:rPr>
              <w:t>(Dollars in thousands)</w:t>
            </w:r>
          </w:p>
        </w:tc>
        <w:tc>
          <w:tcPr>
            <w:tcW w:w="1420" w:type="dxa"/>
            <w:vAlign w:val="bottom"/>
          </w:tcPr>
          <w:p>
            <w:pPr>
              <w:spacing w:after="0"/>
              <w:rPr>
                <w:sz w:val="15"/>
                <w:szCs w:val="15"/>
                <w:color w:val="auto"/>
              </w:rPr>
            </w:pPr>
          </w:p>
        </w:tc>
      </w:tr>
      <w:tr>
        <w:trPr>
          <w:trHeight w:val="23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4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8"/>
              </w:rPr>
              <w:t>29%</w:t>
            </w:r>
          </w:p>
        </w:tc>
      </w:tr>
      <w:tr>
        <w:trPr>
          <w:trHeight w:val="230"/>
        </w:trPr>
        <w:tc>
          <w:tcPr>
            <w:tcW w:w="560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640</w:t>
            </w:r>
          </w:p>
        </w:tc>
        <w:tc>
          <w:tcPr>
            <w:tcW w:w="1420" w:type="dxa"/>
            <w:vAlign w:val="bottom"/>
          </w:tcPr>
          <w:p>
            <w:pPr>
              <w:jc w:val="center"/>
              <w:ind w:left="14"/>
              <w:spacing w:after="0"/>
              <w:rPr>
                <w:sz w:val="20"/>
                <w:szCs w:val="20"/>
                <w:color w:val="auto"/>
              </w:rPr>
            </w:pPr>
            <w:r>
              <w:rPr>
                <w:rFonts w:ascii="Arial" w:cs="Arial" w:eastAsia="Arial" w:hAnsi="Arial"/>
                <w:sz w:val="18"/>
                <w:szCs w:val="18"/>
                <w:color w:val="auto"/>
                <w:w w:val="91"/>
              </w:rPr>
              <w:t>(42)%</w:t>
            </w:r>
          </w:p>
        </w:tc>
      </w:tr>
      <w:tr>
        <w:trPr>
          <w:trHeight w:val="230"/>
        </w:trPr>
        <w:tc>
          <w:tcPr>
            <w:tcW w:w="5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8,297</w:t>
            </w:r>
          </w:p>
        </w:tc>
        <w:tc>
          <w:tcPr>
            <w:tcW w:w="142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2"/>
              </w:rPr>
              <w:t>(177)%</w:t>
            </w:r>
          </w:p>
        </w:tc>
      </w:tr>
      <w:tr>
        <w:trPr>
          <w:trHeight w:val="230"/>
        </w:trPr>
        <w:tc>
          <w:tcPr>
            <w:tcW w:w="5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2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w w:val="88"/>
              </w:rPr>
              <w:t>16%</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142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2"/>
              </w:rPr>
              <w:t>(125)%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for Unallocated Corporate &amp; Other represents the elimination of inter-segment sales for the nine months ended July 31,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for Unallocated Corporate &amp; Other consists of the elimination of inter-segment sales, profit in inventory, and other costs.</w:t>
      </w:r>
    </w:p>
    <w:p>
      <w:pPr>
        <w:spacing w:after="0" w:line="194"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Selling, general and administrative expenses increased $8.3 million, or 177%,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July 31, 2023 compared to the same period in 2022. This increase is primarily attributable to an increase in transaction fees and compensation expense including the valuations of our stock-based compensation awards during the nine months ended July 31, 2023 as compared to the prior year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Non-Operating Items:</w:t>
      </w:r>
    </w:p>
    <w:p>
      <w:pPr>
        <w:spacing w:after="0" w:line="90"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$4.7 million for the nine months ended July 31, 2023 compared to the same period in 2022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higher borrowings outstanding during the period and an increase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We recorded income tax expense of $10.1 million on pre-tax</w:t>
      </w:r>
      <w:r>
        <w:rPr>
          <w:rFonts w:ascii="Arial" w:cs="Arial" w:eastAsia="Arial" w:hAnsi="Arial"/>
          <w:sz w:val="16"/>
          <w:szCs w:val="16"/>
          <w:i w:val="1"/>
          <w:iCs w:val="1"/>
          <w:color w:val="auto"/>
        </w:rPr>
        <w:t xml:space="preserve"> </w:t>
      </w:r>
      <w:r>
        <w:rPr>
          <w:rFonts w:ascii="Arial" w:cs="Arial" w:eastAsia="Arial" w:hAnsi="Arial"/>
          <w:sz w:val="14"/>
          <w:szCs w:val="14"/>
          <w:color w:val="auto"/>
        </w:rPr>
        <w:t>income</w:t>
      </w:r>
      <w:r>
        <w:rPr>
          <w:rFonts w:ascii="Arial" w:cs="Arial" w:eastAsia="Arial" w:hAnsi="Arial"/>
          <w:sz w:val="16"/>
          <w:szCs w:val="16"/>
          <w:i w:val="1"/>
          <w:iCs w:val="1"/>
          <w:color w:val="auto"/>
        </w:rPr>
        <w:t xml:space="preserve"> </w:t>
      </w:r>
      <w:r>
        <w:rPr>
          <w:rFonts w:ascii="Arial" w:cs="Arial" w:eastAsia="Arial" w:hAnsi="Arial"/>
          <w:sz w:val="16"/>
          <w:szCs w:val="16"/>
          <w:color w:val="auto"/>
        </w:rPr>
        <w:t>of $65.2 million for the nine months ended July 31, 2023,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 rate of 15.5%, and income tax </w:t>
      </w:r>
      <w:r>
        <w:rPr>
          <w:rFonts w:ascii="Arial" w:cs="Arial" w:eastAsia="Arial" w:hAnsi="Arial"/>
          <w:sz w:val="14"/>
          <w:szCs w:val="14"/>
          <w:color w:val="auto"/>
        </w:rPr>
        <w:t>expense</w:t>
      </w:r>
      <w:r>
        <w:rPr>
          <w:rFonts w:ascii="Arial" w:cs="Arial" w:eastAsia="Arial" w:hAnsi="Arial"/>
          <w:sz w:val="16"/>
          <w:szCs w:val="16"/>
          <w:color w:val="auto"/>
        </w:rPr>
        <w:t xml:space="preserve"> of $18.1 million on a pre-tax income of $81.8 million for the nine months ended July 31, 2022, an effective</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rate of 22.1%. The decrease in income tax expense year-over-year was primarily driven by a benefit for tax provision accrual to tax return filings, as well as a shift of income to lower tax jurisdictions.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Historically, our principal sources of funds have been cash on hand, cash flow from operations, and borrowings under our credit facilities.</w:t>
      </w:r>
    </w:p>
    <w:p>
      <w:pPr>
        <w:spacing w:after="0" w:line="15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maintain a $325.0 million revolving credit facility (the Credit Facility) that matures in 2027 (5-year term) and requires interest payments calculated at a variable market rate depending upon our Consolidated Net Leverage Ratio. The applicable rate during the nine months ended July 31, 2023 was RFR Rate + 1.25%. Our cost of capital could increase depending upon the Consolidated Net Leverage Ratio at the end of any given quarter. In addition to the Consolidated Net Leverage Ratio covenant, we are required to meet a Consolidated Interest Coverage Ratio covenant, and there are limitations on certain transactions including our ability to incur indebtedness, incur liens, dispose of material assets, acquire businesses, make restricted payments and pay dividends (limited to $25.0 million per year). We are amortizing deferred financing fees of $1.3 million straight-line over the remaining term of the facility. For further details of the Credit Facility, refer to Note 6, “Debt and Finance Lease Obligations” to the accompanying unaudited condensed consolidated financial statements contained elsewhere herein.</w:t>
      </w:r>
    </w:p>
    <w:p>
      <w:pPr>
        <w:spacing w:after="0" w:line="11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 of July 31, 2023, we had $73.3 million of cash and equivalents, $55.0 million outstanding under the Credit Facility, $5.1 million of outstanding letters of credit and $55.8 million outstanding under finance leases and other debt. Of the $55.8 million outstanding under finance leases and other debt, $52.9 million relates to real estate leases. We had $264.9 million available for use under the Credit Facility at July 31, 2023.</w:t>
      </w:r>
    </w:p>
    <w:p>
      <w:pPr>
        <w:spacing w:after="0" w:line="9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During December 2021, our Board of Directors approved a stock repurchase program that authorized the repurchase of up to $75.0 million worth of shares of our common stock. Repurchases under the program will be made in open market transactions or privately negotiated transactions, subject to market conditions, applicable legal requirements and other relevant factors. During the three months ended July 31, 2023, we did not purchase any shares under this program and as of July 31, 2023 we had a maximum of $62.8 million available to purchase shares under this program. The program does not have an expiration date or a limit on the number of shares that may be purchased.</w:t>
      </w:r>
    </w:p>
    <w:p>
      <w:pPr>
        <w:spacing w:after="0" w:line="2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repatriated $30.2 million and $18.2 million of foreign cash during the nine months ended July 31, 2023 and 2022, respectively. We expect to repatriate excess cash moving forward and use the funds to retire debt or meet current working capital needs. In the U.K., we insure against a portion of our credit losses. We believe our business model, our current cash reserves and our strong balance sheet leave us well-positioned to manage our business and remain in compliance with our debt covenants.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Cash Flow</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 results for the nine months ended July 31, 2023 and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2"/>
          </w:tcPr>
          <w:p>
            <w:pPr>
              <w:jc w:val="center"/>
              <w:ind w:left="482"/>
              <w:spacing w:after="0"/>
              <w:rPr>
                <w:sz w:val="20"/>
                <w:szCs w:val="20"/>
                <w:color w:val="auto"/>
              </w:rPr>
            </w:pPr>
            <w:r>
              <w:rPr>
                <w:rFonts w:ascii="Arial" w:cs="Arial" w:eastAsia="Arial" w:hAnsi="Arial"/>
                <w:sz w:val="14"/>
                <w:szCs w:val="14"/>
                <w:b w:val="1"/>
                <w:bCs w:val="1"/>
                <w:color w:val="auto"/>
                <w:w w:val="93"/>
              </w:rPr>
              <w:t>Nine Months Ended</w:t>
            </w:r>
          </w:p>
        </w:tc>
        <w:tc>
          <w:tcPr>
            <w:tcW w:w="940" w:type="dxa"/>
            <w:vAlign w:val="bottom"/>
          </w:tcPr>
          <w:p>
            <w:pPr>
              <w:spacing w:after="0"/>
              <w:rPr>
                <w:sz w:val="16"/>
                <w:szCs w:val="16"/>
                <w:color w:val="auto"/>
              </w:rPr>
            </w:pPr>
          </w:p>
        </w:tc>
      </w:tr>
      <w:tr>
        <w:trPr>
          <w:trHeight w:val="203"/>
        </w:trPr>
        <w:tc>
          <w:tcPr>
            <w:tcW w:w="8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2"/>
          </w:tcPr>
          <w:p>
            <w:pPr>
              <w:jc w:val="center"/>
              <w:ind w:left="502"/>
              <w:spacing w:after="0"/>
              <w:rPr>
                <w:sz w:val="20"/>
                <w:szCs w:val="20"/>
                <w:color w:val="auto"/>
              </w:rPr>
            </w:pPr>
            <w:r>
              <w:rPr>
                <w:rFonts w:ascii="Arial" w:cs="Arial" w:eastAsia="Arial" w:hAnsi="Arial"/>
                <w:sz w:val="14"/>
                <w:szCs w:val="14"/>
                <w:b w:val="1"/>
                <w:bCs w:val="1"/>
                <w:color w:val="auto"/>
                <w:w w:val="93"/>
              </w:rPr>
              <w:t>July 31,</w:t>
            </w:r>
          </w:p>
        </w:tc>
        <w:tc>
          <w:tcPr>
            <w:tcW w:w="940" w:type="dxa"/>
            <w:vAlign w:val="bottom"/>
          </w:tcPr>
          <w:p>
            <w:pPr>
              <w:spacing w:after="0"/>
              <w:rPr>
                <w:sz w:val="17"/>
                <w:szCs w:val="17"/>
                <w:color w:val="auto"/>
              </w:rPr>
            </w:pPr>
          </w:p>
        </w:tc>
      </w:tr>
      <w:tr>
        <w:trPr>
          <w:trHeight w:val="25"/>
        </w:trPr>
        <w:tc>
          <w:tcPr>
            <w:tcW w:w="8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w w:val="96"/>
              </w:rPr>
              <w:t>2022</w:t>
            </w:r>
          </w:p>
        </w:tc>
      </w:tr>
      <w:tr>
        <w:trPr>
          <w:trHeight w:val="181"/>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gridSpan w:val="2"/>
          </w:tcPr>
          <w:p>
            <w:pPr>
              <w:jc w:val="center"/>
              <w:ind w:left="482"/>
              <w:spacing w:after="0"/>
              <w:rPr>
                <w:sz w:val="20"/>
                <w:szCs w:val="20"/>
                <w:color w:val="auto"/>
              </w:rPr>
            </w:pPr>
            <w:r>
              <w:rPr>
                <w:rFonts w:ascii="Arial" w:cs="Arial" w:eastAsia="Arial" w:hAnsi="Arial"/>
                <w:sz w:val="13"/>
                <w:szCs w:val="13"/>
                <w:b w:val="1"/>
                <w:bCs w:val="1"/>
                <w:color w:val="auto"/>
                <w:w w:val="85"/>
              </w:rPr>
              <w:t>(Dollars in thousands)</w:t>
            </w:r>
          </w:p>
        </w:tc>
        <w:tc>
          <w:tcPr>
            <w:tcW w:w="940" w:type="dxa"/>
            <w:vAlign w:val="bottom"/>
          </w:tcPr>
          <w:p>
            <w:pPr>
              <w:spacing w:after="0"/>
              <w:rPr>
                <w:sz w:val="15"/>
                <w:szCs w:val="15"/>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102,559</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215"/>
              <w:spacing w:after="0"/>
              <w:rPr>
                <w:sz w:val="20"/>
                <w:szCs w:val="20"/>
                <w:color w:val="auto"/>
              </w:rPr>
            </w:pPr>
            <w:r>
              <w:rPr>
                <w:rFonts w:ascii="Arial" w:cs="Arial" w:eastAsia="Arial" w:hAnsi="Arial"/>
                <w:sz w:val="18"/>
                <w:szCs w:val="18"/>
                <w:color w:val="auto"/>
                <w:w w:val="87"/>
              </w:rPr>
              <w:t>49,854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Cash used for investing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2"/>
              <w:spacing w:after="0"/>
              <w:rPr>
                <w:sz w:val="20"/>
                <w:szCs w:val="20"/>
                <w:color w:val="auto"/>
              </w:rPr>
            </w:pPr>
            <w:r>
              <w:rPr>
                <w:rFonts w:ascii="Arial" w:cs="Arial" w:eastAsia="Arial" w:hAnsi="Arial"/>
                <w:sz w:val="18"/>
                <w:szCs w:val="18"/>
                <w:color w:val="auto"/>
              </w:rPr>
              <w:t>(113,569)</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195"/>
              <w:spacing w:after="0"/>
              <w:rPr>
                <w:sz w:val="20"/>
                <w:szCs w:val="20"/>
                <w:color w:val="auto"/>
              </w:rPr>
            </w:pPr>
            <w:r>
              <w:rPr>
                <w:rFonts w:ascii="Arial" w:cs="Arial" w:eastAsia="Arial" w:hAnsi="Arial"/>
                <w:sz w:val="18"/>
                <w:szCs w:val="18"/>
                <w:color w:val="auto"/>
                <w:w w:val="92"/>
              </w:rPr>
              <w:t>(19,354)</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for) financing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26,687</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w w:val="92"/>
              </w:rPr>
              <w:t>(17,937)</w:t>
            </w:r>
          </w:p>
        </w:tc>
      </w:tr>
    </w:tbl>
    <w:p>
      <w:pPr>
        <w:spacing w:after="0" w:line="18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Cash provided by operating activities increased $52.7 million for the nine months ended July 31, 2023 compared to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July 31, 2022. The increase in operating cash flows is primarily due to favorable changes to working capital partially offset by lower net income year-over-year due to a decrease in customer demand. The favorable changes in working capital were largely driven by a decrease in inventory value due to raw material price deflation and a decrease in accounts receivable partially offset by a decrease in accounts payable.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increased $94.2 million for the nine months ended July 31, 2023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2022, primarily as a result of the Acquisition of LMI.</w:t>
      </w:r>
    </w:p>
    <w:p>
      <w:pPr>
        <w:spacing w:after="0" w:line="89"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Cash provided by financing activities was $26.7 million for the nine months ended July 31, 2023, which included $40.0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of net borrowings of long-term debt, $8.0 million of dividends paid to our shareholders, and $5.6 million related to the purchase of treasury stock.</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Historically, our strategy for deploying cash has been to invest in organic growth opportunities, develop our infrastructure, and explore strategic acquisitions. Other uses of cash include paying cash dividends to our shareholders and repurchasing our common stock. During the nine months ended July 31, 2023 and 2022, we repatriated $30.2 million and $18.2 million, respectively, of foreign earnings from our foreign locations. We maintain cash balances in foreign countries which total $21.2 million as of July 31, 2023.</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preparation of our financial statements in accordance with accounting principles generally accepted in the U.S.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a description of our critical accounting policies and estimates, see our Annual Report on Form 10-K for the fiscal year ended October 31,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and estimates have not changed materially during the nine months ended July 31,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62"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and nine months ended July 31, 2023. As of July 31, 2023, we believe the impact of any recently issued standards that are not yet effective are either not applicable to us at this time or will not have a material impact on our condensed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outstanding debt bears interest at variable rates and accordingly is sensitive to changes in interest rates. Based upon the balances of the variable rate debt at July 31, 2023, a hypothetical 1.0% increase or decrease in interest rates could result in approximately $0.6 million of additional pretax charges or credit to our net income per year. This sensitivity is impacted by the amount of borrowings under our credit facilities, and amounts outstanding under finance leases.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16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 There were no corresponding foreign currency derivatives as of July 31, 2023 or October 31, 2022. These foreign currency derivative contracts hedge cross-border intercompany and commercial activity for our insulating glass spacer business. Although these derivatives hedge our exposure to fluctuations in foreign currency rates, we do not apply hedge accounting and therefore, the change in the fair value of these foreign currency derivatives is recorded directly to other income and expense in the accompanying condensed consolidated statements of income. To the extent the gain or loss on the derivative instrument offsets the gain or loss from the re-measurement of the underlying foreign currency balance, changes in exchange rates should have no effect.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purchase PVC as the significant raw material consumed in the manufacture of vinyl extrusions. We have resin adjusters in place with a majority of our customers and our resin supplier that is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w:t>
      </w:r>
    </w:p>
    <w:p>
      <w:pPr>
        <w:spacing w:after="0" w:line="120"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adjust the pricing of petroleum-based raw materials for the majority of our customers who purchase products using these materials. This is intended to offset the fluctuating cost of products which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Similarly, NA Cabinet Components includes a price index provision in the majority of its customer arrangements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 commodities in our business that are not covered by contractual surcharges or adjusters for which pricing can fluctuate, including PVC compound micro ingredients, silicone and other inputs. Further discussion of our industry risks is included within our Annual Report on Form 10-K for the fiscal year ended October 31, 2022.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July 31, 2023. Based on that evaluation, the Chief Executive Officer and Chief Financial Officer concluded that, as of July 31, 2023, the disclosure controls and procedures are effective.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 except with regard to the internal controls of LMI which were acquired by us on November 1, 2022. Prior to the acquisition, LMI was a privately-held company incorporated in the United States, reporting financial results pursuant to accounting principles generally accepted in the United States. Therefore, LMI was not previously required to comply with the Sarbanes-Oxley Act of 2002. Management is currently evaluating internal control procedures and implementing changes in internal control over financial reporting with regard to LMI in order to fully comply with the requirements of the Sarbanes-Oxley Act of 2002 as of October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failures or other events affecting financial institutions could adversely affect our liquidity and financial performance.</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recent and potential future disruptions in access to bank deposits or lending commitments due to bank failures and banking industry instability could materially and adversely affect the Company’s liquidity, access to cash and credit, and the Company’s business, financial condition and results of operations, as well those of the Company’s third-party suppliers or vendors. The recent closures of Silicon Valley Bank (SVB) and Signature Bank and their placement into receivership with the Federal Deposit Insurance Company (FDIC) along with the FDIC’s seizure and sale of First Republic Bank created market disruption and uncertainty with respect to the financial condition of a number of other banking institutions in the United States. While the Company does not have any direct exposure to SVB, Signature Bank, or First Republic Bank, the Company does maintain its cash at financial institutions, sometimes in balances that exceed the current FDIC insurance limits.</w:t>
      </w:r>
    </w:p>
    <w:p>
      <w:pPr>
        <w:spacing w:after="0" w:line="20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If other banks and financial institutions enter receivership or become insolvent in the future due to financial conditions affecting the banking system and financial markets, the Company’s ability to access its cash and cash equivalents, including transferring funds, making payments or receiving funds, and the Company’s access to credit, as well as those of its third-party suppliers or vendors, may be threatened and could have a material adverse effect on the Company’s business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10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months ended July 31, 2023, none of our directors or executive officers adopted or terminated any contract, instruction or written plan for the purchase or sale of our securities to satisfy the affirmative defense conditions of Rule 10b5-1(c) or any “non-Rule 10b5-1 trading arrangement.”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4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1" w:lineRule="exact"/>
        <w:rPr>
          <w:sz w:val="20"/>
          <w:szCs w:val="20"/>
          <w:color w:val="auto"/>
        </w:rPr>
      </w:pPr>
    </w:p>
    <w:p>
      <w:pPr>
        <w:ind w:left="240"/>
        <w:spacing w:after="0"/>
        <w:tabs>
          <w:tab w:leader="none" w:pos="4540" w:val="left"/>
        </w:tabs>
        <w:rPr>
          <w:sz w:val="20"/>
          <w:szCs w:val="20"/>
          <w:color w:val="auto"/>
        </w:rPr>
      </w:pPr>
      <w:r>
        <w:rPr>
          <w:rFonts w:ascii="Arial" w:cs="Arial" w:eastAsia="Arial" w:hAnsi="Arial"/>
          <w:sz w:val="18"/>
          <w:szCs w:val="18"/>
          <w:color w:val="auto"/>
        </w:rPr>
        <w:t>Date: September 1, 2023</w:t>
      </w:r>
      <w:r>
        <w:rPr>
          <w:sz w:val="20"/>
          <w:szCs w:val="20"/>
          <w:color w:val="auto"/>
        </w:rPr>
        <w:tab/>
      </w:r>
      <w:r>
        <w:rPr>
          <w:rFonts w:ascii="Arial" w:cs="Arial" w:eastAsia="Arial" w:hAnsi="Arial"/>
          <w:sz w:val="16"/>
          <w:szCs w:val="16"/>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42348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Scott M. Zuehlke</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Senior Vice President - Chief Financial Officer &amp; Treasurer</w:t>
      </w:r>
    </w:p>
    <w:p>
      <w:pPr>
        <w:jc w:val="center"/>
        <w:ind w:right="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300" w:type="dxa"/>
            <w:vAlign w:val="bottom"/>
            <w:gridSpan w:val="22"/>
          </w:tcPr>
          <w:p>
            <w:pPr>
              <w:jc w:val="center"/>
              <w:ind w:right="34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0"/>
        </w:trPr>
        <w:tc>
          <w:tcPr>
            <w:tcW w:w="1420" w:type="dxa"/>
            <w:vAlign w:val="bottom"/>
            <w:gridSpan w:val="7"/>
          </w:tcPr>
          <w:p>
            <w:pPr>
              <w:jc w:val="center"/>
              <w:ind w:right="300"/>
              <w:spacing w:after="0"/>
              <w:rPr>
                <w:sz w:val="20"/>
                <w:szCs w:val="20"/>
                <w:color w:val="auto"/>
              </w:rPr>
            </w:pPr>
            <w:r>
              <w:rPr>
                <w:rFonts w:ascii="Arial" w:cs="Arial" w:eastAsia="Arial" w:hAnsi="Arial"/>
                <w:sz w:val="16"/>
                <w:szCs w:val="16"/>
                <w:b w:val="1"/>
                <w:bCs w:val="1"/>
                <w:color w:val="auto"/>
                <w:w w:val="94"/>
              </w:rPr>
              <w:t>Exhibit Number</w:t>
            </w:r>
          </w:p>
        </w:tc>
        <w:tc>
          <w:tcPr>
            <w:tcW w:w="2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300" w:type="dxa"/>
            <w:vAlign w:val="bottom"/>
            <w:gridSpan w:val="22"/>
          </w:tcPr>
          <w:p>
            <w:pPr>
              <w:jc w:val="center"/>
              <w:ind w:right="3420"/>
              <w:spacing w:after="0"/>
              <w:rPr>
                <w:sz w:val="20"/>
                <w:szCs w:val="20"/>
                <w:color w:val="auto"/>
              </w:rPr>
            </w:pPr>
            <w:r>
              <w:rPr>
                <w:rFonts w:ascii="Arial" w:cs="Arial" w:eastAsia="Arial" w:hAnsi="Arial"/>
                <w:sz w:val="16"/>
                <w:szCs w:val="16"/>
                <w:b w:val="1"/>
                <w:bCs w:val="1"/>
                <w:color w:val="auto"/>
                <w:w w:val="91"/>
              </w:rPr>
              <w:t>Description of Exhibits</w:t>
            </w:r>
          </w:p>
        </w:tc>
        <w:tc>
          <w:tcPr>
            <w:tcW w:w="0" w:type="dxa"/>
            <w:vAlign w:val="bottom"/>
          </w:tcPr>
          <w:p>
            <w:pPr>
              <w:spacing w:after="0"/>
              <w:rPr>
                <w:sz w:val="1"/>
                <w:szCs w:val="1"/>
                <w:color w:val="auto"/>
              </w:rPr>
            </w:pPr>
          </w:p>
        </w:tc>
      </w:tr>
      <w:tr>
        <w:trPr>
          <w:trHeight w:val="249"/>
        </w:trPr>
        <w:tc>
          <w:tcPr>
            <w:tcW w:w="720" w:type="dxa"/>
            <w:vAlign w:val="bottom"/>
            <w:gridSpan w:val="5"/>
          </w:tcPr>
          <w:p>
            <w:pPr>
              <w:jc w:val="center"/>
              <w:ind w:left="291"/>
              <w:spacing w:after="0"/>
              <w:rPr>
                <w:rFonts w:ascii="Arial" w:cs="Arial" w:eastAsia="Arial" w:hAnsi="Arial"/>
                <w:sz w:val="18"/>
                <w:szCs w:val="18"/>
                <w:color w:val="0000FF"/>
                <w:w w:val="87"/>
              </w:rPr>
            </w:pPr>
            <w:hyperlink r:id="rId5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40" w:type="dxa"/>
            <w:vAlign w:val="bottom"/>
            <w:gridSpan w:val="24"/>
          </w:tcPr>
          <w:p>
            <w:pPr>
              <w:spacing w:after="0"/>
              <w:rPr>
                <w:rFonts w:ascii="Arial" w:cs="Arial" w:eastAsia="Arial" w:hAnsi="Arial"/>
                <w:sz w:val="18"/>
                <w:szCs w:val="18"/>
                <w:color w:val="0000FF"/>
                <w:w w:val="99"/>
              </w:rPr>
            </w:pPr>
            <w:hyperlink r:id="rId58">
              <w:r>
                <w:rPr>
                  <w:rFonts w:ascii="Arial" w:cs="Arial" w:eastAsia="Arial" w:hAnsi="Arial"/>
                  <w:sz w:val="18"/>
                  <w:szCs w:val="18"/>
                  <w:color w:val="0000FF"/>
                  <w:w w:val="99"/>
                </w:rPr>
                <w:t>Restated Certificate of Incorporation of the Registrant dated as of March 4, 2016, filed as Exhibit 3.1 of the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60" w:type="dxa"/>
            <w:vAlign w:val="bottom"/>
            <w:tcBorders>
              <w:top w:val="single" w:sz="8" w:color="0000FF"/>
            </w:tcBorders>
            <w:gridSpan w:val="15"/>
          </w:tcPr>
          <w:p>
            <w:pPr>
              <w:spacing w:after="0" w:line="156" w:lineRule="exact"/>
              <w:rPr>
                <w:rFonts w:ascii="Arial" w:cs="Arial" w:eastAsia="Arial" w:hAnsi="Arial"/>
                <w:sz w:val="18"/>
                <w:szCs w:val="18"/>
                <w:color w:val="0000FF"/>
                <w:w w:val="98"/>
              </w:rPr>
            </w:pPr>
            <w:hyperlink r:id="rId58">
              <w:r>
                <w:rPr>
                  <w:rFonts w:ascii="Arial" w:cs="Arial" w:eastAsia="Arial" w:hAnsi="Arial"/>
                  <w:sz w:val="18"/>
                  <w:szCs w:val="18"/>
                  <w:color w:val="0000FF"/>
                  <w:w w:val="98"/>
                </w:rPr>
                <w:t>Registrant’s Current Report on Form 8-K (Reg. No. 001-33913) as filed with the Securities and Exchange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2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Commission on March 7, 2016, and incorporated herein by reference.</w:t>
              </w:r>
            </w:hyperlink>
          </w:p>
        </w:tc>
        <w:tc>
          <w:tcPr>
            <w:tcW w:w="318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20" w:type="dxa"/>
            <w:vAlign w:val="bottom"/>
            <w:gridSpan w:val="5"/>
          </w:tcPr>
          <w:p>
            <w:pPr>
              <w:jc w:val="center"/>
              <w:ind w:left="291"/>
              <w:spacing w:after="0"/>
              <w:rPr>
                <w:rFonts w:ascii="Arial" w:cs="Arial" w:eastAsia="Arial" w:hAnsi="Arial"/>
                <w:sz w:val="18"/>
                <w:szCs w:val="18"/>
                <w:color w:val="0000FF"/>
                <w:w w:val="87"/>
              </w:rPr>
            </w:pPr>
            <w:hyperlink r:id="rId59">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40" w:type="dxa"/>
            <w:vAlign w:val="bottom"/>
            <w:gridSpan w:val="24"/>
          </w:tcPr>
          <w:p>
            <w:pPr>
              <w:spacing w:after="0"/>
              <w:rPr>
                <w:rFonts w:ascii="Arial" w:cs="Arial" w:eastAsia="Arial" w:hAnsi="Arial"/>
                <w:sz w:val="18"/>
                <w:szCs w:val="18"/>
                <w:color w:val="0000FF"/>
                <w:w w:val="93"/>
              </w:rPr>
            </w:pPr>
            <w:hyperlink r:id="rId59">
              <w:r>
                <w:rPr>
                  <w:rFonts w:ascii="Arial" w:cs="Arial" w:eastAsia="Arial" w:hAnsi="Arial"/>
                  <w:sz w:val="18"/>
                  <w:szCs w:val="18"/>
                  <w:color w:val="0000FF"/>
                  <w:w w:val="93"/>
                </w:rPr>
                <w:t>Fourth Amended and Restated Bylaws of the Registrant dated as of February 27, 2020, filed as Exhibit 3.2 of the</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80" w:type="dxa"/>
            <w:vAlign w:val="bottom"/>
            <w:tcBorders>
              <w:top w:val="single" w:sz="8" w:color="0000FF"/>
            </w:tcBorders>
            <w:gridSpan w:val="16"/>
          </w:tcPr>
          <w:p>
            <w:pPr>
              <w:spacing w:after="0" w:line="156" w:lineRule="exact"/>
              <w:rPr>
                <w:rFonts w:ascii="Arial" w:cs="Arial" w:eastAsia="Arial" w:hAnsi="Arial"/>
                <w:sz w:val="18"/>
                <w:szCs w:val="18"/>
                <w:color w:val="0000FF"/>
                <w:w w:val="93"/>
              </w:rPr>
            </w:pPr>
            <w:hyperlink r:id="rId59">
              <w:r>
                <w:rPr>
                  <w:rFonts w:ascii="Arial" w:cs="Arial" w:eastAsia="Arial" w:hAnsi="Arial"/>
                  <w:sz w:val="18"/>
                  <w:szCs w:val="18"/>
                  <w:color w:val="0000FF"/>
                  <w:w w:val="93"/>
                </w:rPr>
                <w:t>Registrant's Quarterly Report on Form 10-Q (Reg. No. 001-33913) for the quarter ended January 31, 2020,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14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r:id="rId59">
              <w:r>
                <w:rPr>
                  <w:rFonts w:ascii="Arial" w:cs="Arial" w:eastAsia="Arial" w:hAnsi="Arial"/>
                  <w:sz w:val="18"/>
                  <w:szCs w:val="18"/>
                  <w:color w:val="0000FF"/>
                </w:rPr>
                <w:t>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20" w:type="dxa"/>
            <w:vAlign w:val="bottom"/>
            <w:gridSpan w:val="5"/>
          </w:tcPr>
          <w:p>
            <w:pPr>
              <w:jc w:val="center"/>
              <w:ind w:left="291"/>
              <w:spacing w:after="0"/>
              <w:rPr>
                <w:rFonts w:ascii="Arial" w:cs="Arial" w:eastAsia="Arial" w:hAnsi="Arial"/>
                <w:sz w:val="18"/>
                <w:szCs w:val="18"/>
                <w:color w:val="0000FF"/>
                <w:w w:val="87"/>
              </w:rPr>
            </w:pPr>
            <w:hyperlink r:id="rId60">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40" w:type="dxa"/>
            <w:vAlign w:val="bottom"/>
            <w:gridSpan w:val="24"/>
          </w:tcPr>
          <w:p>
            <w:pPr>
              <w:spacing w:after="0"/>
              <w:rPr>
                <w:rFonts w:ascii="Arial" w:cs="Arial" w:eastAsia="Arial" w:hAnsi="Arial"/>
                <w:sz w:val="18"/>
                <w:szCs w:val="18"/>
                <w:color w:val="0000FF"/>
                <w:w w:val="99"/>
              </w:rPr>
            </w:pPr>
            <w:hyperlink r:id="rId60">
              <w:r>
                <w:rPr>
                  <w:rFonts w:ascii="Arial" w:cs="Arial" w:eastAsia="Arial" w:hAnsi="Arial"/>
                  <w:sz w:val="18"/>
                  <w:szCs w:val="18"/>
                  <w:color w:val="0000FF"/>
                  <w:w w:val="99"/>
                </w:rPr>
                <w:t>Form of Registrant’s Common Stock certificate, filed as Exhibit 4.1 of Amendment No. 1 to the Registrant’s</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Registration Statement on Form 10-Q (Reg. No. 001-33913) as filed with the Securities and Exchange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8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60">
              <w:r>
                <w:rPr>
                  <w:rFonts w:ascii="Arial" w:cs="Arial" w:eastAsia="Arial" w:hAnsi="Arial"/>
                  <w:sz w:val="18"/>
                  <w:szCs w:val="18"/>
                  <w:color w:val="0000FF"/>
                </w:rPr>
                <w:t>Commission on February 14, 2008,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5"/>
            <w:vMerge w:val="restart"/>
          </w:tcPr>
          <w:p>
            <w:pPr>
              <w:jc w:val="center"/>
              <w:ind w:left="291"/>
              <w:spacing w:after="0"/>
              <w:rPr>
                <w:rFonts w:ascii="Arial" w:cs="Arial" w:eastAsia="Arial" w:hAnsi="Arial"/>
                <w:sz w:val="18"/>
                <w:szCs w:val="18"/>
                <w:color w:val="0000FF"/>
                <w:w w:val="87"/>
              </w:rPr>
            </w:pPr>
            <w:hyperlink r:id="rId61">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gridSpan w:val="5"/>
            <w:vMerge w:val="continue"/>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40" w:type="dxa"/>
            <w:vAlign w:val="bottom"/>
            <w:gridSpan w:val="24"/>
            <w:vMerge w:val="restart"/>
          </w:tcPr>
          <w:p>
            <w:pPr>
              <w:spacing w:after="0"/>
              <w:rPr>
                <w:rFonts w:ascii="Arial" w:cs="Arial" w:eastAsia="Arial" w:hAnsi="Arial"/>
                <w:sz w:val="18"/>
                <w:szCs w:val="18"/>
                <w:color w:val="0000FF"/>
                <w:w w:val="96"/>
              </w:rPr>
            </w:pPr>
            <w:hyperlink r:id="rId61">
              <w:r>
                <w:rPr>
                  <w:rFonts w:ascii="Arial" w:cs="Arial" w:eastAsia="Arial" w:hAnsi="Arial"/>
                  <w:sz w:val="18"/>
                  <w:szCs w:val="18"/>
                  <w:color w:val="0000FF"/>
                  <w:w w:val="96"/>
                </w:rPr>
                <w:t>Second Amended and Restated Credit Agreement dated as of July 6, 2022, by and among the Company; the</w:t>
              </w:r>
            </w:hyperlink>
          </w:p>
        </w:tc>
        <w:tc>
          <w:tcPr>
            <w:tcW w:w="0" w:type="dxa"/>
            <w:vAlign w:val="bottom"/>
          </w:tcPr>
          <w:p>
            <w:pPr>
              <w:spacing w:after="0"/>
              <w:rPr>
                <w:sz w:val="1"/>
                <w:szCs w:val="1"/>
                <w:color w:val="auto"/>
              </w:rPr>
            </w:pPr>
          </w:p>
        </w:tc>
      </w:tr>
      <w:tr>
        <w:trPr>
          <w:trHeight w:val="74"/>
        </w:trPr>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40" w:type="dxa"/>
            <w:vAlign w:val="bottom"/>
            <w:gridSpan w:val="2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6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lenders party thereto; and Wells Fargo Bank, National Association, as Agent; filed as Exhibit 10.1 of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8"/>
              </w:rPr>
            </w:pPr>
            <w:hyperlink r:id="rId61">
              <w:r>
                <w:rPr>
                  <w:rFonts w:ascii="Arial" w:cs="Arial" w:eastAsia="Arial" w:hAnsi="Arial"/>
                  <w:sz w:val="18"/>
                  <w:szCs w:val="18"/>
                  <w:color w:val="0000FF"/>
                  <w:w w:val="98"/>
                </w:rPr>
                <w:t>Registrant's Current Report on Form 8-K (Reg. No. 001-33913) as filed with the Securities and Exchange</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20" w:type="dxa"/>
            <w:vAlign w:val="bottom"/>
            <w:gridSpan w:val="23"/>
          </w:tcPr>
          <w:p>
            <w:pPr>
              <w:spacing w:after="0" w:line="169" w:lineRule="exact"/>
              <w:rPr>
                <w:rFonts w:ascii="Arial" w:cs="Arial" w:eastAsia="Arial" w:hAnsi="Arial"/>
                <w:sz w:val="18"/>
                <w:szCs w:val="18"/>
                <w:color w:val="0000FF"/>
              </w:rPr>
            </w:pPr>
            <w:hyperlink r:id="rId61">
              <w:r>
                <w:rPr>
                  <w:rFonts w:ascii="Arial" w:cs="Arial" w:eastAsia="Arial" w:hAnsi="Arial"/>
                  <w:sz w:val="18"/>
                  <w:szCs w:val="18"/>
                  <w:color w:val="0000FF"/>
                </w:rPr>
                <w:t>Commission on July 6, 2022, and incorporated herein by reference.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gridSpan w:val="5"/>
          </w:tcPr>
          <w:p>
            <w:pPr>
              <w:jc w:val="center"/>
              <w:ind w:left="291"/>
              <w:spacing w:after="0"/>
              <w:rPr>
                <w:rFonts w:ascii="Arial" w:cs="Arial" w:eastAsia="Arial" w:hAnsi="Arial"/>
                <w:sz w:val="18"/>
                <w:szCs w:val="18"/>
                <w:color w:val="0000FF"/>
                <w:w w:val="87"/>
              </w:rPr>
            </w:pPr>
            <w:hyperlink r:id="rId62">
              <w:r>
                <w:rPr>
                  <w:rFonts w:ascii="Arial" w:cs="Arial" w:eastAsia="Arial" w:hAnsi="Arial"/>
                  <w:sz w:val="18"/>
                  <w:szCs w:val="18"/>
                  <w:color w:val="0000FF"/>
                  <w:w w:val="87"/>
                </w:rPr>
                <w:t>4.</w:t>
              </w:r>
              <w:r>
                <w:rPr>
                  <w:rFonts w:ascii="Arial" w:cs="Arial" w:eastAsia="Arial" w:hAnsi="Arial"/>
                  <w:sz w:val="18"/>
                  <w:szCs w:val="18"/>
                  <w:u w:val="single" w:color="auto"/>
                  <w:color w:val="0000FF"/>
                  <w:w w:val="87"/>
                </w:rPr>
                <w:t>3</w:t>
              </w:r>
            </w:hyperlink>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40" w:type="dxa"/>
            <w:vAlign w:val="bottom"/>
            <w:gridSpan w:val="24"/>
          </w:tcPr>
          <w:p>
            <w:pPr>
              <w:spacing w:after="0"/>
              <w:rPr>
                <w:rFonts w:ascii="Arial" w:cs="Arial" w:eastAsia="Arial" w:hAnsi="Arial"/>
                <w:sz w:val="18"/>
                <w:szCs w:val="18"/>
                <w:color w:val="0000FF"/>
                <w:w w:val="97"/>
              </w:rPr>
            </w:pPr>
            <w:hyperlink r:id="rId62">
              <w:r>
                <w:rPr>
                  <w:rFonts w:ascii="Arial" w:cs="Arial" w:eastAsia="Arial" w:hAnsi="Arial"/>
                  <w:sz w:val="18"/>
                  <w:szCs w:val="18"/>
                  <w:color w:val="0000FF"/>
                  <w:w w:val="97"/>
                </w:rPr>
                <w:t>Asset Purchase Agreement, dated November 1, 2022, among Quanex IG Systems, Inc., LMI Custom Mixing,</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60" w:type="dxa"/>
            <w:vAlign w:val="bottom"/>
            <w:tcBorders>
              <w:top w:val="single" w:sz="8" w:color="0000FF"/>
            </w:tcBorders>
            <w:gridSpan w:val="20"/>
          </w:tcPr>
          <w:p>
            <w:pPr>
              <w:spacing w:after="0" w:line="156" w:lineRule="exact"/>
              <w:rPr>
                <w:rFonts w:ascii="Arial" w:cs="Arial" w:eastAsia="Arial" w:hAnsi="Arial"/>
                <w:sz w:val="18"/>
                <w:szCs w:val="18"/>
                <w:color w:val="0000FF"/>
                <w:w w:val="96"/>
              </w:rPr>
            </w:pPr>
            <w:hyperlink r:id="rId62">
              <w:r>
                <w:rPr>
                  <w:rFonts w:ascii="Arial" w:cs="Arial" w:eastAsia="Arial" w:hAnsi="Arial"/>
                  <w:sz w:val="18"/>
                  <w:szCs w:val="18"/>
                  <w:color w:val="0000FF"/>
                  <w:w w:val="96"/>
                </w:rPr>
                <w:t>LLC, Lauren International, Ltd. and Meteor-US-Beteiligungs GMBH, as filed as Exhibit 2.1 of the Registrant's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40" w:type="dxa"/>
            <w:vAlign w:val="bottom"/>
            <w:tcBorders>
              <w:top w:val="single" w:sz="8" w:color="0000FF"/>
              <w:bottom w:val="single" w:sz="8" w:color="0000FF"/>
            </w:tcBorders>
            <w:gridSpan w:val="14"/>
          </w:tcPr>
          <w:p>
            <w:pPr>
              <w:spacing w:after="0" w:line="169" w:lineRule="exact"/>
              <w:rPr>
                <w:rFonts w:ascii="Arial" w:cs="Arial" w:eastAsia="Arial" w:hAnsi="Arial"/>
                <w:sz w:val="18"/>
                <w:szCs w:val="18"/>
                <w:color w:val="0000FF"/>
                <w:w w:val="94"/>
              </w:rPr>
            </w:pPr>
            <w:hyperlink r:id="rId62">
              <w:r>
                <w:rPr>
                  <w:rFonts w:ascii="Arial" w:cs="Arial" w:eastAsia="Arial" w:hAnsi="Arial"/>
                  <w:sz w:val="18"/>
                  <w:szCs w:val="18"/>
                  <w:color w:val="0000FF"/>
                  <w:w w:val="94"/>
                </w:rPr>
                <w:t>Current Report on Form 8-K (Reg. No. 001-33913) as filed with the Securities and Exchange Commission on</w:t>
              </w:r>
            </w:hyperlink>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80" w:type="dxa"/>
            <w:vAlign w:val="bottom"/>
            <w:gridSpan w:val="21"/>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November 1, 2022,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20" w:type="dxa"/>
            <w:vAlign w:val="bottom"/>
            <w:gridSpan w:val="5"/>
          </w:tcPr>
          <w:p>
            <w:pPr>
              <w:jc w:val="center"/>
              <w:ind w:left="291"/>
              <w:spacing w:after="0"/>
              <w:rPr>
                <w:rFonts w:ascii="Arial" w:cs="Arial" w:eastAsia="Arial" w:hAnsi="Arial"/>
                <w:sz w:val="18"/>
                <w:szCs w:val="18"/>
                <w:color w:val="0000FF"/>
                <w:w w:val="87"/>
              </w:rPr>
            </w:pPr>
            <w:hyperlink r:id="rId63">
              <w:r>
                <w:rPr>
                  <w:rFonts w:ascii="Arial" w:cs="Arial" w:eastAsia="Arial" w:hAnsi="Arial"/>
                  <w:sz w:val="18"/>
                  <w:szCs w:val="18"/>
                  <w:color w:val="0000FF"/>
                  <w:w w:val="87"/>
                </w:rPr>
                <w:t>4.</w:t>
              </w:r>
              <w:r>
                <w:rPr>
                  <w:rFonts w:ascii="Arial" w:cs="Arial" w:eastAsia="Arial" w:hAnsi="Arial"/>
                  <w:sz w:val="18"/>
                  <w:szCs w:val="18"/>
                  <w:u w:val="single" w:color="auto"/>
                  <w:color w:val="0000FF"/>
                  <w:w w:val="87"/>
                </w:rPr>
                <w:t>4</w:t>
              </w:r>
            </w:hyperlink>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40" w:type="dxa"/>
            <w:vAlign w:val="bottom"/>
            <w:gridSpan w:val="24"/>
          </w:tcPr>
          <w:p>
            <w:pPr>
              <w:spacing w:after="0"/>
              <w:rPr>
                <w:rFonts w:ascii="Arial" w:cs="Arial" w:eastAsia="Arial" w:hAnsi="Arial"/>
                <w:sz w:val="18"/>
                <w:szCs w:val="18"/>
                <w:color w:val="0000FF"/>
              </w:rPr>
            </w:pPr>
            <w:hyperlink r:id="rId64">
              <w:r>
                <w:rPr>
                  <w:rFonts w:ascii="Arial" w:cs="Arial" w:eastAsia="Arial" w:hAnsi="Arial"/>
                  <w:sz w:val="18"/>
                  <w:szCs w:val="18"/>
                  <w:color w:val="0000FF"/>
                </w:rPr>
                <w:t>First Amendment to the Amended and Completely Restated Lease Agreement by and among Quanex IG</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5"/>
              </w:rPr>
            </w:pPr>
            <w:hyperlink r:id="rId64">
              <w:r>
                <w:rPr>
                  <w:rFonts w:ascii="Arial" w:cs="Arial" w:eastAsia="Arial" w:hAnsi="Arial"/>
                  <w:sz w:val="18"/>
                  <w:szCs w:val="18"/>
                  <w:color w:val="0000FF"/>
                  <w:w w:val="95"/>
                </w:rPr>
                <w:t>Systems, Inc. and Lauren Real Estate Holding LLC, dated November 1, 2022 as filed as Exhibit 10.1 of the</w:t>
              </w:r>
            </w:hyperlink>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300" w:type="dxa"/>
            <w:vAlign w:val="bottom"/>
            <w:gridSpan w:val="17"/>
          </w:tcPr>
          <w:p>
            <w:pPr>
              <w:spacing w:after="0" w:line="169" w:lineRule="exact"/>
              <w:rPr>
                <w:rFonts w:ascii="Arial" w:cs="Arial" w:eastAsia="Arial" w:hAnsi="Arial"/>
                <w:sz w:val="18"/>
                <w:szCs w:val="18"/>
                <w:color w:val="0000FF"/>
                <w:w w:val="99"/>
              </w:rPr>
            </w:pPr>
            <w:hyperlink r:id="rId64">
              <w:r>
                <w:rPr>
                  <w:rFonts w:ascii="Arial" w:cs="Arial" w:eastAsia="Arial" w:hAnsi="Arial"/>
                  <w:sz w:val="18"/>
                  <w:szCs w:val="18"/>
                  <w:color w:val="0000FF"/>
                  <w:w w:val="99"/>
                </w:rPr>
                <w:t>Registrant's Current Report on Form 8-K (Reg. No. 001-33913) as filed with the Securities and Exchange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64">
              <w:r>
                <w:rPr>
                  <w:rFonts w:ascii="Arial" w:cs="Arial" w:eastAsia="Arial" w:hAnsi="Arial"/>
                  <w:sz w:val="18"/>
                  <w:szCs w:val="18"/>
                  <w:color w:val="0000FF"/>
                </w:rPr>
                <w:t>Commission on November 1, 2022, and incorporated herein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gridSpan w:val="6"/>
          </w:tcPr>
          <w:p>
            <w:pPr>
              <w:jc w:val="center"/>
              <w:ind w:left="271"/>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660" w:type="dxa"/>
            <w:vAlign w:val="bottom"/>
          </w:tcPr>
          <w:p>
            <w:pPr>
              <w:spacing w:after="0"/>
              <w:rPr>
                <w:sz w:val="22"/>
                <w:szCs w:val="22"/>
                <w:color w:val="auto"/>
              </w:rPr>
            </w:pPr>
          </w:p>
        </w:tc>
        <w:tc>
          <w:tcPr>
            <w:tcW w:w="8440" w:type="dxa"/>
            <w:vAlign w:val="bottom"/>
            <w:gridSpan w:val="24"/>
          </w:tcPr>
          <w:p>
            <w:pPr>
              <w:spacing w:after="0"/>
              <w:rPr>
                <w:rFonts w:ascii="Arial" w:cs="Arial" w:eastAsia="Arial" w:hAnsi="Arial"/>
                <w:sz w:val="18"/>
                <w:szCs w:val="18"/>
                <w:color w:val="0000FF"/>
                <w:w w:val="95"/>
              </w:rPr>
            </w:pPr>
            <w:hyperlink r:id="rId65">
              <w:r>
                <w:rPr>
                  <w:rFonts w:ascii="Arial" w:cs="Arial" w:eastAsia="Arial" w:hAnsi="Arial"/>
                  <w:sz w:val="18"/>
                  <w:szCs w:val="18"/>
                  <w:color w:val="0000FF"/>
                  <w:w w:val="95"/>
                </w:rPr>
                <w:t>Amendment to Quanex Building Products Corporation Restoration Plan, dated June 1, 2023, as filed as Exhibit</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0" w:type="dxa"/>
            <w:vAlign w:val="bottom"/>
            <w:tcBorders>
              <w:top w:val="single" w:sz="8" w:color="0000FF"/>
            </w:tcBorders>
            <w:gridSpan w:val="22"/>
          </w:tcPr>
          <w:p>
            <w:pPr>
              <w:spacing w:after="0" w:line="156" w:lineRule="exact"/>
              <w:rPr>
                <w:rFonts w:ascii="Arial" w:cs="Arial" w:eastAsia="Arial" w:hAnsi="Arial"/>
                <w:sz w:val="18"/>
                <w:szCs w:val="18"/>
                <w:color w:val="0000FF"/>
                <w:w w:val="97"/>
              </w:rPr>
            </w:pPr>
            <w:hyperlink r:id="rId65">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w:t>
              </w:r>
              <w:r>
                <w:rPr>
                  <w:rFonts w:ascii="Arial" w:cs="Arial" w:eastAsia="Arial" w:hAnsi="Arial"/>
                  <w:sz w:val="18"/>
                  <w:szCs w:val="18"/>
                  <w:color w:val="0000FF"/>
                  <w:w w:val="97"/>
                </w:rPr>
                <w:t xml:space="preserve"> on Form 10-Q (Reg. No. 001-33913) as filed with the Securities and Exchange Commission on June 2,</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32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65">
              <w:r>
                <w:rPr>
                  <w:rFonts w:ascii="Arial" w:cs="Arial" w:eastAsia="Arial" w:hAnsi="Arial"/>
                  <w:sz w:val="18"/>
                  <w:szCs w:val="18"/>
                  <w:color w:val="0000FF"/>
                </w:rPr>
                <w:t>2023, and incorporated herein by reference.</w:t>
              </w:r>
            </w:hyperlink>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6"/>
          </w:tcPr>
          <w:p>
            <w:pPr>
              <w:jc w:val="center"/>
              <w:ind w:left="271"/>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660" w:type="dxa"/>
            <w:vAlign w:val="bottom"/>
          </w:tcPr>
          <w:p>
            <w:pPr>
              <w:spacing w:after="0"/>
              <w:rPr>
                <w:sz w:val="22"/>
                <w:szCs w:val="22"/>
                <w:color w:val="auto"/>
              </w:rPr>
            </w:pPr>
          </w:p>
        </w:tc>
        <w:tc>
          <w:tcPr>
            <w:tcW w:w="8440" w:type="dxa"/>
            <w:vAlign w:val="bottom"/>
            <w:gridSpan w:val="24"/>
          </w:tcPr>
          <w:p>
            <w:pPr>
              <w:spacing w:after="0"/>
              <w:rPr>
                <w:rFonts w:ascii="Arial" w:cs="Arial" w:eastAsia="Arial" w:hAnsi="Arial"/>
                <w:sz w:val="18"/>
                <w:szCs w:val="18"/>
                <w:color w:val="0000FF"/>
                <w:w w:val="94"/>
              </w:rPr>
            </w:pPr>
            <w:hyperlink r:id="rId66">
              <w:r>
                <w:rPr>
                  <w:rFonts w:ascii="Arial" w:cs="Arial" w:eastAsia="Arial" w:hAnsi="Arial"/>
                  <w:sz w:val="18"/>
                  <w:szCs w:val="18"/>
                  <w:color w:val="0000FF"/>
                  <w:w w:val="94"/>
                </w:rPr>
                <w:t>Amendment to Quanex Building Products Corporation Supplemental Employees Retirement Plan, dated June 1,</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4"/>
              </w:rPr>
            </w:pPr>
            <w:hyperlink r:id="rId66">
              <w:r>
                <w:rPr>
                  <w:rFonts w:ascii="Arial" w:cs="Arial" w:eastAsia="Arial" w:hAnsi="Arial"/>
                  <w:sz w:val="18"/>
                  <w:szCs w:val="18"/>
                  <w:color w:val="0000FF"/>
                  <w:w w:val="94"/>
                </w:rPr>
                <w:t>2023, as filed as Exhibit 10.2 on Form 10-Q (Reg. No. 001-33913) as filed with the Securities and Exchange</w:t>
              </w:r>
            </w:hyperlink>
          </w:p>
        </w:tc>
        <w:tc>
          <w:tcPr>
            <w:tcW w:w="160" w:type="dxa"/>
            <w:vAlign w:val="bottom"/>
            <w:tcBorders>
              <w:bottom w:val="single" w:sz="8" w:color="0000FF"/>
            </w:tcBorders>
            <w:gridSpan w:val="8"/>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80" w:type="dxa"/>
            <w:vAlign w:val="bottom"/>
            <w:tcBorders>
              <w:bottom w:val="single" w:sz="8" w:color="0000FF"/>
            </w:tcBorders>
            <w:gridSpan w:val="5"/>
          </w:tcPr>
          <w:p>
            <w:pPr>
              <w:spacing w:after="0" w:line="169"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Commission on June 2, 2023, and incorporated herein by reference.</w:t>
              </w:r>
            </w:hyperlink>
          </w:p>
        </w:tc>
        <w:tc>
          <w:tcPr>
            <w:tcW w:w="3460" w:type="dxa"/>
            <w:vAlign w:val="bottom"/>
            <w:gridSpan w:val="14"/>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60" w:type="dxa"/>
            <w:vAlign w:val="bottom"/>
            <w:gridSpan w:val="6"/>
          </w:tcPr>
          <w:p>
            <w:pPr>
              <w:jc w:val="center"/>
              <w:ind w:left="271"/>
              <w:spacing w:after="0"/>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p>
        </w:tc>
        <w:tc>
          <w:tcPr>
            <w:tcW w:w="660" w:type="dxa"/>
            <w:vAlign w:val="bottom"/>
          </w:tcPr>
          <w:p>
            <w:pPr>
              <w:spacing w:after="0"/>
              <w:rPr>
                <w:sz w:val="22"/>
                <w:szCs w:val="22"/>
                <w:color w:val="auto"/>
              </w:rPr>
            </w:pPr>
          </w:p>
        </w:tc>
        <w:tc>
          <w:tcPr>
            <w:tcW w:w="8440" w:type="dxa"/>
            <w:vAlign w:val="bottom"/>
            <w:gridSpan w:val="24"/>
          </w:tcPr>
          <w:p>
            <w:pPr>
              <w:spacing w:after="0"/>
              <w:rPr>
                <w:sz w:val="20"/>
                <w:szCs w:val="20"/>
                <w:color w:val="auto"/>
              </w:rPr>
            </w:pPr>
            <w:r>
              <w:rPr>
                <w:rFonts w:ascii="Arial" w:cs="Arial" w:eastAsia="Arial" w:hAnsi="Arial"/>
                <w:sz w:val="18"/>
                <w:szCs w:val="18"/>
                <w:color w:val="0000FF"/>
              </w:rPr>
              <w:t>Certification by chief executive officer pursuant to Rule 13a-14(a)/15d-14(a).</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7"/>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920" w:type="dxa"/>
            <w:vAlign w:val="bottom"/>
            <w:tcBorders>
              <w:left w:val="single" w:sz="8" w:color="0000FF"/>
            </w:tcBorders>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6"/>
          </w:tcPr>
          <w:p>
            <w:pPr>
              <w:jc w:val="center"/>
              <w:ind w:left="271"/>
              <w:spacing w:after="0"/>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p>
        </w:tc>
        <w:tc>
          <w:tcPr>
            <w:tcW w:w="660" w:type="dxa"/>
            <w:vAlign w:val="bottom"/>
          </w:tcPr>
          <w:p>
            <w:pPr>
              <w:spacing w:after="0"/>
              <w:rPr>
                <w:sz w:val="22"/>
                <w:szCs w:val="22"/>
                <w:color w:val="auto"/>
              </w:rPr>
            </w:pPr>
          </w:p>
        </w:tc>
        <w:tc>
          <w:tcPr>
            <w:tcW w:w="8440" w:type="dxa"/>
            <w:vAlign w:val="bottom"/>
            <w:gridSpan w:val="24"/>
          </w:tcPr>
          <w:p>
            <w:pPr>
              <w:spacing w:after="0"/>
              <w:rPr>
                <w:sz w:val="20"/>
                <w:szCs w:val="20"/>
                <w:color w:val="auto"/>
              </w:rPr>
            </w:pPr>
            <w:r>
              <w:rPr>
                <w:rFonts w:ascii="Arial" w:cs="Arial" w:eastAsia="Arial" w:hAnsi="Arial"/>
                <w:sz w:val="18"/>
                <w:szCs w:val="18"/>
                <w:color w:val="0000FF"/>
              </w:rPr>
              <w:t>Certification by chief financial officer pursuant to Rule 13a-14(a)/15d-14(a).</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7"/>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9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6"/>
          </w:tcPr>
          <w:p>
            <w:pPr>
              <w:jc w:val="center"/>
              <w:ind w:left="271"/>
              <w:spacing w:after="0"/>
              <w:rPr>
                <w:sz w:val="20"/>
                <w:szCs w:val="20"/>
                <w:color w:val="auto"/>
              </w:rPr>
            </w:pPr>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1</w:t>
            </w:r>
          </w:p>
        </w:tc>
        <w:tc>
          <w:tcPr>
            <w:tcW w:w="660" w:type="dxa"/>
            <w:vAlign w:val="bottom"/>
          </w:tcPr>
          <w:p>
            <w:pPr>
              <w:spacing w:after="0"/>
              <w:rPr>
                <w:sz w:val="22"/>
                <w:szCs w:val="22"/>
                <w:color w:val="auto"/>
              </w:rPr>
            </w:pPr>
          </w:p>
        </w:tc>
        <w:tc>
          <w:tcPr>
            <w:tcW w:w="8440" w:type="dxa"/>
            <w:vAlign w:val="bottom"/>
            <w:gridSpan w:val="24"/>
          </w:tcPr>
          <w:p>
            <w:pPr>
              <w:spacing w:after="0"/>
              <w:rPr>
                <w:sz w:val="20"/>
                <w:szCs w:val="20"/>
                <w:color w:val="auto"/>
              </w:rPr>
            </w:pPr>
            <w:r>
              <w:rPr>
                <w:rFonts w:ascii="Arial" w:cs="Arial" w:eastAsia="Arial" w:hAnsi="Arial"/>
                <w:sz w:val="18"/>
                <w:szCs w:val="18"/>
                <w:color w:val="0000FF"/>
              </w:rPr>
              <w:t>Certification pursuant to Section 906 of the Sarbanes-Oxley Act of 2002.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7"/>
            <w:shd w:val="clear" w:color="auto" w:fill="0000FF"/>
          </w:tcPr>
          <w:p>
            <w:pPr>
              <w:spacing w:after="0" w:line="20" w:lineRule="exact"/>
              <w:rPr>
                <w:sz w:val="1"/>
                <w:szCs w:val="1"/>
                <w:color w:val="auto"/>
              </w:rPr>
            </w:pPr>
          </w:p>
        </w:tc>
        <w:tc>
          <w:tcPr>
            <w:tcW w:w="318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gridSpan w:val="7"/>
          </w:tcPr>
          <w:p>
            <w:pPr>
              <w:jc w:val="center"/>
              <w:ind w:right="320"/>
              <w:spacing w:after="0"/>
              <w:rPr>
                <w:sz w:val="20"/>
                <w:szCs w:val="20"/>
                <w:color w:val="auto"/>
              </w:rPr>
            </w:pPr>
            <w:r>
              <w:rPr>
                <w:rFonts w:ascii="Arial" w:cs="Arial" w:eastAsia="Arial" w:hAnsi="Arial"/>
                <w:sz w:val="18"/>
                <w:szCs w:val="18"/>
                <w:color w:val="auto"/>
                <w:w w:val="97"/>
              </w:rPr>
              <w:t>*101.INS</w:t>
            </w:r>
          </w:p>
        </w:tc>
        <w:tc>
          <w:tcPr>
            <w:tcW w:w="8440" w:type="dxa"/>
            <w:vAlign w:val="bottom"/>
            <w:gridSpan w:val="24"/>
          </w:tcPr>
          <w:p>
            <w:pPr>
              <w:spacing w:after="0"/>
              <w:rPr>
                <w:sz w:val="20"/>
                <w:szCs w:val="20"/>
                <w:color w:val="auto"/>
              </w:rPr>
            </w:pPr>
            <w:r>
              <w:rPr>
                <w:rFonts w:ascii="Arial" w:cs="Arial" w:eastAsia="Arial" w:hAnsi="Arial"/>
                <w:sz w:val="18"/>
                <w:szCs w:val="18"/>
                <w:color w:val="auto"/>
                <w:w w:val="99"/>
              </w:rPr>
              <w:t>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40" w:type="dxa"/>
            <w:vAlign w:val="bottom"/>
            <w:gridSpan w:val="24"/>
          </w:tcPr>
          <w:p>
            <w:pPr>
              <w:spacing w:after="0"/>
              <w:rPr>
                <w:sz w:val="20"/>
                <w:szCs w:val="20"/>
                <w:color w:val="auto"/>
              </w:rPr>
            </w:pPr>
            <w:r>
              <w:rPr>
                <w:rFonts w:ascii="Arial" w:cs="Arial" w:eastAsia="Arial" w:hAnsi="Arial"/>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296"/>
        </w:trPr>
        <w:tc>
          <w:tcPr>
            <w:tcW w:w="1420" w:type="dxa"/>
            <w:vAlign w:val="bottom"/>
            <w:gridSpan w:val="7"/>
          </w:tcPr>
          <w:p>
            <w:pPr>
              <w:jc w:val="center"/>
              <w:ind w:right="300"/>
              <w:spacing w:after="0"/>
              <w:rPr>
                <w:sz w:val="20"/>
                <w:szCs w:val="20"/>
                <w:color w:val="auto"/>
              </w:rPr>
            </w:pPr>
            <w:r>
              <w:rPr>
                <w:rFonts w:ascii="Arial" w:cs="Arial" w:eastAsia="Arial" w:hAnsi="Arial"/>
                <w:sz w:val="18"/>
                <w:szCs w:val="18"/>
                <w:color w:val="auto"/>
                <w:w w:val="94"/>
              </w:rPr>
              <w:t>*101.SCH</w:t>
            </w:r>
          </w:p>
        </w:tc>
        <w:tc>
          <w:tcPr>
            <w:tcW w:w="8440" w:type="dxa"/>
            <w:vAlign w:val="bottom"/>
            <w:gridSpan w:val="2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420" w:type="dxa"/>
            <w:vAlign w:val="bottom"/>
            <w:gridSpan w:val="7"/>
          </w:tcPr>
          <w:p>
            <w:pPr>
              <w:jc w:val="center"/>
              <w:ind w:right="300"/>
              <w:spacing w:after="0"/>
              <w:rPr>
                <w:sz w:val="20"/>
                <w:szCs w:val="20"/>
                <w:color w:val="auto"/>
              </w:rPr>
            </w:pPr>
            <w:r>
              <w:rPr>
                <w:rFonts w:ascii="Arial" w:cs="Arial" w:eastAsia="Arial" w:hAnsi="Arial"/>
                <w:sz w:val="18"/>
                <w:szCs w:val="18"/>
                <w:color w:val="auto"/>
                <w:w w:val="98"/>
              </w:rPr>
              <w:t>*101.CAL</w:t>
            </w:r>
          </w:p>
        </w:tc>
        <w:tc>
          <w:tcPr>
            <w:tcW w:w="8440" w:type="dxa"/>
            <w:vAlign w:val="bottom"/>
            <w:gridSpan w:val="2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4"/>
        </w:trPr>
        <w:tc>
          <w:tcPr>
            <w:tcW w:w="1420" w:type="dxa"/>
            <w:vAlign w:val="bottom"/>
            <w:gridSpan w:val="7"/>
          </w:tcPr>
          <w:p>
            <w:pPr>
              <w:jc w:val="center"/>
              <w:ind w:right="320"/>
              <w:spacing w:after="0"/>
              <w:rPr>
                <w:sz w:val="20"/>
                <w:szCs w:val="20"/>
                <w:color w:val="auto"/>
              </w:rPr>
            </w:pPr>
            <w:r>
              <w:rPr>
                <w:rFonts w:ascii="Arial" w:cs="Arial" w:eastAsia="Arial" w:hAnsi="Arial"/>
                <w:sz w:val="18"/>
                <w:szCs w:val="18"/>
                <w:color w:val="auto"/>
                <w:w w:val="94"/>
              </w:rPr>
              <w:t>*101.DEF</w:t>
            </w:r>
          </w:p>
        </w:tc>
        <w:tc>
          <w:tcPr>
            <w:tcW w:w="8440" w:type="dxa"/>
            <w:vAlign w:val="bottom"/>
            <w:gridSpan w:val="2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1420" w:type="dxa"/>
            <w:vAlign w:val="bottom"/>
            <w:gridSpan w:val="7"/>
          </w:tcPr>
          <w:p>
            <w:pPr>
              <w:jc w:val="center"/>
              <w:ind w:right="300"/>
              <w:spacing w:after="0"/>
              <w:rPr>
                <w:sz w:val="20"/>
                <w:szCs w:val="20"/>
                <w:color w:val="auto"/>
              </w:rPr>
            </w:pPr>
            <w:r>
              <w:rPr>
                <w:rFonts w:ascii="Arial" w:cs="Arial" w:eastAsia="Arial" w:hAnsi="Arial"/>
                <w:sz w:val="18"/>
                <w:szCs w:val="18"/>
                <w:color w:val="auto"/>
                <w:w w:val="99"/>
              </w:rPr>
              <w:t>*101.LAB</w:t>
            </w:r>
          </w:p>
        </w:tc>
        <w:tc>
          <w:tcPr>
            <w:tcW w:w="8440" w:type="dxa"/>
            <w:vAlign w:val="bottom"/>
            <w:gridSpan w:val="24"/>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84"/>
        </w:trPr>
        <w:tc>
          <w:tcPr>
            <w:tcW w:w="1420" w:type="dxa"/>
            <w:vAlign w:val="bottom"/>
            <w:gridSpan w:val="7"/>
          </w:tcPr>
          <w:p>
            <w:pPr>
              <w:jc w:val="center"/>
              <w:ind w:right="320"/>
              <w:spacing w:after="0"/>
              <w:rPr>
                <w:sz w:val="20"/>
                <w:szCs w:val="20"/>
                <w:color w:val="auto"/>
              </w:rPr>
            </w:pPr>
            <w:r>
              <w:rPr>
                <w:rFonts w:ascii="Arial" w:cs="Arial" w:eastAsia="Arial" w:hAnsi="Arial"/>
                <w:sz w:val="18"/>
                <w:szCs w:val="18"/>
                <w:color w:val="auto"/>
                <w:w w:val="93"/>
              </w:rPr>
              <w:t>*101.PRE</w:t>
            </w:r>
          </w:p>
        </w:tc>
        <w:tc>
          <w:tcPr>
            <w:tcW w:w="8440" w:type="dxa"/>
            <w:vAlign w:val="bottom"/>
            <w:gridSpan w:val="2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George L. Wilson, certify that:</w:t>
      </w:r>
    </w:p>
    <w:p>
      <w:pPr>
        <w:spacing w:after="0" w:line="158"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5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10"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1620" w:hanging="316"/>
        <w:spacing w:after="0" w:line="263"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620" w:hanging="316"/>
        <w:spacing w:after="0" w:line="263" w:lineRule="auto"/>
        <w:tabs>
          <w:tab w:leader="none" w:pos="161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620" w:hanging="316"/>
        <w:spacing w:after="0" w:line="342" w:lineRule="auto"/>
        <w:tabs>
          <w:tab w:leader="none" w:pos="161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620" w:hanging="316"/>
        <w:spacing w:after="0" w:line="277"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2023</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44659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George L. Wilson</w:t>
      </w:r>
    </w:p>
    <w:p>
      <w:pPr>
        <w:ind w:left="40"/>
        <w:spacing w:after="0" w:line="203" w:lineRule="auto"/>
        <w:rPr>
          <w:sz w:val="20"/>
          <w:szCs w:val="20"/>
          <w:color w:val="auto"/>
        </w:rPr>
      </w:pPr>
      <w:r>
        <w:rPr>
          <w:rFonts w:ascii="Arial" w:cs="Arial" w:eastAsia="Arial" w:hAnsi="Arial"/>
          <w:sz w:val="18"/>
          <w:szCs w:val="18"/>
          <w:color w:val="auto"/>
        </w:rPr>
        <w:t>President and Chief Executive Officer</w:t>
      </w: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Scott M. Zuehlke, certify that:</w:t>
      </w:r>
    </w:p>
    <w:p>
      <w:pPr>
        <w:spacing w:after="0" w:line="158"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5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1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1620" w:hanging="316"/>
        <w:spacing w:after="0" w:line="263"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620" w:hanging="316"/>
        <w:spacing w:after="0" w:line="263" w:lineRule="auto"/>
        <w:tabs>
          <w:tab w:leader="none" w:pos="161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620" w:hanging="316"/>
        <w:spacing w:after="0" w:line="342" w:lineRule="auto"/>
        <w:tabs>
          <w:tab w:leader="none" w:pos="161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620" w:hanging="316"/>
        <w:spacing w:after="0" w:line="277"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2023</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44659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M. Zuehlke</w:t>
      </w:r>
    </w:p>
    <w:p>
      <w:pPr>
        <w:ind w:left="40"/>
        <w:spacing w:after="0" w:line="203" w:lineRule="auto"/>
        <w:rPr>
          <w:sz w:val="20"/>
          <w:szCs w:val="20"/>
          <w:color w:val="auto"/>
        </w:rPr>
      </w:pPr>
      <w:r>
        <w:rPr>
          <w:rFonts w:ascii="Arial" w:cs="Arial" w:eastAsia="Arial" w:hAnsi="Arial"/>
          <w:sz w:val="18"/>
          <w:szCs w:val="18"/>
          <w:color w:val="auto"/>
        </w:rPr>
        <w:t>Senior Vice President - Chief Financial Officer and Treasurer</w:t>
      </w: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48"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We hereby certify that the accompanying Quarterly Report on Form 10-Q of Quanex Building Products Corporation for the quarter ended July 31, 2023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September 1, 2023</w:t>
            </w:r>
          </w:p>
        </w:tc>
        <w:tc>
          <w:tcPr>
            <w:tcW w:w="5400" w:type="dxa"/>
            <w:vAlign w:val="bottom"/>
          </w:tcPr>
          <w:p>
            <w:pPr>
              <w:spacing w:after="0"/>
              <w:rPr>
                <w:sz w:val="20"/>
                <w:szCs w:val="20"/>
                <w:color w:val="auto"/>
              </w:rPr>
            </w:pPr>
          </w:p>
        </w:tc>
      </w:tr>
      <w:tr>
        <w:trPr>
          <w:trHeight w:val="513"/>
        </w:trPr>
        <w:tc>
          <w:tcPr>
            <w:tcW w:w="58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/s/ George L. Wilson</w:t>
            </w:r>
          </w:p>
        </w:tc>
        <w:tc>
          <w:tcPr>
            <w:tcW w:w="5400" w:type="dxa"/>
            <w:vAlign w:val="bottom"/>
          </w:tcPr>
          <w:p>
            <w:pPr>
              <w:jc w:val="center"/>
              <w:spacing w:after="0"/>
              <w:rPr>
                <w:sz w:val="20"/>
                <w:szCs w:val="20"/>
                <w:color w:val="auto"/>
              </w:rPr>
            </w:pPr>
            <w:r>
              <w:rPr>
                <w:rFonts w:ascii="Arial" w:cs="Arial" w:eastAsia="Arial" w:hAnsi="Arial"/>
                <w:sz w:val="18"/>
                <w:szCs w:val="18"/>
                <w:color w:val="auto"/>
                <w:w w:val="93"/>
              </w:rPr>
              <w:t>/s/ Scott M. Zuehlke</w:t>
            </w:r>
          </w:p>
        </w:tc>
      </w:tr>
      <w:tr>
        <w:trPr>
          <w:trHeight w:val="169"/>
        </w:trPr>
        <w:tc>
          <w:tcPr>
            <w:tcW w:w="5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George L. Wilson</w:t>
            </w:r>
          </w:p>
        </w:tc>
        <w:tc>
          <w:tcPr>
            <w:tcW w:w="440" w:type="dxa"/>
            <w:vAlign w:val="bottom"/>
          </w:tcPr>
          <w:p>
            <w:pPr>
              <w:spacing w:after="0"/>
              <w:rPr>
                <w:sz w:val="14"/>
                <w:szCs w:val="14"/>
                <w:color w:val="auto"/>
              </w:rPr>
            </w:pPr>
          </w:p>
        </w:tc>
        <w:tc>
          <w:tcPr>
            <w:tcW w:w="5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Scott M. Zuehlke</w:t>
            </w:r>
          </w:p>
        </w:tc>
      </w:tr>
      <w:tr>
        <w:trPr>
          <w:trHeight w:val="188"/>
        </w:trPr>
        <w:tc>
          <w:tcPr>
            <w:tcW w:w="5840" w:type="dxa"/>
            <w:vAlign w:val="bottom"/>
            <w:gridSpan w:val="2"/>
          </w:tcPr>
          <w:p>
            <w:pPr>
              <w:jc w:val="center"/>
              <w:ind w:right="420"/>
              <w:spacing w:after="0" w:line="189" w:lineRule="exact"/>
              <w:rPr>
                <w:sz w:val="20"/>
                <w:szCs w:val="20"/>
                <w:color w:val="auto"/>
              </w:rPr>
            </w:pPr>
            <w:r>
              <w:rPr>
                <w:rFonts w:ascii="Arial" w:cs="Arial" w:eastAsia="Arial" w:hAnsi="Arial"/>
                <w:sz w:val="18"/>
                <w:szCs w:val="18"/>
                <w:i w:val="1"/>
                <w:iCs w:val="1"/>
                <w:color w:val="auto"/>
                <w:w w:val="91"/>
              </w:rPr>
              <w:t>President and Chief Executive Officer</w:t>
            </w:r>
          </w:p>
        </w:tc>
        <w:tc>
          <w:tcPr>
            <w:tcW w:w="5400" w:type="dxa"/>
            <w:vAlign w:val="bottom"/>
          </w:tcPr>
          <w:p>
            <w:pPr>
              <w:jc w:val="center"/>
              <w:spacing w:after="0" w:line="189" w:lineRule="exact"/>
              <w:rPr>
                <w:sz w:val="20"/>
                <w:szCs w:val="20"/>
                <w:color w:val="auto"/>
              </w:rPr>
            </w:pPr>
            <w:r>
              <w:rPr>
                <w:rFonts w:ascii="Arial" w:cs="Arial" w:eastAsia="Arial" w:hAnsi="Arial"/>
                <w:sz w:val="18"/>
                <w:szCs w:val="18"/>
                <w:i w:val="1"/>
                <w:iCs w:val="1"/>
                <w:color w:val="auto"/>
                <w:w w:val="91"/>
              </w:rPr>
              <w:t>Senior Vice President—Chief Financial Officer and Treasurer</w:t>
            </w:r>
          </w:p>
        </w:tc>
      </w:tr>
      <w:tr>
        <w:trPr>
          <w:trHeight w:val="230"/>
        </w:trPr>
        <w:tc>
          <w:tcPr>
            <w:tcW w:w="584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auto"/>
                <w:w w:val="94"/>
              </w:rPr>
              <w:t>(Principal Executive Officer)</w:t>
            </w: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6"/>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58" Type="http://schemas.openxmlformats.org/officeDocument/2006/relationships/hyperlink" Target="http://www.sec.gov/Archives/edgar/data/1423221/000119312516495257/d156158dex31.htm" TargetMode="External"/><Relationship Id="rId59" Type="http://schemas.openxmlformats.org/officeDocument/2006/relationships/hyperlink" Target="http://www.sec.gov/Archives/edgar/data/1423221/000142322120000005/nx01312020ex32.htm" TargetMode="External"/><Relationship Id="rId60" Type="http://schemas.openxmlformats.org/officeDocument/2006/relationships/hyperlink" Target="http://www.sec.gov/Archives/edgar/data/1423221/000095012908000988/h52992a1exv4w1.htm" TargetMode="External"/><Relationship Id="rId61" Type="http://schemas.openxmlformats.org/officeDocument/2006/relationships/hyperlink" Target="http://www.sec.gov/Archives/edgar/data/1423221/000110465922077705/tm2220473d1_ex10-1.htm" TargetMode="External"/><Relationship Id="rId62" Type="http://schemas.openxmlformats.org/officeDocument/2006/relationships/hyperlink" Target="http://www.sec.gov/Archives/edgar/data/1423221/000110465922113504/tm2228962d2_ex2-1.htm" TargetMode="External"/><Relationship Id="rId63" Type="http://schemas.openxmlformats.org/officeDocument/2006/relationships/hyperlink" Target="https://www.sec.gov/Archives/edgar/data/1423221/000110465922113504/tm2228962d2_ex10-1.htm" TargetMode="External"/><Relationship Id="rId64" Type="http://schemas.openxmlformats.org/officeDocument/2006/relationships/hyperlink" Target="http://www.sec.gov/Archives/edgar/data/1423221/000110465922113504/tm2228962d2_ex10-1.htm" TargetMode="External"/><Relationship Id="rId65" Type="http://schemas.openxmlformats.org/officeDocument/2006/relationships/hyperlink" Target="http://www.sec.gov/Archives/edgar/data/1423221/000142322123000007/nx04302023ex101.htm" TargetMode="External"/><Relationship Id="rId66" Type="http://schemas.openxmlformats.org/officeDocument/2006/relationships/hyperlink" Target="http://www.sec.gov/Archives/edgar/data/1423221/000142322123000007/nx04302023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2023-09-01T15:17:15Z</dcterms:created>
  <dcterms:modified xsi:type="dcterms:W3CDTF">2023-09-01T15:17:15Z</dcterms:modified>
</cp:coreProperties>
</file>