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5"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139"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2023</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117" w:lineRule="exact"/>
        <w:rPr>
          <w:sz w:val="24"/>
          <w:szCs w:val="24"/>
          <w:color w:val="auto"/>
        </w:rPr>
      </w:pPr>
    </w:p>
    <w:p>
      <w:pPr>
        <w:ind w:left="2460"/>
        <w:spacing w:after="0"/>
        <w:tabs>
          <w:tab w:leader="none" w:pos="804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26-1561397</w:t>
      </w:r>
    </w:p>
    <w:p>
      <w:pPr>
        <w:spacing w:after="0" w:line="26" w:lineRule="exact"/>
        <w:rPr>
          <w:sz w:val="24"/>
          <w:szCs w:val="24"/>
          <w:color w:val="auto"/>
        </w:rPr>
      </w:pPr>
    </w:p>
    <w:p>
      <w:pPr>
        <w:ind w:left="1900"/>
        <w:spacing w:after="0"/>
        <w:tabs>
          <w:tab w:leader="none" w:pos="79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860"/>
        <w:spacing w:after="0"/>
        <w:tabs>
          <w:tab w:leader="none" w:pos="78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88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Common Stock, par value $0.01 per share</w:t>
            </w:r>
          </w:p>
        </w:tc>
        <w:tc>
          <w:tcPr>
            <w:tcW w:w="860" w:type="dxa"/>
            <w:vAlign w:val="bottom"/>
          </w:tcPr>
          <w:p>
            <w:pPr>
              <w:spacing w:after="0"/>
              <w:rPr>
                <w:sz w:val="22"/>
                <w:szCs w:val="22"/>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8"/>
                <w:szCs w:val="18"/>
                <w:color w:val="auto"/>
              </w:rPr>
              <w:t>NX</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7" w:right="339" w:bottom="1440" w:gutter="0" w:footer="0" w:header="0"/>
        </w:sectPr>
      </w:pPr>
    </w:p>
    <w:p>
      <w:pPr>
        <w:spacing w:after="0" w:line="70"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65"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6"/>
          <w:szCs w:val="16"/>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62" w:lineRule="exact"/>
        <w:rPr>
          <w:sz w:val="24"/>
          <w:szCs w:val="24"/>
          <w:color w:val="auto"/>
        </w:rPr>
      </w:pPr>
    </w:p>
    <w:p>
      <w:pPr>
        <w:ind w:right="1260"/>
        <w:spacing w:after="0" w:line="25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February 28, 2023 was 33,238,730.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40" w:space="140"/>
            <w:col w:w="360"/>
          </w:cols>
          <w:pgMar w:left="320" w:top="7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880" w:type="dxa"/>
            <w:vAlign w:val="bottom"/>
            <w:gridSpan w:val="9"/>
          </w:tcPr>
          <w:p>
            <w:pPr>
              <w:jc w:val="center"/>
              <w:ind w:right="960"/>
              <w:spacing w:after="0"/>
              <w:rPr>
                <w:sz w:val="20"/>
                <w:szCs w:val="20"/>
                <w:color w:val="auto"/>
              </w:rPr>
            </w:pPr>
            <w:r>
              <w:rPr>
                <w:rFonts w:ascii="Arial" w:cs="Arial" w:eastAsia="Arial" w:hAnsi="Arial"/>
                <w:sz w:val="18"/>
                <w:szCs w:val="18"/>
                <w:b w:val="1"/>
                <w:bCs w:val="1"/>
                <w:color w:val="auto"/>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0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Arial" w:cs="Arial" w:eastAsia="Arial" w:hAnsi="Arial"/>
                <w:sz w:val="18"/>
                <w:szCs w:val="18"/>
                <w:color w:val="auto"/>
              </w:rPr>
              <w:t>PART I.</w:t>
            </w:r>
          </w:p>
        </w:tc>
        <w:tc>
          <w:tcPr>
            <w:tcW w:w="9880" w:type="dxa"/>
            <w:vAlign w:val="bottom"/>
            <w:gridSpan w:val="9"/>
          </w:tcPr>
          <w:p>
            <w:pPr>
              <w:spacing w:after="0"/>
              <w:rPr>
                <w:sz w:val="20"/>
                <w:szCs w:val="20"/>
                <w:color w:val="auto"/>
              </w:rPr>
            </w:pPr>
            <w:r>
              <w:rPr>
                <w:rFonts w:ascii="Arial" w:cs="Arial" w:eastAsia="Arial" w:hAnsi="Arial"/>
                <w:sz w:val="18"/>
                <w:szCs w:val="18"/>
                <w:color w:val="0000FF"/>
              </w:rPr>
              <w:t>FINANCIAL INFORMATION</w:t>
            </w:r>
          </w:p>
        </w:tc>
        <w:tc>
          <w:tcPr>
            <w:tcW w:w="180" w:type="dxa"/>
            <w:vAlign w:val="bottom"/>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40" w:type="dxa"/>
            <w:vAlign w:val="bottom"/>
            <w:gridSpan w:val="10"/>
            <w:vMerge w:val="restart"/>
          </w:tcPr>
          <w:p>
            <w:pPr>
              <w:ind w:left="3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040" w:type="dxa"/>
            <w:vAlign w:val="bottom"/>
            <w:gridSpan w:val="10"/>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0E32E1"/>
                <w:w w:val="88"/>
              </w:rPr>
              <w:t>Condensed Consolidated Balance Sheets – January 31, 2023 and October 31, 2022</w:t>
            </w:r>
          </w:p>
        </w:tc>
        <w:tc>
          <w:tcPr>
            <w:tcW w:w="3920" w:type="dxa"/>
            <w:vAlign w:val="bottom"/>
            <w:gridSpan w:val="5"/>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100" w:type="dxa"/>
            <w:vAlign w:val="bottom"/>
            <w:gridSpan w:val="5"/>
          </w:tcPr>
          <w:p>
            <w:pPr>
              <w:spacing w:after="0"/>
              <w:rPr>
                <w:sz w:val="20"/>
                <w:szCs w:val="20"/>
                <w:color w:val="auto"/>
              </w:rPr>
            </w:pPr>
            <w:r>
              <w:rPr>
                <w:rFonts w:ascii="Arial" w:cs="Arial" w:eastAsia="Arial" w:hAnsi="Arial"/>
                <w:sz w:val="18"/>
                <w:szCs w:val="18"/>
                <w:color w:val="0000FF"/>
                <w:w w:val="89"/>
              </w:rPr>
              <w:t>Condensed Consolidated Statements of Income – Three Months Ended January 31, 2023 and 2022</w:t>
            </w:r>
          </w:p>
        </w:tc>
        <w:tc>
          <w:tcPr>
            <w:tcW w:w="2780" w:type="dxa"/>
            <w:vAlign w:val="bottom"/>
            <w:gridSpan w:val="4"/>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FF"/>
              </w:rPr>
              <w:t xml:space="preserve">Condensed Consolidated Statements of Comprehensive Income </w:t>
            </w:r>
            <w:r>
              <w:rPr>
                <w:rFonts w:ascii="Arial" w:cs="Arial" w:eastAsia="Arial" w:hAnsi="Arial"/>
                <w:sz w:val="18"/>
                <w:szCs w:val="18"/>
                <w:color w:val="0E32E1"/>
              </w:rPr>
              <w:t>–</w:t>
            </w:r>
            <w:r>
              <w:rPr>
                <w:rFonts w:ascii="Arial" w:cs="Arial" w:eastAsia="Arial" w:hAnsi="Arial"/>
                <w:sz w:val="18"/>
                <w:szCs w:val="18"/>
                <w:color w:val="0000FF"/>
              </w:rPr>
              <w:t xml:space="preserve"> Three Months Ended January 31, 2023 and 2022</w:t>
            </w:r>
          </w:p>
        </w:tc>
        <w:tc>
          <w:tcPr>
            <w:tcW w:w="180" w:type="dxa"/>
            <w:vAlign w:val="bottom"/>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E32E1"/>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FF"/>
              </w:rPr>
              <w:t>Condensed Consolidated Statements of Cash Flows – Three Months Ended January 31, 2023 and 2022</w:t>
            </w:r>
          </w:p>
        </w:tc>
        <w:tc>
          <w:tcPr>
            <w:tcW w:w="180" w:type="dxa"/>
            <w:vAlign w:val="bottom"/>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020" w:type="dxa"/>
            <w:vAlign w:val="bottom"/>
            <w:gridSpan w:val="7"/>
          </w:tcPr>
          <w:p>
            <w:pPr>
              <w:spacing w:after="0"/>
              <w:rPr>
                <w:sz w:val="20"/>
                <w:szCs w:val="20"/>
                <w:color w:val="auto"/>
              </w:rPr>
            </w:pPr>
            <w:r>
              <w:rPr>
                <w:rFonts w:ascii="Arial" w:cs="Arial" w:eastAsia="Arial" w:hAnsi="Arial"/>
                <w:sz w:val="18"/>
                <w:szCs w:val="18"/>
                <w:color w:val="0000FF"/>
                <w:w w:val="89"/>
              </w:rPr>
              <w:t>Condensed Consolidated Statement of Stockholders’ Equity – Three Months Ended January 31, 2023 and 2022</w:t>
            </w:r>
          </w:p>
        </w:tc>
        <w:tc>
          <w:tcPr>
            <w:tcW w:w="186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020" w:type="dxa"/>
            <w:vAlign w:val="bottom"/>
            <w:gridSpan w:val="7"/>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186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040" w:type="dxa"/>
            <w:vAlign w:val="bottom"/>
            <w:gridSpan w:val="10"/>
          </w:tcPr>
          <w:p>
            <w:pPr>
              <w:ind w:left="3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040" w:type="dxa"/>
            <w:vAlign w:val="bottom"/>
            <w:gridSpan w:val="10"/>
          </w:tcPr>
          <w:p>
            <w:pPr>
              <w:ind w:left="3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040" w:type="dxa"/>
            <w:vAlign w:val="bottom"/>
            <w:gridSpan w:val="10"/>
          </w:tcPr>
          <w:p>
            <w:pPr>
              <w:ind w:left="3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Arial" w:cs="Arial" w:eastAsia="Arial" w:hAnsi="Arial"/>
                <w:sz w:val="18"/>
                <w:szCs w:val="18"/>
                <w:color w:val="auto"/>
              </w:rPr>
              <w:t>PART II.</w:t>
            </w:r>
          </w:p>
        </w:tc>
        <w:tc>
          <w:tcPr>
            <w:tcW w:w="988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6:</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14"/>
                <w:szCs w:val="14"/>
                <w:color w:val="auto"/>
              </w:rPr>
            </w:pPr>
          </w:p>
        </w:tc>
        <w:tc>
          <w:tcPr>
            <w:tcW w:w="1140" w:type="dxa"/>
            <w:vAlign w:val="bottom"/>
          </w:tcPr>
          <w:p>
            <w:pPr>
              <w:jc w:val="right"/>
              <w:ind w:right="271"/>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80" w:type="dxa"/>
            <w:vAlign w:val="bottom"/>
            <w:gridSpan w:val="4"/>
          </w:tcPr>
          <w:p>
            <w:pPr>
              <w:jc w:val="right"/>
              <w:ind w:right="591"/>
              <w:spacing w:after="0" w:line="135" w:lineRule="exact"/>
              <w:rPr>
                <w:sz w:val="20"/>
                <w:szCs w:val="20"/>
                <w:color w:val="auto"/>
              </w:rPr>
            </w:pPr>
            <w:r>
              <w:rPr>
                <w:rFonts w:ascii="Arial" w:cs="Arial" w:eastAsia="Arial" w:hAnsi="Arial"/>
                <w:sz w:val="14"/>
                <w:szCs w:val="14"/>
                <w:b w:val="1"/>
                <w:bCs w:val="1"/>
                <w:color w:val="auto"/>
              </w:rPr>
              <w:t>(In thousands, except share</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2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55,093</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credit losses of $272 and $289</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84,672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96,018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266,608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280,665</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Property, plant and equipment, net of accumulated depreciation of $358,285 and $348,528</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242,030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180,400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184,706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137,855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827,026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724,617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1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63,093</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77,907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52,114</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151,682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29,628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49,286</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Deferred pension benefits</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22,277</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351,338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259,782</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7"/>
                <w:shd w:val="clear" w:color="auto" w:fill="CCEEFF"/>
              </w:rPr>
              <w:t>Common stock, $0.01 par value, shares authorized 125,000,000; issued 37,188,156 and 37,211,056,</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shd w:val="clear" w:color="auto" w:fill="CCEEFF"/>
              </w:rPr>
              <w:t>respectively; outstanding 33,238,730 and 33,129,250,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372</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249,730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251,947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336,704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337,456</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(38,050)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(49,422)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Less: Treasury stock at cost, 3,949,426 and 4,081,806 shares,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(75,518)</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475,688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464,835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827,026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724,617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January 31,</w:t>
            </w:r>
          </w:p>
        </w:tc>
        <w:tc>
          <w:tcPr>
            <w:tcW w:w="1100" w:type="dxa"/>
            <w:vAlign w:val="bottom"/>
          </w:tcPr>
          <w:p>
            <w:pPr>
              <w:spacing w:after="0"/>
              <w:rPr>
                <w:sz w:val="17"/>
                <w:szCs w:val="17"/>
                <w:color w:val="auto"/>
              </w:rPr>
            </w:pPr>
          </w:p>
        </w:tc>
      </w:tr>
      <w:tr>
        <w:trPr>
          <w:trHeight w:val="26"/>
        </w:trPr>
        <w:tc>
          <w:tcPr>
            <w:tcW w:w="7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76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r>
      <w:tr>
        <w:trPr>
          <w:trHeight w:val="194"/>
        </w:trPr>
        <w:tc>
          <w:tcPr>
            <w:tcW w:w="7600" w:type="dxa"/>
            <w:vAlign w:val="bottom"/>
          </w:tcPr>
          <w:p>
            <w:pPr>
              <w:spacing w:after="0"/>
              <w:rPr>
                <w:sz w:val="16"/>
                <w:szCs w:val="16"/>
                <w:color w:val="auto"/>
              </w:rPr>
            </w:pPr>
          </w:p>
        </w:tc>
        <w:tc>
          <w:tcPr>
            <w:tcW w:w="3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(In thousands, except per share amounts)</w:t>
            </w:r>
          </w:p>
        </w:tc>
      </w:tr>
      <w:tr>
        <w:trPr>
          <w:trHeight w:val="238"/>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261,916</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267,040</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Cost and expenses: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(excluding depreciation and amortization)</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210,149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211,834</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36,744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30,823</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14,126</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0"/>
        </w:trPr>
        <w:tc>
          <w:tcPr>
            <w:tcW w:w="7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0"/>
        </w:trPr>
        <w:tc>
          <w:tcPr>
            <w:tcW w:w="7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33,124</w:t>
            </w:r>
          </w:p>
        </w:tc>
      </w:tr>
      <w:tr>
        <w:trPr>
          <w:trHeight w:val="229"/>
        </w:trPr>
        <w:tc>
          <w:tcPr>
            <w:tcW w:w="7600" w:type="dxa"/>
            <w:vAlign w:val="bottom"/>
          </w:tcPr>
          <w:p>
            <w:pPr>
              <w:ind w:left="56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33,137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33,298</w:t>
            </w:r>
          </w:p>
        </w:tc>
      </w:tr>
      <w:tr>
        <w:trPr>
          <w:trHeight w:val="270"/>
        </w:trPr>
        <w:tc>
          <w:tcPr>
            <w:tcW w:w="7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Cash dividends per share</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r>
    </w:tbl>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360" w:right="228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INCOME (Unaudited)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80" w:type="dxa"/>
            <w:vAlign w:val="bottom"/>
          </w:tcPr>
          <w:p>
            <w:pPr>
              <w:spacing w:after="0"/>
              <w:rPr>
                <w:sz w:val="16"/>
                <w:szCs w:val="16"/>
                <w:color w:val="auto"/>
              </w:rPr>
            </w:pPr>
          </w:p>
        </w:tc>
      </w:tr>
      <w:tr>
        <w:trPr>
          <w:trHeight w:val="203"/>
        </w:trPr>
        <w:tc>
          <w:tcPr>
            <w:tcW w:w="7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January 31,</w:t>
            </w:r>
          </w:p>
        </w:tc>
        <w:tc>
          <w:tcPr>
            <w:tcW w:w="1080" w:type="dxa"/>
            <w:vAlign w:val="bottom"/>
          </w:tcPr>
          <w:p>
            <w:pPr>
              <w:spacing w:after="0"/>
              <w:rPr>
                <w:sz w:val="17"/>
                <w:szCs w:val="17"/>
                <w:color w:val="auto"/>
              </w:rPr>
            </w:pPr>
          </w:p>
        </w:tc>
      </w:tr>
      <w:tr>
        <w:trPr>
          <w:trHeight w:val="26"/>
        </w:trPr>
        <w:tc>
          <w:tcPr>
            <w:tcW w:w="7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75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r>
      <w:tr>
        <w:trPr>
          <w:trHeight w:val="188"/>
        </w:trPr>
        <w:tc>
          <w:tcPr>
            <w:tcW w:w="7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6"/>
                <w:szCs w:val="16"/>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Other comprehensive income (loss):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23"/>
        </w:trPr>
        <w:tc>
          <w:tcPr>
            <w:tcW w:w="7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comprehensive income (loss)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11,372</w:t>
            </w: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January 31,</w:t>
            </w:r>
          </w:p>
        </w:tc>
        <w:tc>
          <w:tcPr>
            <w:tcW w:w="1100" w:type="dxa"/>
            <w:vAlign w:val="bottom"/>
          </w:tcPr>
          <w:p>
            <w:pPr>
              <w:spacing w:after="0"/>
              <w:rPr>
                <w:sz w:val="17"/>
                <w:szCs w:val="17"/>
                <w:color w:val="auto"/>
              </w:rPr>
            </w:pPr>
          </w:p>
        </w:tc>
      </w:tr>
      <w:tr>
        <w:trPr>
          <w:trHeight w:val="26"/>
        </w:trPr>
        <w:tc>
          <w:tcPr>
            <w:tcW w:w="7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76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r>
      <w:tr>
        <w:trPr>
          <w:trHeight w:val="194"/>
        </w:trPr>
        <w:tc>
          <w:tcPr>
            <w:tcW w:w="7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spacing w:after="0"/>
              <w:rPr>
                <w:sz w:val="16"/>
                <w:szCs w:val="16"/>
                <w:color w:val="auto"/>
              </w:rPr>
            </w:pPr>
          </w:p>
        </w:tc>
      </w:tr>
      <w:tr>
        <w:trPr>
          <w:trHeight w:val="238"/>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11,239</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cash provided by (used in) operating activities: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10,257</w:t>
            </w: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Deferred income tax</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accounts receivable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Decrease (increase) in inventory</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(25,318)</w:t>
            </w: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in other current assets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Decrease in accounts payable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(21,379)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(8,391)</w:t>
            </w: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accrued liabilities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(12,686)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(18,248)</w:t>
            </w: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Increase in income taxes payable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1,391</w:t>
            </w: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(decrease) in deferred pension benefits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Increase in other long-term liabilities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Cash provided by (used for) operating activities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(21,651)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Business acquisition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(92,000)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disposition of capital assets</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investing activities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(99,484)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under credit facilities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Repayments of credit facility borrowings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(15,000)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other long-term debt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Common stock dividends paid</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(2,587)</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20,857</w:t>
            </w: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and cash equivalents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(12,038)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55,093</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40,061</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Three Months Ended January 31, 2023</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4"/>
              <w:spacing w:after="0" w:line="144"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Arial" w:cs="Arial" w:eastAsia="Arial" w:hAnsi="Arial"/>
                <w:sz w:val="14"/>
                <w:szCs w:val="14"/>
                <w:b w:val="1"/>
                <w:bCs w:val="1"/>
                <w:color w:val="auto"/>
                <w:w w:val="99"/>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3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January 31, 2023</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249,730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336,704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(73,068)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475,688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Three Months Ended January 31, 2022</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4"/>
              <w:spacing w:after="0" w:line="14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Arial" w:cs="Arial" w:eastAsia="Arial" w:hAnsi="Arial"/>
                <w:sz w:val="14"/>
                <w:szCs w:val="14"/>
                <w:b w:val="1"/>
                <w:bCs w:val="1"/>
                <w:color w:val="auto"/>
                <w:w w:val="99"/>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Quanex Building Products Corporation is a global, publicly traded manufacturing company primarily serving original equipment manufacturers (OEMs) in the fenestration, cabinetry, solar, refrigeration and outdoor products markets.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customized compounds, water retention barriers, and conservatory roof components. We have organized our business into three reportable business segments. For additional discussion of our reportable business segments, see Note 12,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2022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2022.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For contracts with multiple performance obligations, the standalone selling price of each product is generally readily observable.</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summarizes our product sales for the three months ended January 31, 2023 and 2022 into groupings by segment which we believe depicts how the nature, amount, timing and uncertainty of our revenues and cash flows are affected by economic factors. For further details regarding our results by segment, refer to Note 11, “Segment Information”.</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Pr>
          <w:p>
            <w:pPr>
              <w:spacing w:after="0"/>
              <w:rPr>
                <w:sz w:val="16"/>
                <w:szCs w:val="16"/>
                <w:color w:val="auto"/>
              </w:rPr>
            </w:pPr>
          </w:p>
        </w:tc>
      </w:tr>
      <w:tr>
        <w:trPr>
          <w:trHeight w:val="203"/>
        </w:trPr>
        <w:tc>
          <w:tcPr>
            <w:tcW w:w="7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January 31,</w:t>
            </w:r>
          </w:p>
        </w:tc>
        <w:tc>
          <w:tcPr>
            <w:tcW w:w="1100" w:type="dxa"/>
            <w:vAlign w:val="bottom"/>
          </w:tcPr>
          <w:p>
            <w:pPr>
              <w:spacing w:after="0"/>
              <w:rPr>
                <w:sz w:val="17"/>
                <w:szCs w:val="17"/>
                <w:color w:val="auto"/>
              </w:rPr>
            </w:pPr>
          </w:p>
        </w:tc>
      </w:tr>
      <w:tr>
        <w:trPr>
          <w:trHeight w:val="26"/>
        </w:trPr>
        <w:tc>
          <w:tcPr>
            <w:tcW w:w="7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75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194"/>
        </w:trPr>
        <w:tc>
          <w:tcPr>
            <w:tcW w:w="7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spacing w:after="0"/>
              <w:rPr>
                <w:sz w:val="16"/>
                <w:szCs w:val="16"/>
                <w:color w:val="auto"/>
              </w:rPr>
            </w:pPr>
          </w:p>
        </w:tc>
      </w:tr>
      <w:tr>
        <w:trPr>
          <w:trHeight w:val="238"/>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Fenestration:</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120,767</w:t>
            </w:r>
          </w:p>
        </w:tc>
        <w:tc>
          <w:tcPr>
            <w:tcW w:w="1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128,367</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fenestration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United States - non-fenestration</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23,066</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6,716</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r>
      <w:tr>
        <w:trPr>
          <w:trHeight w:val="223"/>
        </w:trPr>
        <w:tc>
          <w:tcPr>
            <w:tcW w:w="7540" w:type="dxa"/>
            <w:vAlign w:val="bottom"/>
          </w:tcPr>
          <w:p>
            <w:pPr>
              <w:spacing w:after="0"/>
              <w:rPr>
                <w:sz w:val="19"/>
                <w:szCs w:val="19"/>
                <w:color w:val="auto"/>
              </w:rPr>
            </w:pP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152,980</w:t>
            </w:r>
          </w:p>
        </w:tc>
        <w:tc>
          <w:tcPr>
            <w:tcW w:w="1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146,631</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European Fenestration: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International - fenestration</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42,354</w:t>
            </w:r>
          </w:p>
        </w:tc>
        <w:tc>
          <w:tcPr>
            <w:tcW w:w="1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44,621</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w:t>
            </w: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14,293</w:t>
            </w:r>
          </w:p>
        </w:tc>
      </w:tr>
      <w:tr>
        <w:trPr>
          <w:trHeight w:val="223"/>
        </w:trPr>
        <w:tc>
          <w:tcPr>
            <w:tcW w:w="7540" w:type="dxa"/>
            <w:vAlign w:val="bottom"/>
          </w:tcPr>
          <w:p>
            <w:pPr>
              <w:spacing w:after="0"/>
              <w:rPr>
                <w:sz w:val="19"/>
                <w:szCs w:val="19"/>
                <w:color w:val="auto"/>
              </w:rPr>
            </w:pP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54,952</w:t>
            </w:r>
          </w:p>
        </w:tc>
        <w:tc>
          <w:tcPr>
            <w:tcW w:w="1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58,914</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Cabinet Components: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3,908</w:t>
            </w:r>
          </w:p>
        </w:tc>
        <w:tc>
          <w:tcPr>
            <w:tcW w:w="1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3,765</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non-fenestration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50,049</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57,767</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 non-fenestration</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r>
      <w:tr>
        <w:trPr>
          <w:trHeight w:val="223"/>
        </w:trPr>
        <w:tc>
          <w:tcPr>
            <w:tcW w:w="7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54,674</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62,353</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Unallocated Corporate &amp; Other</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3"/>
        </w:trPr>
        <w:tc>
          <w:tcPr>
            <w:tcW w:w="75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261,916</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267,040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sales include transactions with a customer which is a related party with one of our non-employee directors for the three months ended January 31, 2023 of approximately $0.2 million and $0.4 million for the comparable prior year period. We performed a review of these transactions, of which no single transaction or series of related transactions exceeded $120,000 in amount, and determined that these transactions were enacted independently of each other. We are not aware of any other related party transactions with any of our current non-employee directors or officers outside of their normal business functions or expected contractual duties.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November 1, 2022, we entered into an Asset Purchase Agreement (the “Purchase Agreement”) with LMI Custom Mixing, LLC (“LMI”) and the equity owners of LMI, Lauren International, Ltd. and Meteor-US-Beteiligungs GMBH. Under the Purchase Agreement, we acquired substantially all of the operating assets comprising LMI’s polymer mixing and rubber compound production business (collectively, the “Purchased Assets”) and also agreed to assume certain liabilities relating to the Purchased Assets (collectively, the “Acquisition”). As consideration for the Purchased Assets, we agreed to pay LMI $92 million in cash, with $7.1 million of this amount funded into escrow as security for the seller parties’ indemnification obligations. To fund the amounts paid in connection with the Acquisition, we used a combination of cash on hand and funds borrowed under our Credit Facility. Subsequent to the acquisition, we had approximately $215 million available for use under the Credit Facility. For the period from the date of the Acquisition, through January 31, 2023, our consolidated operating results included net sales of $16.5 million and operating income of $2.0 million, respectively, associated with LMI.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January 31, 2023, we are still determining the purchase price allocation for LMI. A preliminary purchase price allocation of the fair value of the assets acquired and liabilities assumed is included in the table below. These estimates are subject to change and will likely result in an increase or decrease in goodwill, particularly with regard to third-party valuations and our estimates of fixed assets, intangible assets, and inventory, during the measurement period, which may extend up to one year from the acquisition date.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As of Date of</w:t>
            </w:r>
          </w:p>
        </w:tc>
        <w:tc>
          <w:tcPr>
            <w:tcW w:w="0" w:type="dxa"/>
            <w:vAlign w:val="bottom"/>
          </w:tcPr>
          <w:p>
            <w:pPr>
              <w:spacing w:after="0"/>
              <w:rPr>
                <w:sz w:val="1"/>
                <w:szCs w:val="1"/>
                <w:color w:val="auto"/>
              </w:rPr>
            </w:pPr>
          </w:p>
        </w:tc>
      </w:tr>
      <w:tr>
        <w:trPr>
          <w:trHeight w:val="186"/>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Opening Balance Sheet</w:t>
            </w:r>
          </w:p>
        </w:tc>
        <w:tc>
          <w:tcPr>
            <w:tcW w:w="0" w:type="dxa"/>
            <w:vAlign w:val="bottom"/>
          </w:tcPr>
          <w:p>
            <w:pPr>
              <w:spacing w:after="0"/>
              <w:rPr>
                <w:sz w:val="1"/>
                <w:szCs w:val="1"/>
                <w:color w:val="auto"/>
              </w:rPr>
            </w:pPr>
          </w:p>
        </w:tc>
      </w:tr>
      <w:tr>
        <w:trPr>
          <w:trHeight w:val="189"/>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center"/>
              <w:ind w:right="154"/>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6"/>
        </w:trPr>
        <w:tc>
          <w:tcPr>
            <w:tcW w:w="9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29"/>
        </w:trPr>
        <w:tc>
          <w:tcPr>
            <w:tcW w:w="90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29"/>
        </w:trPr>
        <w:tc>
          <w:tcPr>
            <w:tcW w:w="90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42,091</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30"/>
        </w:trPr>
        <w:tc>
          <w:tcPr>
            <w:tcW w:w="90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Long-term debt (finance leases)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(13,721)</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Consideration: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0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net of cash and cash equivalents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used recognized valuation techniques to determine the preliminary fair value of the assets and liabilities, including the excess earnings method for customer relationships and relief from royalty method for trade names and other technology with a discount rate that reflects the risk of the expected future cash flows. The goodwill balance is deductible for tax purposes. LMI is allocated entirely to our North American Fenestration reportable operating segment.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 Forma Results</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calculated the pro forma impact of the LMI acquisitions and the associated debt financing on our operating results for the three months ended January 31, 2022. The following pro forma results give effect to these acquisitions, assuming the transactions occurred on November 1, 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Pro Forma Results</w:t>
            </w:r>
          </w:p>
        </w:tc>
      </w:tr>
      <w:tr>
        <w:trPr>
          <w:trHeight w:val="26"/>
        </w:trPr>
        <w:tc>
          <w:tcPr>
            <w:tcW w:w="8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180"/>
        </w:trPr>
        <w:tc>
          <w:tcPr>
            <w:tcW w:w="8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For the Three Months Ended</w:t>
            </w:r>
          </w:p>
        </w:tc>
      </w:tr>
      <w:tr>
        <w:trPr>
          <w:trHeight w:val="193"/>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January 31, 2022</w:t>
            </w:r>
          </w:p>
        </w:tc>
      </w:tr>
      <w:tr>
        <w:trPr>
          <w:trHeight w:val="26"/>
        </w:trPr>
        <w:tc>
          <w:tcPr>
            <w:tcW w:w="8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188"/>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38"/>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282,358</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12,719</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0.38</w:t>
            </w:r>
          </w:p>
        </w:tc>
      </w:tr>
    </w:tbl>
    <w:p>
      <w:pPr>
        <w:spacing w:after="0" w:line="22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derived the pro forma results for the LMI acquisition based on historical financial information obtained from the sellers and certain management assumptions. Our pro forma adjustments relate to the elimination of our intercompany sales to our North American Fenestration reportable segment and related cost of sales, incremental depreciation and amortization expense associated with property, plant and equipment and intangible assets to effect the transactions, assuming a November 1, 2021 effective date. In addition, we calculated the tax impact of these adjustments at a 25% effective tax 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at January 31, 2023 and October 31, 2022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14"/>
                <w:szCs w:val="14"/>
                <w:color w:val="auto"/>
              </w:rPr>
            </w:pPr>
          </w:p>
        </w:tc>
        <w:tc>
          <w:tcPr>
            <w:tcW w:w="1440" w:type="dxa"/>
            <w:vAlign w:val="bottom"/>
          </w:tcPr>
          <w:p>
            <w:pPr>
              <w:jc w:val="right"/>
              <w:ind w:right="435"/>
              <w:spacing w:after="0"/>
              <w:rPr>
                <w:sz w:val="20"/>
                <w:szCs w:val="20"/>
                <w:color w:val="auto"/>
              </w:rPr>
            </w:pPr>
            <w:r>
              <w:rPr>
                <w:rFonts w:ascii="Arial" w:cs="Arial" w:eastAsia="Arial" w:hAnsi="Arial"/>
                <w:sz w:val="14"/>
                <w:szCs w:val="14"/>
                <w:b w:val="1"/>
                <w:bCs w:val="1"/>
                <w:color w:val="auto"/>
              </w:rPr>
              <w:t>October 31,</w:t>
            </w:r>
          </w:p>
        </w:tc>
      </w:tr>
      <w:tr>
        <w:trPr>
          <w:trHeight w:val="192"/>
        </w:trPr>
        <w:tc>
          <w:tcPr>
            <w:tcW w:w="7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68,455</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Finished goods and work in process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56,956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54,013</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23"/>
        </w:trPr>
        <w:tc>
          <w:tcPr>
            <w:tcW w:w="754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131,216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124,019</w:t>
            </w:r>
          </w:p>
        </w:tc>
      </w:tr>
      <w:tr>
        <w:trPr>
          <w:trHeight w:val="229"/>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Inventory reserves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23"/>
        </w:trPr>
        <w:tc>
          <w:tcPr>
            <w:tcW w:w="7540" w:type="dxa"/>
            <w:vAlign w:val="bottom"/>
          </w:tcPr>
          <w:p>
            <w:pPr>
              <w:ind w:left="540"/>
              <w:spacing w:after="0"/>
              <w:rPr>
                <w:sz w:val="20"/>
                <w:szCs w:val="20"/>
                <w:color w:val="auto"/>
              </w:rPr>
            </w:pPr>
            <w:r>
              <w:rPr>
                <w:rFonts w:ascii="Arial" w:cs="Arial" w:eastAsia="Arial" w:hAnsi="Arial"/>
                <w:sz w:val="18"/>
                <w:szCs w:val="18"/>
                <w:color w:val="auto"/>
              </w:rPr>
              <w:t>Inventories,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127,735</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7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03"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ROU asset is measured at the initial amount of the lease liability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spacing w:after="0" w:line="12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table below presents the lease-related assets and liabilities recorded on the balance sheet at January 31, 2023 and October 31, 2022 (in thousands):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41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Classification</w:t>
            </w:r>
          </w:p>
        </w:tc>
        <w:tc>
          <w:tcPr>
            <w:tcW w:w="3720" w:type="dxa"/>
            <w:vAlign w:val="bottom"/>
          </w:tcPr>
          <w:p>
            <w:pPr>
              <w:jc w:val="center"/>
              <w:ind w:left="1688"/>
              <w:spacing w:after="0"/>
              <w:rPr>
                <w:sz w:val="20"/>
                <w:szCs w:val="20"/>
                <w:color w:val="auto"/>
              </w:rPr>
            </w:pPr>
            <w:r>
              <w:rPr>
                <w:rFonts w:ascii="Arial" w:cs="Arial" w:eastAsia="Arial" w:hAnsi="Arial"/>
                <w:sz w:val="14"/>
                <w:szCs w:val="14"/>
                <w:b w:val="1"/>
                <w:bCs w:val="1"/>
                <w:color w:val="auto"/>
                <w:w w:val="93"/>
              </w:rPr>
              <w:t>January 31,</w:t>
            </w:r>
          </w:p>
        </w:tc>
        <w:tc>
          <w:tcPr>
            <w:tcW w:w="1320" w:type="dxa"/>
            <w:vAlign w:val="bottom"/>
          </w:tcPr>
          <w:p>
            <w:pPr>
              <w:jc w:val="center"/>
              <w:ind w:left="528"/>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86"/>
        </w:trPr>
        <w:tc>
          <w:tcPr>
            <w:tcW w:w="136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3720" w:type="dxa"/>
            <w:vAlign w:val="bottom"/>
          </w:tcPr>
          <w:p>
            <w:pPr>
              <w:jc w:val="right"/>
              <w:ind w:right="768"/>
              <w:spacing w:after="0"/>
              <w:rPr>
                <w:sz w:val="20"/>
                <w:szCs w:val="20"/>
                <w:color w:val="auto"/>
              </w:rPr>
            </w:pPr>
            <w:r>
              <w:rPr>
                <w:rFonts w:ascii="Arial" w:cs="Arial" w:eastAsia="Arial" w:hAnsi="Arial"/>
                <w:sz w:val="14"/>
                <w:szCs w:val="14"/>
                <w:b w:val="1"/>
                <w:bCs w:val="1"/>
                <w:color w:val="auto"/>
              </w:rPr>
              <w:t>2023</w:t>
            </w: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10160</wp:posOffset>
            </wp:positionV>
            <wp:extent cx="708914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Operating lease assets</w:t>
      </w:r>
    </w:p>
    <w:p>
      <w:pPr>
        <w:spacing w:after="0" w:line="151" w:lineRule="exact"/>
        <w:rPr>
          <w:sz w:val="20"/>
          <w:szCs w:val="20"/>
          <w:color w:val="auto"/>
        </w:rPr>
      </w:pPr>
    </w:p>
    <w:p>
      <w:pPr>
        <w:ind w:left="60" w:right="160" w:firstLine="122"/>
        <w:spacing w:after="0" w:line="446" w:lineRule="auto"/>
        <w:rPr>
          <w:sz w:val="20"/>
          <w:szCs w:val="20"/>
          <w:color w:val="auto"/>
        </w:rPr>
      </w:pPr>
      <w:r>
        <w:rPr>
          <w:rFonts w:ascii="Arial" w:cs="Arial" w:eastAsia="Arial" w:hAnsi="Arial"/>
          <w:sz w:val="15"/>
          <w:szCs w:val="15"/>
          <w:color w:val="auto"/>
        </w:rPr>
        <w:t xml:space="preserve">Finance lease assets </w:t>
      </w:r>
      <w:r>
        <w:rPr>
          <w:rFonts w:ascii="Arial" w:cs="Arial" w:eastAsia="Arial" w:hAnsi="Arial"/>
          <w:sz w:val="15"/>
          <w:szCs w:val="15"/>
          <w:b w:val="1"/>
          <w:bCs w:val="1"/>
          <w:color w:val="auto"/>
        </w:rPr>
        <w:t>Total lease assets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45,996</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56,000</w:t>
            </w:r>
          </w:p>
        </w:tc>
      </w:tr>
      <w:tr>
        <w:trPr>
          <w:trHeight w:val="176"/>
        </w:trPr>
        <w:tc>
          <w:tcPr>
            <w:tcW w:w="5080" w:type="dxa"/>
            <w:vAlign w:val="bottom"/>
          </w:tcPr>
          <w:p>
            <w:pPr>
              <w:spacing w:after="0" w:line="176" w:lineRule="exact"/>
              <w:rPr>
                <w:sz w:val="20"/>
                <w:szCs w:val="20"/>
                <w:color w:val="auto"/>
              </w:rPr>
            </w:pPr>
            <w:r>
              <w:rPr>
                <w:rFonts w:ascii="Arial" w:cs="Arial" w:eastAsia="Arial" w:hAnsi="Arial"/>
                <w:sz w:val="18"/>
                <w:szCs w:val="18"/>
                <w:color w:val="auto"/>
                <w:w w:val="98"/>
              </w:rPr>
              <w:t>Property, plant and equipment (less accumulated depreciation of</w:t>
            </w: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$4,706 and $3,726)</w:t>
            </w:r>
          </w:p>
        </w:tc>
        <w:tc>
          <w:tcPr>
            <w:tcW w:w="6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57,223</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22,003</w:t>
            </w:r>
          </w:p>
        </w:tc>
      </w:tr>
      <w:tr>
        <w:trPr>
          <w:trHeight w:val="223"/>
        </w:trPr>
        <w:tc>
          <w:tcPr>
            <w:tcW w:w="508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103,219</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78,003</w:t>
            </w:r>
          </w:p>
        </w:tc>
      </w:tr>
      <w:tr>
        <w:trPr>
          <w:trHeight w:val="20"/>
        </w:trPr>
        <w:tc>
          <w:tcPr>
            <w:tcW w:w="5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-454025</wp:posOffset>
            </wp:positionV>
            <wp:extent cx="708914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2654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780" w:space="580"/>
            <w:col w:w="8880"/>
          </w:cols>
          <w:pgMar w:left="320" w:top="125" w:right="33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196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5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196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5440" w:type="dxa"/>
            <w:vAlign w:val="bottom"/>
          </w:tcPr>
          <w:p>
            <w:pPr>
              <w:ind w:left="360"/>
              <w:spacing w:after="0"/>
              <w:rPr>
                <w:sz w:val="20"/>
                <w:szCs w:val="20"/>
                <w:color w:val="auto"/>
              </w:rPr>
            </w:pPr>
            <w:r>
              <w:rPr>
                <w:rFonts w:ascii="Arial" w:cs="Arial" w:eastAsia="Arial" w:hAnsi="Arial"/>
                <w:sz w:val="18"/>
                <w:szCs w:val="18"/>
                <w:color w:val="auto"/>
              </w:rPr>
              <w:t>Current operating lease liabilities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7,213</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7,727</w:t>
            </w:r>
          </w:p>
        </w:tc>
      </w:tr>
      <w:tr>
        <w:trPr>
          <w:trHeight w:val="230"/>
        </w:trPr>
        <w:tc>
          <w:tcPr>
            <w:tcW w:w="1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29"/>
        </w:trPr>
        <w:tc>
          <w:tcPr>
            <w:tcW w:w="1960" w:type="dxa"/>
            <w:vAlign w:val="bottom"/>
          </w:tcPr>
          <w:p>
            <w:pPr>
              <w:ind w:left="140"/>
              <w:spacing w:after="0"/>
              <w:rPr>
                <w:sz w:val="20"/>
                <w:szCs w:val="20"/>
                <w:color w:val="auto"/>
              </w:rPr>
            </w:pPr>
            <w:r>
              <w:rPr>
                <w:rFonts w:ascii="Arial" w:cs="Arial" w:eastAsia="Arial" w:hAnsi="Arial"/>
                <w:sz w:val="18"/>
                <w:szCs w:val="18"/>
                <w:color w:val="auto"/>
              </w:rPr>
              <w:t>Noncurrent</w:t>
            </w: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operating lease liabilities</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49,286</w:t>
            </w:r>
          </w:p>
        </w:tc>
      </w:tr>
      <w:tr>
        <w:trPr>
          <w:trHeight w:val="230"/>
        </w:trPr>
        <w:tc>
          <w:tcPr>
            <w:tcW w:w="1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Finance</w:t>
            </w:r>
          </w:p>
        </w:tc>
        <w:tc>
          <w:tcPr>
            <w:tcW w:w="5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Long-term debt</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52,797</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17,816</w:t>
            </w:r>
          </w:p>
        </w:tc>
      </w:tr>
      <w:tr>
        <w:trPr>
          <w:trHeight w:val="248"/>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5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76,165</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presents the components of lease costs for the three months ended January 31, 2023 and 2022 was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160" w:type="dxa"/>
            <w:vAlign w:val="bottom"/>
          </w:tcPr>
          <w:p>
            <w:pPr>
              <w:spacing w:after="0"/>
              <w:rPr>
                <w:sz w:val="16"/>
                <w:szCs w:val="16"/>
                <w:color w:val="auto"/>
              </w:rPr>
            </w:pPr>
          </w:p>
        </w:tc>
      </w:tr>
      <w:tr>
        <w:trPr>
          <w:trHeight w:val="203"/>
        </w:trPr>
        <w:tc>
          <w:tcPr>
            <w:tcW w:w="7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January 31,</w:t>
            </w:r>
          </w:p>
        </w:tc>
        <w:tc>
          <w:tcPr>
            <w:tcW w:w="1160" w:type="dxa"/>
            <w:vAlign w:val="bottom"/>
          </w:tcPr>
          <w:p>
            <w:pPr>
              <w:spacing w:after="0"/>
              <w:rPr>
                <w:sz w:val="17"/>
                <w:szCs w:val="17"/>
                <w:color w:val="auto"/>
              </w:rPr>
            </w:pPr>
          </w:p>
        </w:tc>
      </w:tr>
      <w:tr>
        <w:trPr>
          <w:trHeight w:val="25"/>
        </w:trPr>
        <w:tc>
          <w:tcPr>
            <w:tcW w:w="7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r>
      <w:tr>
        <w:trPr>
          <w:trHeight w:val="229"/>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cost</w:t>
            </w: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Finance lease cost</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leased assets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lease costs</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lease cost</w:t>
            </w:r>
          </w:p>
        </w:tc>
        <w:tc>
          <w:tcPr>
            <w:tcW w:w="1160" w:type="dxa"/>
            <w:vAlign w:val="bottom"/>
            <w:tcBorders>
              <w:bottom w:val="single" w:sz="8" w:color="auto"/>
            </w:tcBorders>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3,885</w:t>
            </w: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3,189</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 below presents supplemental cash flow information related to leases for the three months ended January 31, 2023 and 2022 was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6"/>
                <w:szCs w:val="16"/>
                <w:color w:val="auto"/>
              </w:rPr>
            </w:pPr>
          </w:p>
        </w:tc>
      </w:tr>
      <w:tr>
        <w:trPr>
          <w:trHeight w:val="203"/>
        </w:trPr>
        <w:tc>
          <w:tcPr>
            <w:tcW w:w="7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January 31,</w:t>
            </w:r>
          </w:p>
        </w:tc>
        <w:tc>
          <w:tcPr>
            <w:tcW w:w="1160" w:type="dxa"/>
            <w:vAlign w:val="bottom"/>
          </w:tcPr>
          <w:p>
            <w:pPr>
              <w:spacing w:after="0"/>
              <w:rPr>
                <w:sz w:val="17"/>
                <w:szCs w:val="17"/>
                <w:color w:val="auto"/>
              </w:rPr>
            </w:pPr>
          </w:p>
        </w:tc>
      </w:tr>
      <w:tr>
        <w:trPr>
          <w:trHeight w:val="26"/>
        </w:trPr>
        <w:tc>
          <w:tcPr>
            <w:tcW w:w="7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r>
      <w:tr>
        <w:trPr>
          <w:trHeight w:val="189"/>
        </w:trPr>
        <w:tc>
          <w:tcPr>
            <w:tcW w:w="7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Finance leases - financing cash flows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 operating cash flows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Operating leases - operating cash flows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2,536</w:t>
            </w:r>
          </w:p>
        </w:tc>
      </w:tr>
      <w:tr>
        <w:trPr>
          <w:trHeight w:val="270"/>
        </w:trPr>
        <w:tc>
          <w:tcPr>
            <w:tcW w:w="74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 obtained in exchange for lease liabilities:</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5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table below presents the weighted average remaining lease terms and weighted average discount rates for the Company's leases as of January 31, 2023 and October 31, 2022:</w:t>
      </w: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January 31, 2023</w:t>
            </w:r>
          </w:p>
        </w:tc>
        <w:tc>
          <w:tcPr>
            <w:tcW w:w="1940" w:type="dxa"/>
            <w:vAlign w:val="bottom"/>
          </w:tcPr>
          <w:p>
            <w:pPr>
              <w:jc w:val="right"/>
              <w:ind w:right="536"/>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17"/>
                <w:szCs w:val="17"/>
                <w:color w:val="auto"/>
              </w:rPr>
            </w:pPr>
          </w:p>
        </w:tc>
        <w:tc>
          <w:tcPr>
            <w:tcW w:w="2060" w:type="dxa"/>
            <w:vAlign w:val="bottom"/>
            <w:gridSpan w:val="2"/>
            <w:vMerge w:val="continue"/>
          </w:tcPr>
          <w:p>
            <w:pPr>
              <w:spacing w:after="0"/>
              <w:rPr>
                <w:sz w:val="17"/>
                <w:szCs w:val="17"/>
                <w:color w:val="auto"/>
              </w:rPr>
            </w:pPr>
          </w:p>
        </w:tc>
        <w:tc>
          <w:tcPr>
            <w:tcW w:w="1940" w:type="dxa"/>
            <w:vAlign w:val="bottom"/>
          </w:tcPr>
          <w:p>
            <w:pPr>
              <w:jc w:val="right"/>
              <w:ind w:right="73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Operating leases</w:t>
            </w:r>
          </w:p>
        </w:tc>
        <w:tc>
          <w:tcPr>
            <w:tcW w:w="19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discount rate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Operating leases</w:t>
            </w:r>
          </w:p>
        </w:tc>
        <w:tc>
          <w:tcPr>
            <w:tcW w:w="1960" w:type="dxa"/>
            <w:vAlign w:val="bottom"/>
          </w:tcPr>
          <w:p>
            <w:pPr>
              <w:jc w:val="right"/>
              <w:spacing w:after="0"/>
              <w:rPr>
                <w:sz w:val="20"/>
                <w:szCs w:val="20"/>
                <w:color w:val="auto"/>
              </w:rPr>
            </w:pPr>
            <w:r>
              <w:rPr>
                <w:rFonts w:ascii="Arial" w:cs="Arial" w:eastAsia="Arial" w:hAnsi="Arial"/>
                <w:sz w:val="18"/>
                <w:szCs w:val="18"/>
                <w:color w:val="auto"/>
              </w:rPr>
              <w:t>3.86 %</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the maturity of the lease liabilities as of January 31, 2023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80" w:type="dxa"/>
            <w:vAlign w:val="bottom"/>
          </w:tcPr>
          <w:p>
            <w:pPr>
              <w:spacing w:after="0"/>
              <w:rPr>
                <w:sz w:val="16"/>
                <w:szCs w:val="16"/>
                <w:color w:val="auto"/>
              </w:rPr>
            </w:pPr>
          </w:p>
        </w:tc>
        <w:tc>
          <w:tcPr>
            <w:tcW w:w="1560" w:type="dxa"/>
            <w:vAlign w:val="bottom"/>
          </w:tcPr>
          <w:p>
            <w:pPr>
              <w:jc w:val="right"/>
              <w:ind w:right="372"/>
              <w:spacing w:after="0"/>
              <w:rPr>
                <w:sz w:val="20"/>
                <w:szCs w:val="20"/>
                <w:color w:val="auto"/>
              </w:rPr>
            </w:pPr>
            <w:r>
              <w:rPr>
                <w:rFonts w:ascii="Arial" w:cs="Arial" w:eastAsia="Arial" w:hAnsi="Arial"/>
                <w:sz w:val="14"/>
                <w:szCs w:val="14"/>
                <w:b w:val="1"/>
                <w:bCs w:val="1"/>
                <w:color w:val="auto"/>
              </w:rPr>
              <w:t>Finance Leases</w:t>
            </w:r>
          </w:p>
        </w:tc>
      </w:tr>
      <w:tr>
        <w:trPr>
          <w:trHeight w:val="25"/>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2023 (remaining nine months)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4,632</w:t>
            </w: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4,453</w:t>
            </w: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r>
      <w:tr>
        <w:trPr>
          <w:trHeight w:val="230"/>
        </w:trPr>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62,183</w:t>
            </w:r>
          </w:p>
        </w:tc>
      </w:tr>
      <w:tr>
        <w:trPr>
          <w:trHeight w:val="223"/>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payments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83,676</w:t>
            </w:r>
          </w:p>
        </w:tc>
      </w:tr>
      <w:tr>
        <w:trPr>
          <w:trHeight w:val="230"/>
        </w:trPr>
        <w:tc>
          <w:tcPr>
            <w:tcW w:w="7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present value discount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28,593</w:t>
            </w:r>
          </w:p>
        </w:tc>
      </w:tr>
      <w:tr>
        <w:trPr>
          <w:trHeight w:val="248"/>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for the three months ended January 31, 2023 was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275"/>
              <w:spacing w:after="0"/>
              <w:rPr>
                <w:sz w:val="20"/>
                <w:szCs w:val="20"/>
                <w:color w:val="auto"/>
              </w:rPr>
            </w:pPr>
            <w:r>
              <w:rPr>
                <w:rFonts w:ascii="Arial" w:cs="Arial" w:eastAsia="Arial" w:hAnsi="Arial"/>
                <w:sz w:val="16"/>
                <w:szCs w:val="16"/>
                <w:b w:val="1"/>
                <w:bCs w:val="1"/>
                <w:color w:val="auto"/>
                <w:w w:val="99"/>
              </w:rPr>
              <w:t>Three Months Ended</w:t>
            </w:r>
          </w:p>
        </w:tc>
      </w:tr>
      <w:tr>
        <w:trPr>
          <w:trHeight w:val="186"/>
        </w:trPr>
        <w:tc>
          <w:tcPr>
            <w:tcW w:w="9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jc w:val="right"/>
              <w:ind w:right="475"/>
              <w:spacing w:after="0"/>
              <w:rPr>
                <w:sz w:val="20"/>
                <w:szCs w:val="20"/>
                <w:color w:val="auto"/>
              </w:rPr>
            </w:pPr>
            <w:r>
              <w:rPr>
                <w:rFonts w:ascii="Arial" w:cs="Arial" w:eastAsia="Arial" w:hAnsi="Arial"/>
                <w:sz w:val="14"/>
                <w:szCs w:val="14"/>
                <w:b w:val="1"/>
                <w:bCs w:val="1"/>
                <w:color w:val="auto"/>
              </w:rPr>
              <w:t>January 31, 2023</w:t>
            </w:r>
          </w:p>
        </w:tc>
      </w:tr>
      <w:tr>
        <w:trPr>
          <w:trHeight w:val="26"/>
        </w:trPr>
        <w:tc>
          <w:tcPr>
            <w:tcW w:w="9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137,855</w:t>
            </w:r>
          </w:p>
        </w:tc>
      </w:tr>
      <w:tr>
        <w:trPr>
          <w:trHeight w:val="229"/>
        </w:trPr>
        <w:tc>
          <w:tcPr>
            <w:tcW w:w="9060" w:type="dxa"/>
            <w:vAlign w:val="bottom"/>
          </w:tcPr>
          <w:p>
            <w:pPr>
              <w:ind w:left="360"/>
              <w:spacing w:after="0"/>
              <w:rPr>
                <w:sz w:val="20"/>
                <w:szCs w:val="20"/>
                <w:color w:val="auto"/>
              </w:rPr>
            </w:pPr>
            <w:r>
              <w:rPr>
                <w:rFonts w:ascii="Arial" w:cs="Arial" w:eastAsia="Arial" w:hAnsi="Arial"/>
                <w:sz w:val="18"/>
                <w:szCs w:val="18"/>
                <w:color w:val="auto"/>
              </w:rPr>
              <w:t>LMI acquisition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42,091</w:t>
            </w:r>
          </w:p>
        </w:tc>
      </w:tr>
      <w:tr>
        <w:trPr>
          <w:trHeight w:val="230"/>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Balance as of the end of the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184,706</w:t>
            </w:r>
          </w:p>
        </w:tc>
      </w:tr>
      <w:tr>
        <w:trPr>
          <w:trHeight w:val="21"/>
        </w:trPr>
        <w:tc>
          <w:tcPr>
            <w:tcW w:w="9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At our last annual test date, August 31, 2022, we evaluated the recoverability of goodwill at each of our five reporting units with goodwill balances and determined that our goodwill was not impaired. An additional reporting unit was acquired during the three months ended January 31, 2023. We evaluated for indicators of impairment for all reporting units during the three months ended January 31, 2023 and determined that there were no triggering events. For additional discussion of change in reporting units and a summary of the change in the carrying amount of goodwill by segment, see Note 12, “Segment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January 31, 2023 and October 31, 2022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Arial" w:cs="Arial" w:eastAsia="Arial" w:hAnsi="Arial"/>
                <w:sz w:val="14"/>
                <w:szCs w:val="14"/>
                <w:b w:val="1"/>
                <w:bCs w:val="1"/>
                <w:color w:val="auto"/>
              </w:rPr>
              <w:t>January 31, 2023</w:t>
            </w:r>
          </w:p>
        </w:tc>
        <w:tc>
          <w:tcPr>
            <w:tcW w:w="160" w:type="dxa"/>
            <w:vAlign w:val="bottom"/>
          </w:tcPr>
          <w:p>
            <w:pPr>
              <w:spacing w:after="0"/>
              <w:rPr>
                <w:sz w:val="16"/>
                <w:szCs w:val="16"/>
                <w:color w:val="auto"/>
              </w:rPr>
            </w:pPr>
          </w:p>
        </w:tc>
        <w:tc>
          <w:tcPr>
            <w:tcW w:w="2860" w:type="dxa"/>
            <w:vAlign w:val="bottom"/>
            <w:gridSpan w:val="4"/>
          </w:tcPr>
          <w:p>
            <w:pPr>
              <w:jc w:val="right"/>
              <w:ind w:right="916"/>
              <w:spacing w:after="0"/>
              <w:rPr>
                <w:sz w:val="20"/>
                <w:szCs w:val="20"/>
                <w:color w:val="auto"/>
              </w:rPr>
            </w:pPr>
            <w:r>
              <w:rPr>
                <w:rFonts w:ascii="Arial" w:cs="Arial" w:eastAsia="Arial" w:hAnsi="Arial"/>
                <w:sz w:val="14"/>
                <w:szCs w:val="14"/>
                <w:b w:val="1"/>
                <w:bCs w:val="1"/>
                <w:color w:val="auto"/>
              </w:rPr>
              <w:t>October 31, 2022</w:t>
            </w:r>
          </w:p>
        </w:tc>
      </w:tr>
      <w:tr>
        <w:trPr>
          <w:trHeight w:val="26"/>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9"/>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Accumulated</w:t>
            </w:r>
          </w:p>
        </w:tc>
      </w:tr>
      <w:tr>
        <w:trPr>
          <w:trHeight w:val="196"/>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7"/>
                <w:szCs w:val="17"/>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7"/>
                <w:szCs w:val="17"/>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rPr>
              <w:t>Amortization</w:t>
            </w: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158,125</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88,646</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55,672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41,488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54,389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40,610</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21,882</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22,095</w:t>
            </w: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238,933</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155,532</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216,386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151,351</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connection to the LMI Acquisition, we added gross carrying intangibles of $16.0 million of customer relationships, $3.0 million of other technology and $0.5 million of trade names. We had aggregate amortization expense related to intangible assets for the three months ended January 31, 2023 of $3.1 million and $3.0 million for the comparable prior year period.</w:t>
      </w:r>
    </w:p>
    <w:p>
      <w:pPr>
        <w:spacing w:after="0" w:line="1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Estimated remaining amortization expense, assuming current intangible balances and no new acquisitions, for future fiscal years as of January 31, 2023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right"/>
              <w:ind w:right="694"/>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9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 Expense</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nine months)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11,314</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10,012</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33,038</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83,401</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and Finance Lease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at January 31, 2023 and October 31, 2022 (in thousands):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31,</w:t>
            </w:r>
          </w:p>
        </w:tc>
        <w:tc>
          <w:tcPr>
            <w:tcW w:w="320" w:type="dxa"/>
            <w:vAlign w:val="bottom"/>
          </w:tcPr>
          <w:p>
            <w:pPr>
              <w:spacing w:after="0"/>
              <w:rPr>
                <w:sz w:val="14"/>
                <w:szCs w:val="14"/>
                <w:color w:val="auto"/>
              </w:rPr>
            </w:pPr>
          </w:p>
        </w:tc>
        <w:tc>
          <w:tcPr>
            <w:tcW w:w="1420" w:type="dxa"/>
            <w:vAlign w:val="bottom"/>
          </w:tcPr>
          <w:p>
            <w:pPr>
              <w:jc w:val="right"/>
              <w:ind w:right="415"/>
              <w:spacing w:after="0"/>
              <w:rPr>
                <w:sz w:val="20"/>
                <w:szCs w:val="20"/>
                <w:color w:val="auto"/>
              </w:rPr>
            </w:pPr>
            <w:r>
              <w:rPr>
                <w:rFonts w:ascii="Arial" w:cs="Arial" w:eastAsia="Arial" w:hAnsi="Arial"/>
                <w:sz w:val="14"/>
                <w:szCs w:val="14"/>
                <w:b w:val="1"/>
                <w:bCs w:val="1"/>
                <w:color w:val="auto"/>
              </w:rPr>
              <w:t>October 31,</w:t>
            </w:r>
          </w:p>
        </w:tc>
      </w:tr>
      <w:tr>
        <w:trPr>
          <w:trHeight w:val="196"/>
        </w:trPr>
        <w:tc>
          <w:tcPr>
            <w:tcW w:w="75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Finance lease obligations and other</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55,122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19,202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fees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23"/>
        </w:trPr>
        <w:tc>
          <w:tcPr>
            <w:tcW w:w="754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153,678</w:t>
            </w:r>
          </w:p>
        </w:tc>
        <w:tc>
          <w:tcPr>
            <w:tcW w:w="1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30,674</w:t>
            </w:r>
          </w:p>
        </w:tc>
      </w:tr>
      <w:tr>
        <w:trPr>
          <w:trHeight w:val="229"/>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 of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23"/>
        </w:trPr>
        <w:tc>
          <w:tcPr>
            <w:tcW w:w="7540" w:type="dxa"/>
            <w:vAlign w:val="bottom"/>
          </w:tcPr>
          <w:p>
            <w:pPr>
              <w:ind w:left="46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151,682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29,628</w:t>
            </w: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July 6, 2022, we entered into our Second Amended and Restated Credit Agreement (the “Credit Facility”) with Wells Fargo Securities, LLC, as Agent, Swingline Lender and Issuing Lender, and BofA Securities, Inc. serving as Syndication Agent. We capitalized $1.2 million of deferred financing fees related the Credit Facility during the three months ended July 31, 2022. This $325.0 million revolving credit facility has a five-year term, maturing on July 6, 2027, and replaces our previous credit facility. Our previous credit facility is more fully described in our Annual Report on Form 10-K for the fiscal year ended October 31, 2022.</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Interest payments for the Credit Facility are calculated, at our election and depending upon the Consolidated Net Leverage Ratio, at a Base Rate plus an applicable margin or at the same rate as Risk-Free Rate (“RFR”) Loans for domestic borrowings or Eurocurrency Rate Loans plus an applicable margin. In addition, we are subject to commitment fees for the unused portion of the Credit Facility.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46" w:lineRule="exact"/>
        <w:rPr>
          <w:sz w:val="20"/>
          <w:szCs w:val="20"/>
          <w:color w:val="auto"/>
        </w:rPr>
      </w:pPr>
    </w:p>
    <w:p>
      <w:pPr>
        <w:ind w:left="240"/>
        <w:spacing w:after="0"/>
        <w:tabs>
          <w:tab w:leader="none" w:pos="7180" w:val="left"/>
        </w:tabs>
        <w:rPr>
          <w:sz w:val="20"/>
          <w:szCs w:val="20"/>
          <w:color w:val="auto"/>
        </w:rPr>
      </w:pPr>
      <w:r>
        <w:rPr>
          <w:rFonts w:ascii="Arial" w:cs="Arial" w:eastAsia="Arial" w:hAnsi="Arial"/>
          <w:sz w:val="18"/>
          <w:szCs w:val="18"/>
          <w:b w:val="1"/>
          <w:bCs w:val="1"/>
          <w:color w:val="auto"/>
        </w:rPr>
        <w:t>Pricing</w:t>
      </w:r>
      <w:r>
        <w:rPr>
          <w:sz w:val="20"/>
          <w:szCs w:val="20"/>
          <w:color w:val="auto"/>
        </w:rPr>
        <w:tab/>
      </w:r>
      <w:r>
        <w:rPr>
          <w:rFonts w:ascii="Arial" w:cs="Arial" w:eastAsia="Arial" w:hAnsi="Arial"/>
          <w:sz w:val="18"/>
          <w:szCs w:val="18"/>
          <w:b w:val="1"/>
          <w:bCs w:val="1"/>
          <w:color w:val="auto"/>
        </w:rPr>
        <w:t>Eurocurrency Rate Loans</w:t>
      </w:r>
    </w:p>
    <w:p>
      <w:pPr>
        <w:spacing w:after="0" w:line="2" w:lineRule="exact"/>
        <w:rPr>
          <w:sz w:val="20"/>
          <w:szCs w:val="20"/>
          <w:color w:val="auto"/>
        </w:rPr>
      </w:pPr>
    </w:p>
    <w:p>
      <w:pPr>
        <w:ind w:left="300"/>
        <w:spacing w:after="0"/>
        <w:tabs>
          <w:tab w:leader="none" w:pos="1800" w:val="left"/>
          <w:tab w:leader="none" w:pos="5360" w:val="left"/>
          <w:tab w:leader="none" w:pos="7580" w:val="left"/>
          <w:tab w:leader="none" w:pos="9700" w:val="left"/>
        </w:tabs>
        <w:rPr>
          <w:sz w:val="20"/>
          <w:szCs w:val="20"/>
          <w:color w:val="auto"/>
        </w:rPr>
      </w:pPr>
      <w:r>
        <w:rPr>
          <w:rFonts w:ascii="Arial" w:cs="Arial" w:eastAsia="Arial" w:hAnsi="Arial"/>
          <w:sz w:val="18"/>
          <w:szCs w:val="18"/>
          <w:b w:val="1"/>
          <w:bCs w:val="1"/>
          <w:color w:val="auto"/>
        </w:rPr>
        <w:t>Level</w:t>
      </w:r>
      <w:r>
        <w:rPr>
          <w:sz w:val="20"/>
          <w:szCs w:val="20"/>
          <w:color w:val="auto"/>
        </w:rPr>
        <w:tab/>
      </w:r>
      <w:r>
        <w:rPr>
          <w:rFonts w:ascii="Arial" w:cs="Arial" w:eastAsia="Arial" w:hAnsi="Arial"/>
          <w:sz w:val="18"/>
          <w:szCs w:val="18"/>
          <w:b w:val="1"/>
          <w:bCs w:val="1"/>
          <w:color w:val="auto"/>
        </w:rPr>
        <w:t>Consolidated Net Leverage Ratio</w:t>
      </w:r>
      <w:r>
        <w:rPr>
          <w:sz w:val="20"/>
          <w:szCs w:val="20"/>
          <w:color w:val="auto"/>
        </w:rPr>
        <w:tab/>
      </w:r>
      <w:r>
        <w:rPr>
          <w:rFonts w:ascii="Arial" w:cs="Arial" w:eastAsia="Arial" w:hAnsi="Arial"/>
          <w:sz w:val="18"/>
          <w:szCs w:val="18"/>
          <w:b w:val="1"/>
          <w:bCs w:val="1"/>
          <w:color w:val="auto"/>
        </w:rPr>
        <w:t>Commitment Fee</w:t>
      </w:r>
      <w:r>
        <w:rPr>
          <w:sz w:val="20"/>
          <w:szCs w:val="20"/>
          <w:color w:val="auto"/>
        </w:rPr>
        <w:tab/>
      </w:r>
      <w:r>
        <w:rPr>
          <w:rFonts w:ascii="Arial" w:cs="Arial" w:eastAsia="Arial" w:hAnsi="Arial"/>
          <w:sz w:val="18"/>
          <w:szCs w:val="18"/>
          <w:b w:val="1"/>
          <w:bCs w:val="1"/>
          <w:color w:val="auto"/>
        </w:rPr>
        <w:t>and RFR Loans</w:t>
      </w:r>
      <w:r>
        <w:rPr>
          <w:sz w:val="20"/>
          <w:szCs w:val="20"/>
          <w:color w:val="auto"/>
        </w:rPr>
        <w:tab/>
      </w:r>
      <w:r>
        <w:rPr>
          <w:rFonts w:ascii="Arial" w:cs="Arial" w:eastAsia="Arial" w:hAnsi="Arial"/>
          <w:sz w:val="15"/>
          <w:szCs w:val="15"/>
          <w:b w:val="1"/>
          <w:bCs w:val="1"/>
          <w:color w:val="auto"/>
        </w:rPr>
        <w:t>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Less than or equal to 1.50 to 1.00</w:t>
      </w:r>
    </w:p>
    <w:p>
      <w:pPr>
        <w:spacing w:after="0" w:line="23"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Greater than 1.50 to 1.00, but less than or equal to 2.25 to 1.00</w:t>
      </w:r>
    </w:p>
    <w:p>
      <w:pPr>
        <w:spacing w:after="0" w:line="1"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Greater than 2.25 to 1.00, but less than or equal to 3.00 to 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0.150%</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1.25%</w:t>
            </w:r>
          </w:p>
        </w:tc>
        <w:tc>
          <w:tcPr>
            <w:tcW w:w="13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324"/>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0.175%</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1.50%</w:t>
            </w:r>
          </w:p>
        </w:tc>
        <w:tc>
          <w:tcPr>
            <w:tcW w:w="13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18"/>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0.200%</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1.75%</w:t>
            </w:r>
          </w:p>
        </w:tc>
        <w:tc>
          <w:tcPr>
            <w:tcW w:w="132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24"/>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0.250%</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2.00%</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-410845</wp:posOffset>
            </wp:positionV>
            <wp:extent cx="7132320"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0" w:space="580"/>
            <w:col w:w="3860" w:space="720"/>
            <w:col w:w="5480"/>
          </w:cols>
          <w:pgMar w:left="320" w:top="125" w:right="339" w:bottom="1440" w:gutter="0" w:footer="0" w:header="0"/>
          <w:type w:val="continuous"/>
        </w:sectPr>
      </w:pPr>
    </w:p>
    <w:p>
      <w:pPr>
        <w:spacing w:after="0" w:line="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10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Credit Facility provides for incremental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Credit Facility.</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$25.0 million per year) and other transactions as further defined in the Credit Facility. Some of these limitations, however, do not take effect so long as Consolidated Net Leverage Ratio is less than or equal to 2.75 to 1.00 and available liquidity exceeds $25.0 million. Substantially all of our domestic assets, with the exception of real property, are used as collateral for the Credit Agreement.</w:t>
      </w:r>
    </w:p>
    <w:p>
      <w:pPr>
        <w:spacing w:after="0" w:line="12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January 31, 2023, we had $100.0 million of borrowings outstanding under the Credit Facility (reduced by unamortized debt issuance costs of $1.4 million), $5.1 million of outstanding letters of credit and $55.1 million outstanding</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primarily under finance leases and other debt. We had $219.9 million available for use under the Credit Facility at January 31, 2023. Outstanding borrowings under the Credit Facility accrue interest at 5.91% per annum. Our weighted average borrowing rate for borrowings outstanding during the three months ended January 31, 2023 and 2022 was 5.43% and 1.35%, respectively. We were in compliance with our debt covenants as of January 31, 2023.</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Our non-contributory, single employer defined benefit pension plan covers certain of our employees in the U.S. The net periodic pension cost for this plan for the three months ended January 31, 2023 and 2022 was as follows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100" w:type="dxa"/>
            <w:vAlign w:val="bottom"/>
          </w:tcPr>
          <w:p>
            <w:pPr>
              <w:spacing w:after="0"/>
              <w:rPr>
                <w:sz w:val="16"/>
                <w:szCs w:val="16"/>
                <w:color w:val="auto"/>
              </w:rPr>
            </w:pPr>
          </w:p>
        </w:tc>
      </w:tr>
      <w:tr>
        <w:trPr>
          <w:trHeight w:val="203"/>
        </w:trPr>
        <w:tc>
          <w:tcPr>
            <w:tcW w:w="7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January 31,</w:t>
            </w:r>
          </w:p>
        </w:tc>
        <w:tc>
          <w:tcPr>
            <w:tcW w:w="1100" w:type="dxa"/>
            <w:vAlign w:val="bottom"/>
          </w:tcPr>
          <w:p>
            <w:pPr>
              <w:spacing w:after="0"/>
              <w:rPr>
                <w:sz w:val="17"/>
                <w:szCs w:val="17"/>
                <w:color w:val="auto"/>
              </w:rPr>
            </w:pPr>
          </w:p>
        </w:tc>
      </w:tr>
      <w:tr>
        <w:trPr>
          <w:trHeight w:val="26"/>
        </w:trPr>
        <w:tc>
          <w:tcPr>
            <w:tcW w:w="7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75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loss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periodic pension benefit</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During the three months ended January 31, 2022, we made no contributions to fund our plan. During fiscal 2023</w:t>
      </w:r>
      <w:r>
        <w:rPr>
          <w:rFonts w:ascii="Arial" w:cs="Arial" w:eastAsia="Arial" w:hAnsi="Arial"/>
          <w:sz w:val="16"/>
          <w:szCs w:val="16"/>
          <w:color w:val="auto"/>
        </w:rPr>
        <w:t>,</w:t>
      </w:r>
      <w:r>
        <w:rPr>
          <w:rFonts w:ascii="Arial" w:cs="Arial" w:eastAsia="Arial" w:hAnsi="Arial"/>
          <w:sz w:val="18"/>
          <w:szCs w:val="18"/>
          <w:color w:val="auto"/>
        </w:rPr>
        <w:t xml:space="preserve"> we do not expect to need to make a contribution to the pension plan to maintain targeted funding levels and meet minimum contribution requirements. During the year ended October 31, 2022, we notified participants that our pension plan will be terminated effective November 1, 2022, with final settlement expected to occur in the next twelve months, depending upon the timing of I.R.S. approvals. During the three months ended January 31, 2023, we reclassified the pension obligation of $3.9 million from long-term liabilities under the caption “Deferred Pension Benefits” to current liabilities under the caption “Accrued Liabilities” in the accompanying condensed consolidated balance sheets.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also have a supplemental benefit plan covering certain executive officers and key employees and a non-qualified deferred compensation plan covering members of the Board of Directors and certain key employees. As of January 31, 2023 and October 31, 2022, our liability under the supplemental benefit plan was approximately $1.9 million. As of January 31, 2023 and October 31, 2022, the liability associated with the deferred compensation plan was approximately $3.7 million and $3.3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 or decrease in valuation allowances on deferred tax assets. Our effective tax rates from continuing operations for the three months ended January 31, 2023 and 2022 were 19.18% and 17.70%, respectively. The difference between our effective income tax rate and the U.S. federal statutory rate of 21% principally results from discrete tax items, U.S. state tax, non-U.S. tax rate differential and other permanent differences. The primary discrete items affecting the 2023 effective rate was a benefit of $0.2 million related to the non-U.S. tax rate differential. The primary discrete items affecting the 2022 effective rate were the charge of $0.5 million related to the vesting or exercise of equity-based compensation awards and a benefit of $0.3 million for the true-up of our accruals and related deferred taxes from prior year filings.</w:t>
      </w:r>
    </w:p>
    <w:p>
      <w:pPr>
        <w:spacing w:after="0" w:line="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January 31, 2023, our liability for uncertain tax positions (UTP) of $1.4 million relates to certain U.S. federal and state tax items regarding the interpretation of tax laws and regulations, including a minimal amount of interest and penalties.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maintain a valuation allowance for certain state net operating losses which totaled $0.5 million as of January 31, 2023 and October 31, 2022.</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August 16, 2022 the Inflation Reduction Act of 2022 was signed into law. We are evaluating the regulations but do not believe they will result in a material impact to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2023.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3"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 of Assets and Liabilities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8" w:lineRule="exact"/>
        <w:rPr>
          <w:sz w:val="20"/>
          <w:szCs w:val="20"/>
          <w:color w:val="auto"/>
        </w:rPr>
      </w:pPr>
    </w:p>
    <w:p>
      <w:pPr>
        <w:ind w:left="480" w:hanging="148"/>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63"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2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asset or liability (e.g., interest rates) and inputs that are derived principally from or corroborated by observable market data by correlation or other means.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Level 3 - Inputs that are both significant to the fair value measurement and unobservable.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January 31, 2023, and October 31, 2022 (Level 2 measurement).</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performance share awards are marked-to-market on a quarterly basis during a three-year vesting period based on market data (Level 2 measurement). For further information, refer to Note 9, “Stock-Based Compensation - Performance Share Awards.”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used recognized valuation techniques to determine the preliminary fair value of the assets and liabilities, including the excess earnings method for customer relationships and relief from royalty method for trade names and other technology with a discount rate that reflects the risk of the expected future cash flows (Level 3 measurement). For further information, refer to Note 2,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non-vested restricted stock awards activity during the three months ended January 31, 2023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Restricted Stock Awards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ind w:right="41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Grant Date Fair Value per Share</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October 31, 2022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spacing w:after="0"/>
              <w:rPr>
                <w:sz w:val="20"/>
                <w:szCs w:val="20"/>
                <w:color w:val="auto"/>
              </w:rPr>
            </w:pPr>
            <w:r>
              <w:rPr>
                <w:rFonts w:ascii="Arial" w:cs="Arial" w:eastAsia="Arial" w:hAnsi="Arial"/>
                <w:sz w:val="18"/>
                <w:szCs w:val="18"/>
                <w:color w:val="auto"/>
              </w:rPr>
              <w:t>94,700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31, 2023</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259,800</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total weighted average grant-date fair value of restricted stock awards that vested during each of the three months ended January 31, 2023 and 2022 was $0.9 million and $1.1 million, respectively. As of January 31, 2023, total unrecognized compensation cost related to unamortized restricted stock awards was $3.7 million. We expect to recognize this expense over the remaining weighted average vesting period of 2.3 years.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 stock option expense ratably over the shorter of the vesting period or the period from the grant-date to the retirement-eligibility date.</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2022.</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three months ended January 31,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5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20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Value (000s)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175,117</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21.11</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166,117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Vested at January 31, 2023</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166,117</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19.34</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January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166,117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Intrinsic value is the amount by which the market price of the common stock on the date of exercise exceeds the exercise price of the stock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stock options exercised during the three months ended January 31, 2023 and 2022 was less than $0.1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three months ended January 31, 2023 and 2022, non-employee directors received 38,704 and 33,579 restricted stock units, respectively, at a weighted average grant date fair value of $20.67 per share and $22.54 per share, respectively, which vested immediately. During the three months ended January 31, 2023, 21,774 restricted stock units, which were awarded to key employees, have vested. During the three months ended January 31, 2023 we paid $0.4 million and $0.1 million for the comparable prior year to settle vested 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awarded annual grants of performance shares to key employees and officers. Performance share awards vest with return on net assets (RONA) as the vesting condition and pay out 100% in cash, and are accounted for as liability.</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Arial" w:cs="Arial" w:eastAsia="Arial" w:hAnsi="Arial"/>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98"/>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December 9, 2021</w:t>
            </w:r>
          </w:p>
        </w:tc>
        <w:tc>
          <w:tcPr>
            <w:tcW w:w="1040" w:type="dxa"/>
            <w:vAlign w:val="bottom"/>
          </w:tcPr>
          <w:p>
            <w:pPr>
              <w:jc w:val="right"/>
              <w:spacing w:after="0"/>
              <w:rPr>
                <w:sz w:val="20"/>
                <w:szCs w:val="20"/>
                <w:color w:val="auto"/>
              </w:rPr>
            </w:pPr>
            <w:r>
              <w:rPr>
                <w:rFonts w:ascii="Arial" w:cs="Arial" w:eastAsia="Arial" w:hAnsi="Arial"/>
                <w:sz w:val="18"/>
                <w:szCs w:val="18"/>
                <w:color w:val="auto"/>
              </w:rPr>
              <w:t>80,900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7, 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December 2022, 101,200 shares vested pursuant to the December 2018 grant, which were settled with a cash payment of $2.2 million.</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Performance share awards are payable in cash based upon the number of performance shares ultimately earned, and are therefore not considered outstanding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Criteria</w:t>
            </w:r>
          </w:p>
        </w:tc>
        <w:tc>
          <w:tcPr>
            <w:tcW w:w="3460" w:type="dxa"/>
            <w:vAlign w:val="bottom"/>
          </w:tcPr>
          <w:p>
            <w:pPr>
              <w:ind w:left="660"/>
              <w:spacing w:after="0"/>
              <w:rPr>
                <w:sz w:val="20"/>
                <w:szCs w:val="20"/>
                <w:color w:val="auto"/>
              </w:rPr>
            </w:pPr>
            <w:r>
              <w:rPr>
                <w:rFonts w:ascii="Arial" w:cs="Arial" w:eastAsia="Arial" w:hAnsi="Arial"/>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29"/>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-20%</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Arial" w:cs="Arial" w:eastAsia="Arial" w:hAnsi="Arial"/>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98"/>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December 9, 2021</w:t>
            </w:r>
          </w:p>
        </w:tc>
        <w:tc>
          <w:tcPr>
            <w:tcW w:w="1040" w:type="dxa"/>
            <w:vAlign w:val="bottom"/>
          </w:tcPr>
          <w:p>
            <w:pPr>
              <w:jc w:val="right"/>
              <w:spacing w:after="0"/>
              <w:rPr>
                <w:sz w:val="20"/>
                <w:szCs w:val="20"/>
                <w:color w:val="auto"/>
              </w:rPr>
            </w:pPr>
            <w:r>
              <w:rPr>
                <w:rFonts w:ascii="Arial" w:cs="Arial" w:eastAsia="Arial" w:hAnsi="Arial"/>
                <w:sz w:val="18"/>
                <w:szCs w:val="18"/>
                <w:color w:val="auto"/>
              </w:rPr>
              <w:t>50,900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7, 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January 31, 2023, 32,680 performance restricted stock units vested.</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January 31, 2023, we have deemed 42,962 shares related to the December 2020 grant of performance restricted stock units as probable to vest.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months ended January 31, 2023 and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100" w:type="dxa"/>
            <w:vAlign w:val="bottom"/>
          </w:tcPr>
          <w:p>
            <w:pPr>
              <w:spacing w:after="0"/>
              <w:rPr>
                <w:sz w:val="16"/>
                <w:szCs w:val="16"/>
                <w:color w:val="auto"/>
              </w:rPr>
            </w:pPr>
          </w:p>
        </w:tc>
      </w:tr>
      <w:tr>
        <w:trPr>
          <w:trHeight w:val="203"/>
        </w:trPr>
        <w:tc>
          <w:tcPr>
            <w:tcW w:w="7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January 31, 2023</w:t>
            </w:r>
          </w:p>
        </w:tc>
        <w:tc>
          <w:tcPr>
            <w:tcW w:w="1100" w:type="dxa"/>
            <w:vAlign w:val="bottom"/>
          </w:tcPr>
          <w:p>
            <w:pPr>
              <w:spacing w:after="0"/>
              <w:rPr>
                <w:sz w:val="17"/>
                <w:szCs w:val="17"/>
                <w:color w:val="auto"/>
              </w:rPr>
            </w:pPr>
          </w:p>
        </w:tc>
      </w:tr>
      <w:tr>
        <w:trPr>
          <w:trHeight w:val="26"/>
        </w:trPr>
        <w:tc>
          <w:tcPr>
            <w:tcW w:w="7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75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1,491</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awards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restricted stock units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8"/>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compensation expense</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three months ended January 31, 2023.</w:t>
      </w:r>
    </w:p>
    <w:p>
      <w:pPr>
        <w:sectPr>
          <w:pgSz w:w="11900" w:h="16838" w:orient="portrait"/>
          <w:cols w:equalWidth="0" w:num="1">
            <w:col w:w="11240"/>
          </w:cols>
          <w:pgMar w:left="320" w:top="125" w:right="339" w:bottom="1440" w:gutter="0" w:footer="0" w:header="0"/>
        </w:sectPr>
      </w:pP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treasury stock activity during the three months ended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 as of November 1, 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Restricted stock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Performance restricted stock units vested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January 31, 2023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Three Months Ended</w:t>
      </w:r>
    </w:p>
    <w:p>
      <w:pPr>
        <w:spacing w:after="0" w:line="53"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January 31, 2023</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4,081,806</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(94,700)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(32,680)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(5,000)</w:t>
      </w:r>
    </w:p>
    <w:p>
      <w:pPr>
        <w:spacing w:after="0" w:line="3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3,949,426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47625</wp:posOffset>
            </wp:positionV>
            <wp:extent cx="1388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709" w:lineRule="exact"/>
        <w:rPr>
          <w:sz w:val="20"/>
          <w:szCs w:val="20"/>
          <w:color w:val="auto"/>
        </w:rPr>
      </w:pPr>
    </w:p>
    <w:p>
      <w:pPr>
        <w:sectPr>
          <w:pgSz w:w="11900" w:h="16838" w:orient="portrait"/>
          <w:cols w:equalWidth="0" w:num="2">
            <w:col w:w="8780" w:space="720"/>
            <w:col w:w="1740"/>
          </w:cols>
          <w:pgMar w:left="320" w:top="125" w:right="339" w:bottom="1440" w:gutter="0" w:footer="0" w:header="0"/>
          <w:type w:val="continuous"/>
        </w:sectPr>
      </w:pPr>
    </w:p>
    <w:p>
      <w:pPr>
        <w:ind w:firstLine="445"/>
        <w:spacing w:after="0" w:line="277" w:lineRule="auto"/>
        <w:rPr>
          <w:sz w:val="20"/>
          <w:szCs w:val="20"/>
          <w:color w:val="auto"/>
        </w:rPr>
      </w:pPr>
      <w:r>
        <w:rPr>
          <w:rFonts w:ascii="Arial" w:cs="Arial" w:eastAsia="Arial" w:hAnsi="Arial"/>
          <w:sz w:val="18"/>
          <w:szCs w:val="18"/>
          <w:color w:val="auto"/>
        </w:rPr>
        <w:t>Other, net on the condensed consolidated statements of income consisted of the following for the three months ended January 31, 2023 and 2022 (in thousands):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100" w:type="dxa"/>
            <w:vAlign w:val="bottom"/>
          </w:tcPr>
          <w:p>
            <w:pPr>
              <w:spacing w:after="0"/>
              <w:rPr>
                <w:sz w:val="16"/>
                <w:szCs w:val="16"/>
                <w:color w:val="auto"/>
              </w:rPr>
            </w:pPr>
          </w:p>
        </w:tc>
      </w:tr>
      <w:tr>
        <w:trPr>
          <w:trHeight w:val="203"/>
        </w:trPr>
        <w:tc>
          <w:tcPr>
            <w:tcW w:w="7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January 31,</w:t>
            </w:r>
          </w:p>
        </w:tc>
        <w:tc>
          <w:tcPr>
            <w:tcW w:w="1100" w:type="dxa"/>
            <w:vAlign w:val="bottom"/>
          </w:tcPr>
          <w:p>
            <w:pPr>
              <w:spacing w:after="0"/>
              <w:rPr>
                <w:sz w:val="17"/>
                <w:szCs w:val="17"/>
                <w:color w:val="auto"/>
              </w:rPr>
            </w:pPr>
          </w:p>
        </w:tc>
      </w:tr>
      <w:tr>
        <w:trPr>
          <w:trHeight w:val="25"/>
        </w:trPr>
        <w:tc>
          <w:tcPr>
            <w:tcW w:w="7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5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gains (losses)</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Foreign currency derivative losses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service benefit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75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7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present three reportable business segments (1) NA Fenestration, comprising four operating segments in 2023 (compared to three operating segments in 2022) primarily focused on the fenestration market in North America including vinyl profiles, insulating glass spacers, screens, custom compound mixing, and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The additional NA Fenestration operating segment in 2023 is related to the Acquisition of LMI, an advanced polymer solutions provider with a focus on advanced methods for mixing rubber compounds. For additional discussion of our Acquisition of LMI, see Note 2, “Acquisition.” Additionally,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month period ended January 31, 2023 was $4.3 million and $5.8 million for the comparable prior year period.</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13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Segment information for the three months ended January 31, 2023 and 2022, and total assets as of January 31, 2023 and October 31, 2022 are summarized in the following table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 Cabinet Comp.</w:t>
            </w: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260" w:type="dxa"/>
            <w:vAlign w:val="bottom"/>
            <w:tcBorders>
              <w:top w:val="single" w:sz="8" w:color="CCEEFF"/>
            </w:tcBorders>
            <w:gridSpan w:val="3"/>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Three Months Ended January 31, 2023</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15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152,980</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54,952</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54,674</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261,916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Three Months Ended January 31, 2022</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 of January 31, 2023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assets</w:t>
            </w:r>
          </w:p>
        </w:tc>
        <w:tc>
          <w:tcPr>
            <w:tcW w:w="268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387,975</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235,510</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168,823</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34,718</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827,026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As of October 31, 2022</w:t>
            </w:r>
          </w:p>
        </w:tc>
        <w:tc>
          <w:tcPr>
            <w:tcW w:w="268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279,139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223,729</w:t>
            </w:r>
          </w:p>
        </w:tc>
        <w:tc>
          <w:tcPr>
            <w:tcW w:w="1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176,154</w:t>
            </w:r>
          </w:p>
        </w:tc>
        <w:tc>
          <w:tcPr>
            <w:tcW w:w="1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45,595</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724,617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change in the carrying amount of goodwill by reportable business segment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2023 (in thousands):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0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 Cabinet Comp.</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Unallocated Corp.</w:t>
            </w:r>
          </w:p>
        </w:tc>
        <w:tc>
          <w:tcPr>
            <w:tcW w:w="28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59,996</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137,855</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LMI acquisition</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42,091</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Balance as of January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80,803</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64,756</w:t>
            </w: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184,706</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4, “Goodwill &amp; Intangible Assets,” located herewith.</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income as reported above to net income for the three months ended January 31, 2023 and 2022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100" w:type="dxa"/>
            <w:vAlign w:val="bottom"/>
          </w:tcPr>
          <w:p>
            <w:pPr>
              <w:spacing w:after="0"/>
              <w:rPr>
                <w:sz w:val="16"/>
                <w:szCs w:val="16"/>
                <w:color w:val="auto"/>
              </w:rPr>
            </w:pPr>
          </w:p>
        </w:tc>
      </w:tr>
      <w:tr>
        <w:trPr>
          <w:trHeight w:val="203"/>
        </w:trPr>
        <w:tc>
          <w:tcPr>
            <w:tcW w:w="7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January 31,</w:t>
            </w:r>
          </w:p>
        </w:tc>
        <w:tc>
          <w:tcPr>
            <w:tcW w:w="1100" w:type="dxa"/>
            <w:vAlign w:val="bottom"/>
          </w:tcPr>
          <w:p>
            <w:pPr>
              <w:spacing w:after="0"/>
              <w:rPr>
                <w:sz w:val="17"/>
                <w:szCs w:val="17"/>
                <w:color w:val="auto"/>
              </w:rPr>
            </w:pPr>
          </w:p>
        </w:tc>
      </w:tr>
      <w:tr>
        <w:trPr>
          <w:trHeight w:val="26"/>
        </w:trPr>
        <w:tc>
          <w:tcPr>
            <w:tcW w:w="7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(2,259)</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r>
      <w:tr>
        <w:trPr>
          <w:trHeight w:val="248"/>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Basic and diluted earnings per share for the three months ended January 31, 2023 and 2022 were calculated as follows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46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648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Three Months Ended January 31, 2023</w:t>
            </w: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Basic earnings per common share</w:t>
            </w:r>
          </w:p>
        </w:tc>
        <w:tc>
          <w:tcPr>
            <w:tcW w:w="37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32,951</w:t>
            </w:r>
          </w:p>
        </w:tc>
        <w:tc>
          <w:tcPr>
            <w:tcW w:w="4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33,137</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2"/>
            <w:vMerge w:val="restart"/>
          </w:tcPr>
          <w:p>
            <w:pPr>
              <w:spacing w:after="0" w:line="162" w:lineRule="exact"/>
              <w:rPr>
                <w:sz w:val="20"/>
                <w:szCs w:val="20"/>
                <w:color w:val="auto"/>
              </w:rPr>
            </w:pPr>
            <w:r>
              <w:rPr>
                <w:rFonts w:ascii="Arial" w:cs="Arial" w:eastAsia="Arial" w:hAnsi="Arial"/>
                <w:sz w:val="16"/>
                <w:szCs w:val="16"/>
                <w:b w:val="1"/>
                <w:bCs w:val="1"/>
                <w:color w:val="auto"/>
              </w:rPr>
              <w:t>Three Months Ended January 31, 2022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33,124</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11,239</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There were no anti-dilutive instruments for the three months ended January 31, 2023 and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New Accounting Guidance</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months ended January 31, 2023. As of January 31, 2023,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Certain of the statements contained in this document and in documents incorporated by reference herein, including those made under the caption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are “forward-looking” statements as defined under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98" w:lineRule="exact"/>
        <w:rPr>
          <w:sz w:val="20"/>
          <w:szCs w:val="20"/>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from public health issues (including pandemics, such as the COVID-19 pandemic and quarantines) on the economy, demand for our products or our operations, including the responses of governmental authorities to contain such public health issues;</w:t>
      </w:r>
    </w:p>
    <w:p>
      <w:pPr>
        <w:spacing w:after="0" w:line="8"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availability and prices of raw material including inflationary pressures and supply chain challenges, which could be exacerbated by political or global unrest such as the current military conflict in Ukraine;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skilled labor;</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energy costs and the availability of energy;</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good relationships with our suppliers, subcontractors, and key customers;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4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Annual Report on Form 10-K for the fiscal year ended October 31,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January 31, 2023, and for the three months ended January 31, 2023 and 2022, included elsewhere herein. For additional information pertaining to our business, including risk factors which should be considered before investing in our common stock, refer to our Annual Report on Form 10-K for the fiscal year ended October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customized compounds,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12"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1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currently have three reportable business segments: (1) North American Fenestration segment (“NA Fenestration”), comprising four operating segments, manufacturing vinyl profiles, IG spacers, screens, custom compound mixing,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November 1, 2022, we entered into an Asset Purchase Agreement with LMI and the equity owners of LMI, Lauren International, Ltd. and Meteor-US-Beteiligungs GMBH. Under the Purchase Agreement, we acquired substantially all of the operating assets comprising LMI’s polymer mixing and rubber compound production business and also agreed to assume certain liabilities relating to the Acquisition. As consideration for the Purchased Assets, we agreed to pay LMI $92 million in cash, with $7.1 million of this amount funded into escrow substantially as security for the seller parties’ indemnification obligations.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4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U.S. and global markets are experiencing volatility and disruption following the escalation of geopolitical tensions and the military conflict between Russia and Ukraine. Although the length and impact of the ongoing military conflict is highly unpredictable, the conflict in Ukraine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same time last year resulting in the increase in natural gas prices and the potential for natural gas shortages. If this trend continues, this would not only negatively impact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European manufacturing facilities, this may also impact our customers and their demand for our products. We continue to monitor these situations and their impact on our business.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March 11, 2020, the WHO declared the outbreak of COVID-19 to be a global pandemic and recommended containment and mitigation measures. Many of the limitations and mandates on operations have been lifted, however, the COVID-19 pandemic and its related effects continue to have an adverse effect on many sectors of the economy and we may be further impacted.</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war in Ukraine and the impact of COVID-19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11"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 xml:space="preserve">In February </w:t>
      </w:r>
      <w:r>
        <w:rPr>
          <w:rFonts w:ascii="Arial" w:cs="Arial" w:eastAsia="Arial" w:hAnsi="Arial"/>
          <w:sz w:val="16"/>
          <w:szCs w:val="16"/>
          <w:color w:val="auto"/>
        </w:rPr>
        <w:t>2023</w:t>
      </w:r>
      <w:r>
        <w:rPr>
          <w:rFonts w:ascii="Arial" w:cs="Arial" w:eastAsia="Arial" w:hAnsi="Arial"/>
          <w:sz w:val="18"/>
          <w:szCs w:val="18"/>
          <w:color w:val="auto"/>
        </w:rPr>
        <w:t xml:space="preserve">, the NAHB forecasted calendar-year housing starts to be 1.1 million in the 2023 calendar-year and 1.3 million in 2024. In February </w:t>
      </w:r>
      <w:r>
        <w:rPr>
          <w:rFonts w:ascii="Arial" w:cs="Arial" w:eastAsia="Arial" w:hAnsi="Arial"/>
          <w:sz w:val="16"/>
          <w:szCs w:val="16"/>
          <w:color w:val="auto"/>
        </w:rPr>
        <w:t>2023</w:t>
      </w:r>
      <w:r>
        <w:rPr>
          <w:rFonts w:ascii="Arial" w:cs="Arial" w:eastAsia="Arial" w:hAnsi="Arial"/>
          <w:sz w:val="17"/>
          <w:szCs w:val="17"/>
          <w:color w:val="auto"/>
        </w:rPr>
        <w:t>, the Ducker forecast indicated that total window shipments are expected to increase 1% for calendar-year 2022 and decrease 5.7% in 2023. In</w:t>
      </w:r>
      <w:r>
        <w:rPr>
          <w:rFonts w:ascii="Arial" w:cs="Arial" w:eastAsia="Arial" w:hAnsi="Arial"/>
          <w:sz w:val="16"/>
          <w:szCs w:val="16"/>
          <w:color w:val="auto"/>
        </w:rPr>
        <w:t xml:space="preserve"> </w:t>
      </w:r>
      <w:r>
        <w:rPr>
          <w:rFonts w:ascii="Arial" w:cs="Arial" w:eastAsia="Arial" w:hAnsi="Arial"/>
          <w:sz w:val="17"/>
          <w:szCs w:val="17"/>
          <w:color w:val="auto"/>
        </w:rPr>
        <w:t xml:space="preserve">February </w:t>
      </w:r>
      <w:r>
        <w:rPr>
          <w:rFonts w:ascii="Arial" w:cs="Arial" w:eastAsia="Arial" w:hAnsi="Arial"/>
          <w:sz w:val="16"/>
          <w:szCs w:val="16"/>
          <w:color w:val="auto"/>
        </w:rPr>
        <w:t>2023</w:t>
      </w:r>
      <w:r>
        <w:rPr>
          <w:rFonts w:ascii="Arial" w:cs="Arial" w:eastAsia="Arial" w:hAnsi="Arial"/>
          <w:sz w:val="17"/>
          <w:szCs w:val="17"/>
          <w:color w:val="auto"/>
        </w:rPr>
        <w:t>, Catalina Research estimated that residential semi-custom cabinet sales in the U.S. is estimated to decrease 3.6% in 2023 and increase 1.9% in 2024.</w:t>
      </w:r>
    </w:p>
    <w:p>
      <w:pPr>
        <w:spacing w:after="0" w:line="11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programs.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Three Months Ended </w:t>
      </w:r>
      <w:r>
        <w:rPr>
          <w:rFonts w:ascii="Arial" w:cs="Arial" w:eastAsia="Arial" w:hAnsi="Arial"/>
          <w:sz w:val="17"/>
          <w:szCs w:val="17"/>
          <w:b w:val="1"/>
          <w:bCs w:val="1"/>
          <w:i w:val="1"/>
          <w:iCs w:val="1"/>
          <w:color w:val="auto"/>
        </w:rPr>
        <w:t>January 31, 2023 Compared to</w:t>
      </w:r>
      <w:r>
        <w:rPr>
          <w:rFonts w:ascii="Arial" w:cs="Arial" w:eastAsia="Arial" w:hAnsi="Arial"/>
          <w:sz w:val="16"/>
          <w:szCs w:val="16"/>
          <w:b w:val="1"/>
          <w:bCs w:val="1"/>
          <w:i w:val="1"/>
          <w:iCs w:val="1"/>
          <w:color w:val="auto"/>
        </w:rPr>
        <w:t xml:space="preserve"> Three Months Ended January 31, </w:t>
      </w:r>
      <w:r>
        <w:rPr>
          <w:rFonts w:ascii="Arial" w:cs="Arial" w:eastAsia="Arial" w:hAnsi="Arial"/>
          <w:sz w:val="17"/>
          <w:szCs w:val="17"/>
          <w:b w:val="1"/>
          <w:bCs w:val="1"/>
          <w:i w:val="1"/>
          <w:iCs w:val="1"/>
          <w:color w:val="auto"/>
        </w:rPr>
        <w:t>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6"/>
                <w:szCs w:val="16"/>
                <w:b w:val="1"/>
                <w:bCs w:val="1"/>
                <w:color w:val="auto"/>
                <w:w w:val="93"/>
              </w:rPr>
              <w:t>Three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 $</w:t>
            </w:r>
          </w:p>
        </w:tc>
        <w:tc>
          <w:tcPr>
            <w:tcW w:w="1400" w:type="dxa"/>
            <w:vAlign w:val="bottom"/>
          </w:tcPr>
          <w:p>
            <w:pPr>
              <w:jc w:val="right"/>
              <w:ind w:right="273"/>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267,040</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Cost of sales (excluding depreciation and amortization)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210,149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211,834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Arial" w:cs="Arial" w:eastAsia="Arial" w:hAnsi="Arial"/>
                <w:sz w:val="18"/>
                <w:szCs w:val="18"/>
                <w:color w:val="auto"/>
              </w:rPr>
              <w:t>Our period-over-period results by reportable segment follow.</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NA Fenestration</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6"/>
                <w:szCs w:val="16"/>
                <w:b w:val="1"/>
                <w:bCs w:val="1"/>
                <w:color w:val="auto"/>
                <w:w w:val="93"/>
              </w:rPr>
              <w:t>Three Months Ended July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 Change</w:t>
            </w:r>
          </w:p>
        </w:tc>
        <w:tc>
          <w:tcPr>
            <w:tcW w:w="14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 Variance</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7"/>
          </w:tcPr>
          <w:p>
            <w:pPr>
              <w:jc w:val="center"/>
              <w:ind w:right="380"/>
              <w:spacing w:after="0"/>
              <w:rPr>
                <w:sz w:val="20"/>
                <w:szCs w:val="20"/>
                <w:color w:val="auto"/>
              </w:rPr>
            </w:pPr>
            <w:r>
              <w:rPr>
                <w:rFonts w:ascii="Arial" w:cs="Arial" w:eastAsia="Arial" w:hAnsi="Arial"/>
                <w:sz w:val="13"/>
                <w:szCs w:val="13"/>
                <w:b w:val="1"/>
                <w:bCs w:val="1"/>
                <w:color w:val="auto"/>
                <w:w w:val="87"/>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152,980</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146,631</w:t>
            </w:r>
          </w:p>
        </w:tc>
        <w:tc>
          <w:tcPr>
            <w:tcW w:w="1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493"/>
              <w:spacing w:after="0"/>
              <w:rPr>
                <w:sz w:val="20"/>
                <w:szCs w:val="20"/>
                <w:color w:val="auto"/>
              </w:rPr>
            </w:pPr>
            <w:r>
              <w:rPr>
                <w:rFonts w:ascii="Arial" w:cs="Arial" w:eastAsia="Arial" w:hAnsi="Arial"/>
                <w:sz w:val="18"/>
                <w:szCs w:val="18"/>
                <w:color w:val="auto"/>
                <w:w w:val="88"/>
              </w:rPr>
              <w:t>6,349</w:t>
            </w:r>
          </w:p>
        </w:tc>
        <w:tc>
          <w:tcPr>
            <w:tcW w:w="14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ind w:left="80"/>
              <w:spacing w:after="0"/>
              <w:rPr>
                <w:sz w:val="20"/>
                <w:szCs w:val="20"/>
                <w:color w:val="auto"/>
              </w:rPr>
            </w:pPr>
            <w:r>
              <w:rPr>
                <w:rFonts w:ascii="Arial" w:cs="Arial" w:eastAsia="Arial" w:hAnsi="Arial"/>
                <w:sz w:val="18"/>
                <w:szCs w:val="18"/>
                <w:color w:val="auto"/>
              </w:rPr>
              <w:t>Cost of sales (excluding depreciation and amortization)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124,717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left="493"/>
              <w:spacing w:after="0"/>
              <w:rPr>
                <w:sz w:val="20"/>
                <w:szCs w:val="20"/>
                <w:color w:val="auto"/>
              </w:rPr>
            </w:pPr>
            <w:r>
              <w:rPr>
                <w:rFonts w:ascii="Arial" w:cs="Arial" w:eastAsia="Arial" w:hAnsi="Arial"/>
                <w:sz w:val="18"/>
                <w:szCs w:val="18"/>
                <w:color w:val="auto"/>
                <w:w w:val="88"/>
              </w:rPr>
              <w:t>8,753</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13,295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453"/>
              <w:spacing w:after="0"/>
              <w:rPr>
                <w:sz w:val="20"/>
                <w:szCs w:val="20"/>
                <w:color w:val="auto"/>
              </w:rPr>
            </w:pPr>
            <w:r>
              <w:rPr>
                <w:rFonts w:ascii="Arial" w:cs="Arial" w:eastAsia="Arial" w:hAnsi="Arial"/>
                <w:sz w:val="18"/>
                <w:szCs w:val="18"/>
                <w:color w:val="auto"/>
                <w:w w:val="91"/>
              </w:rPr>
              <w:t>(1,082)</w:t>
            </w:r>
          </w:p>
        </w:tc>
        <w:tc>
          <w:tcPr>
            <w:tcW w:w="14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5,245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left="493"/>
              <w:spacing w:after="0"/>
              <w:rPr>
                <w:sz w:val="20"/>
                <w:szCs w:val="20"/>
                <w:color w:val="auto"/>
              </w:rPr>
            </w:pPr>
            <w:r>
              <w:rPr>
                <w:rFonts w:ascii="Arial" w:cs="Arial" w:eastAsia="Arial" w:hAnsi="Arial"/>
                <w:sz w:val="18"/>
                <w:szCs w:val="18"/>
                <w:color w:val="auto"/>
                <w:w w:val="88"/>
              </w:rPr>
              <w:t>1,106</w:t>
            </w:r>
          </w:p>
        </w:tc>
        <w:tc>
          <w:tcPr>
            <w:tcW w:w="140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5"/>
              </w:rPr>
              <w:t>(27)%</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9,723</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1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center"/>
              <w:ind w:left="453"/>
              <w:spacing w:after="0"/>
              <w:rPr>
                <w:sz w:val="20"/>
                <w:szCs w:val="20"/>
                <w:color w:val="auto"/>
              </w:rPr>
            </w:pPr>
            <w:r>
              <w:rPr>
                <w:rFonts w:ascii="Arial" w:cs="Arial" w:eastAsia="Arial" w:hAnsi="Arial"/>
                <w:sz w:val="18"/>
                <w:szCs w:val="18"/>
                <w:color w:val="auto"/>
                <w:w w:val="91"/>
              </w:rPr>
              <w:t>(2,428)</w:t>
            </w:r>
          </w:p>
        </w:tc>
        <w:tc>
          <w:tcPr>
            <w:tcW w:w="14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margin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6 %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$6.3 million, or 4%, for the three months ended January 31, 2023 compared to the same period in 2022,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$16.5 million contribution from LMI in 2023 and an increase in price and raw material surcharges of $5.1 million partially offset by a $15.2 million decrease in volumes due to customer destocking, softer market demand driven by weaker consumer confidence and a return to normal seasonality.</w:t>
      </w:r>
    </w:p>
    <w:p>
      <w:pPr>
        <w:spacing w:after="0" w:line="12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$8.8 million, or 8%, for the three months ended January 31, 2023 as compared to the same period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sales, including labor, increased primarily due to LMI’s cost of sales in 2023 and inflation of raw materials partially offset by lower volumes during the period.</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decreased $1.1 million, or 8%,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31, 2023 as compared to the same period in 2022. This decrease was primarily due to a decrease in labor costs and professional fees partially offset by an increase in miscellaneous general expenses year-over-year.</w:t>
      </w:r>
    </w:p>
    <w:p>
      <w:pPr>
        <w:spacing w:after="0" w:line="116"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increased $1.1 million, or 27%, for the three months ended January 31, 2023</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the same period in 2022, primarily due to the Acquisition of LMI’s property, plant and equipment and intangible assets.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6"/>
                <w:szCs w:val="16"/>
                <w:b w:val="1"/>
                <w:bCs w:val="1"/>
                <w:color w:val="auto"/>
                <w:w w:val="97"/>
              </w:rPr>
              <w:t>Three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 Change</w:t>
            </w:r>
          </w:p>
        </w:tc>
        <w:tc>
          <w:tcPr>
            <w:tcW w:w="14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right"/>
              <w:ind w:right="814"/>
              <w:spacing w:after="0"/>
              <w:rPr>
                <w:sz w:val="20"/>
                <w:szCs w:val="20"/>
                <w:color w:val="auto"/>
              </w:rPr>
            </w:pPr>
            <w:r>
              <w:rPr>
                <w:rFonts w:ascii="Arial" w:cs="Arial" w:eastAsia="Arial" w:hAnsi="Arial"/>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54,952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58,914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4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37,703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41,227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(3,524)</w:t>
            </w: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400" w:type="dxa"/>
            <w:vAlign w:val="bottom"/>
            <w:tcBorders>
              <w:bottom w:val="single" w:sz="8" w:color="CCEEFF"/>
            </w:tcBorders>
          </w:tcPr>
          <w:p>
            <w:pPr>
              <w:jc w:val="right"/>
              <w:ind w:right="43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7,815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0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13 %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decreased $4.0 million, or 7%, comparing the three months ended January 31, 2023 to the same period in 2022,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driven by $6.0 million of foreign currency rate changes and a $4.4 million decrease in volumes due to customer destocking, softer market demand driven by weaker consumer confidence and a return to normal seasonality, partially offset by $6.4 million of base price increases.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The cost of sales decreased $3.5 million, or 9%, for the three months ended January 31, 2023 compared to the same period in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sales decreased primarily due to a decrease in volumes and foreign currency impacts partially offset by inflation of raw materials.</w:t>
      </w:r>
    </w:p>
    <w:p>
      <w:pPr>
        <w:spacing w:after="0" w:line="14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$0.2 million, or 3%,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31, 2023 compared to the same period in 2022. The increase is primarily due to higher compensation and miscellaneous general expenses partially offset by a decrease in professional fees and foreign currency impacts year-over-year.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6"/>
                <w:szCs w:val="16"/>
                <w:b w:val="1"/>
                <w:bCs w:val="1"/>
                <w:color w:val="auto"/>
                <w:w w:val="97"/>
              </w:rPr>
              <w:t>Three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right"/>
              <w:ind w:right="814"/>
              <w:spacing w:after="0"/>
              <w:rPr>
                <w:sz w:val="20"/>
                <w:szCs w:val="20"/>
                <w:color w:val="auto"/>
              </w:rPr>
            </w:pPr>
            <w:r>
              <w:rPr>
                <w:rFonts w:ascii="Arial" w:cs="Arial" w:eastAsia="Arial" w:hAnsi="Arial"/>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54,674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62,353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4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30"/>
        </w:trPr>
        <w:tc>
          <w:tcPr>
            <w:tcW w:w="544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48,056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55,073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(7,017)</w:t>
            </w:r>
          </w:p>
        </w:tc>
        <w:tc>
          <w:tcPr>
            <w:tcW w:w="1400" w:type="dxa"/>
            <w:vAlign w:val="bottom"/>
          </w:tcPr>
          <w:p>
            <w:pPr>
              <w:jc w:val="center"/>
              <w:ind w:left="14"/>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40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loss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$7.7 million, or 12%, for the three months ended January 31, 2023 compared to the same period in 2022,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an $11.0 million decrease in volumes due to softer market demand driven by weaker consumer confidence and a return to normal seasonality partially offset by a $3.3 million increase in price and raw material indexes.</w:t>
      </w:r>
    </w:p>
    <w:p>
      <w:pPr>
        <w:spacing w:after="0" w:line="11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$7.0 million, or 13%, for the three months ended January 31, 2023 compared with the same period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lower volumes year-over-year partially offset by lumber price inflation, which is recovered on a lag.</w:t>
      </w:r>
    </w:p>
    <w:p>
      <w:pPr>
        <w:spacing w:after="0" w:line="10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decreased $0.4 million, or 8%,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31, 2023 compared to the same period in 2022 due to a decrease in labor costs partially offset by an increase in miscellaneous general expenses year-over-year.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6"/>
                <w:szCs w:val="16"/>
                <w:b w:val="1"/>
                <w:bCs w:val="1"/>
                <w:color w:val="auto"/>
                <w:w w:val="97"/>
              </w:rPr>
              <w:t>Three Months Ended July 31,</w:t>
            </w:r>
          </w:p>
        </w:tc>
        <w:tc>
          <w:tcPr>
            <w:tcW w:w="1420" w:type="dxa"/>
            <w:vAlign w:val="bottom"/>
            <w:tcBorders>
              <w:bottom w:val="single" w:sz="8" w:color="auto"/>
            </w:tcBorders>
          </w:tcPr>
          <w:p>
            <w:pPr>
              <w:spacing w:after="0"/>
              <w:rPr>
                <w:sz w:val="18"/>
                <w:szCs w:val="18"/>
                <w:color w:val="auto"/>
              </w:rPr>
            </w:pPr>
          </w:p>
        </w:tc>
      </w:tr>
      <w:tr>
        <w:trPr>
          <w:trHeight w:val="193"/>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 Change</w:t>
            </w: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Variance %</w:t>
            </w:r>
          </w:p>
        </w:tc>
      </w:tr>
      <w:tr>
        <w:trPr>
          <w:trHeight w:val="181"/>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4"/>
          </w:tcPr>
          <w:p>
            <w:pPr>
              <w:jc w:val="right"/>
              <w:ind w:right="694"/>
              <w:spacing w:after="0"/>
              <w:rPr>
                <w:sz w:val="20"/>
                <w:szCs w:val="20"/>
                <w:color w:val="auto"/>
              </w:rPr>
            </w:pPr>
            <w:r>
              <w:rPr>
                <w:rFonts w:ascii="Arial" w:cs="Arial" w:eastAsia="Arial" w:hAnsi="Arial"/>
                <w:sz w:val="13"/>
                <w:szCs w:val="13"/>
                <w:b w:val="1"/>
                <w:bCs w:val="1"/>
                <w:color w:val="auto"/>
              </w:rPr>
              <w:t>(Dollars in thousands)</w:t>
            </w:r>
          </w:p>
        </w:tc>
        <w:tc>
          <w:tcPr>
            <w:tcW w:w="1420" w:type="dxa"/>
            <w:vAlign w:val="bottom"/>
          </w:tcPr>
          <w:p>
            <w:pPr>
              <w:spacing w:after="0"/>
              <w:rPr>
                <w:sz w:val="15"/>
                <w:szCs w:val="15"/>
                <w:color w:val="auto"/>
              </w:rPr>
            </w:pPr>
          </w:p>
        </w:tc>
      </w:tr>
      <w:tr>
        <w:trPr>
          <w:trHeight w:val="23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20%</w:t>
            </w:r>
          </w:p>
        </w:tc>
      </w:tr>
      <w:tr>
        <w:trPr>
          <w:trHeight w:val="229"/>
        </w:trPr>
        <w:tc>
          <w:tcPr>
            <w:tcW w:w="560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1420" w:type="dxa"/>
            <w:vAlign w:val="bottom"/>
          </w:tcPr>
          <w:p>
            <w:pPr>
              <w:jc w:val="center"/>
              <w:ind w:left="14"/>
              <w:spacing w:after="0"/>
              <w:rPr>
                <w:sz w:val="20"/>
                <w:szCs w:val="20"/>
                <w:color w:val="auto"/>
              </w:rPr>
            </w:pPr>
            <w:r>
              <w:rPr>
                <w:rFonts w:ascii="Arial" w:cs="Arial" w:eastAsia="Arial" w:hAnsi="Arial"/>
                <w:sz w:val="18"/>
                <w:szCs w:val="18"/>
                <w:color w:val="auto"/>
                <w:w w:val="91"/>
              </w:rPr>
              <w:t>(24)%</w:t>
            </w:r>
          </w:p>
        </w:tc>
      </w:tr>
      <w:tr>
        <w:trPr>
          <w:trHeight w:val="229"/>
        </w:trPr>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4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2"/>
              </w:rPr>
              <w:t>(186)%</w:t>
            </w:r>
          </w:p>
        </w:tc>
      </w:tr>
      <w:tr>
        <w:trPr>
          <w:trHeight w:val="230"/>
        </w:trPr>
        <w:tc>
          <w:tcPr>
            <w:tcW w:w="5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2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4"/>
              </w:rPr>
              <w:t>(8)%</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142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2"/>
              </w:rPr>
              <w:t>(163)%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three months ended January 31, 2023</w:t>
      </w:r>
      <w:r>
        <w:rPr>
          <w:rFonts w:ascii="Arial" w:cs="Arial" w:eastAsia="Arial" w:hAnsi="Arial"/>
          <w:sz w:val="18"/>
          <w:szCs w:val="18"/>
          <w:i w:val="1"/>
          <w:iCs w:val="1"/>
          <w:color w:val="auto"/>
        </w:rPr>
        <w:t xml:space="preserve"> </w:t>
      </w:r>
      <w:r>
        <w:rPr>
          <w:rFonts w:ascii="Arial" w:cs="Arial" w:eastAsia="Arial" w:hAnsi="Arial"/>
          <w:sz w:val="18"/>
          <w:szCs w:val="18"/>
          <w:color w:val="auto"/>
        </w:rPr>
        <w:t>and 2022.</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Selling, general and administrative expenses increased $7.2 million, or 186%,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31, 2023 compared to the same period in 2022. This increase is primarily attributable to $5.4 million of transaction fees and a $2.0 million increase in compensation expense including the valuations of our stock based compensation awards, partially offset by a decrease of $0.6 million related to medical expense claims during the three months ended January 31, 2023 as compared to the prior year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90"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$1.7 million for the three months ended January 31, 2023 compared to the same period in 2022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higher borrowings outstanding during the period and an increase in interest rates.</w:t>
      </w:r>
    </w:p>
    <w:p>
      <w:pPr>
        <w:spacing w:after="0" w:line="11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recorded income tax expense of $0.5 million on pre-tax</w:t>
      </w:r>
      <w:r>
        <w:rPr>
          <w:rFonts w:ascii="Arial" w:cs="Arial" w:eastAsia="Arial" w:hAnsi="Arial"/>
          <w:sz w:val="16"/>
          <w:szCs w:val="16"/>
          <w:i w:val="1"/>
          <w:iCs w:val="1"/>
          <w:color w:val="auto"/>
        </w:rPr>
        <w:t xml:space="preserve"> </w:t>
      </w:r>
      <w:r>
        <w:rPr>
          <w:rFonts w:ascii="Arial" w:cs="Arial" w:eastAsia="Arial" w:hAnsi="Arial"/>
          <w:sz w:val="14"/>
          <w:szCs w:val="14"/>
          <w:color w:val="auto"/>
        </w:rPr>
        <w:t>income</w:t>
      </w:r>
      <w:r>
        <w:rPr>
          <w:rFonts w:ascii="Arial" w:cs="Arial" w:eastAsia="Arial" w:hAnsi="Arial"/>
          <w:sz w:val="16"/>
          <w:szCs w:val="16"/>
          <w:i w:val="1"/>
          <w:iCs w:val="1"/>
          <w:color w:val="auto"/>
        </w:rPr>
        <w:t xml:space="preserve"> </w:t>
      </w:r>
      <w:r>
        <w:rPr>
          <w:rFonts w:ascii="Arial" w:cs="Arial" w:eastAsia="Arial" w:hAnsi="Arial"/>
          <w:sz w:val="16"/>
          <w:szCs w:val="16"/>
          <w:color w:val="auto"/>
        </w:rPr>
        <w:t>of $2.4 million for the three months ended January 31, 2023,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rate of 19.2%, and income tax </w:t>
      </w:r>
      <w:r>
        <w:rPr>
          <w:rFonts w:ascii="Arial" w:cs="Arial" w:eastAsia="Arial" w:hAnsi="Arial"/>
          <w:sz w:val="14"/>
          <w:szCs w:val="14"/>
          <w:color w:val="auto"/>
        </w:rPr>
        <w:t>expense</w:t>
      </w:r>
      <w:r>
        <w:rPr>
          <w:rFonts w:ascii="Arial" w:cs="Arial" w:eastAsia="Arial" w:hAnsi="Arial"/>
          <w:sz w:val="16"/>
          <w:szCs w:val="16"/>
          <w:color w:val="auto"/>
        </w:rPr>
        <w:t xml:space="preserve"> of $2.4 million on a pre-tax income of $13.6 million for the three months ended January 31, 2022, an</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effective rate of 17.7%. The decrease in income tax expense year-over-year was primarily driven by the decrease in pre-tax book income during the three months ended January 31, 2023, relative to the three months ended January 31,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Historically, our principal sources of funds have been cash on hand, cash flow from operations, and borrowings under our credit facilities.</w:t>
      </w:r>
    </w:p>
    <w:p>
      <w:pPr>
        <w:spacing w:after="0" w:line="15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maintain a $325.0 million revolving credit facility (the Credit Facility) that matures in 2027 (5-year term) and requires interest payments calculated at a variable market rate depending upon our Consolidated Net Leverage Ratio. The applicable rate during the three months ended January 31, 2023 was RFR Rate + 1.25%. Our cost of capital could increase depending upon the Consolidated Net Leverage Ratio at the end of any given quarter. In addition to the Consolidated Net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$25.0 million per year). We are amortizing deferred financing fees of $1.4 million straight-line over the remaining term of the facility. For further details of the Credit Facility, refer to Note 4, “Debt and Finance Lease Obligations” to the accompanying unaudited condensed consolidated financial statements contained elsewhere herein.</w:t>
      </w:r>
    </w:p>
    <w:p>
      <w:pPr>
        <w:spacing w:after="0" w:line="1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of January 31, 2023, we had $43.1 million of cash and equivalents, $100.0 million outstanding under the Credit Facility, $5.1 million of outstanding letters of credit and $55.1 million outstanding under finance leases and other debt. Of the $55.1 million outstanding under finance leases and other debt, $53.2 million relates to real estate leases. We had $219.9 million available for use under the Credit Facility at January 31, 2023.</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December 2021, our Board of Directors approved a stock repurchase program that authorized the repurchase of up to $75.0 million worth of shares of our common stock. Repurchases under the new program will be made in open market transactions or privately negotiated transactions, subject to market conditions, applicable legal requirements and other relevant factors. During the three months ended January 31, 2023, we did not purchase any shares under this program and as of</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January 31, 2023 we had a maximum of $68.4 million available to purchase shares under this program. The program does not have an expiration date or a limit on the number of shares that may be purchased.</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repatriated $4.3 million and $1.2 million of foreign cash during the three months ended January 31, 2023 and 2022, respectively. We expect to repatriate excess cash moving forward and use the funds to retire debt or meet current working capital needs. In the U.K., we insure against a portion of our credit losses. We believe our business model, our current cash reserves and the recent steps we have taken to strengthen our balance sheet leave us well-positioned to manage our business and remain in compliance with our debt covenants.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three months ended January 31, 2023 and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w w:val="95"/>
              </w:rPr>
              <w:t>January 31,</w:t>
            </w:r>
          </w:p>
        </w:tc>
        <w:tc>
          <w:tcPr>
            <w:tcW w:w="920" w:type="dxa"/>
            <w:vAlign w:val="bottom"/>
          </w:tcPr>
          <w:p>
            <w:pPr>
              <w:spacing w:after="0"/>
              <w:rPr>
                <w:sz w:val="17"/>
                <w:szCs w:val="17"/>
                <w:color w:val="auto"/>
              </w:rPr>
            </w:pPr>
          </w:p>
        </w:tc>
      </w:tr>
      <w:tr>
        <w:trPr>
          <w:trHeight w:val="26"/>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89"/>
              </w:rPr>
              <w:t>2022</w:t>
            </w:r>
          </w:p>
        </w:tc>
      </w:tr>
      <w:tr>
        <w:trPr>
          <w:trHeight w:val="194"/>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2"/>
          </w:tcPr>
          <w:p>
            <w:pPr>
              <w:jc w:val="center"/>
              <w:ind w:left="480"/>
              <w:spacing w:after="0"/>
              <w:rPr>
                <w:sz w:val="20"/>
                <w:szCs w:val="20"/>
                <w:color w:val="auto"/>
              </w:rPr>
            </w:pPr>
            <w:r>
              <w:rPr>
                <w:rFonts w:ascii="Arial" w:cs="Arial" w:eastAsia="Arial" w:hAnsi="Arial"/>
                <w:sz w:val="14"/>
                <w:szCs w:val="14"/>
                <w:b w:val="1"/>
                <w:bCs w:val="1"/>
                <w:color w:val="auto"/>
                <w:w w:val="91"/>
              </w:rPr>
              <w:t>(Dollars in thousands)</w:t>
            </w:r>
          </w:p>
        </w:tc>
        <w:tc>
          <w:tcPr>
            <w:tcW w:w="92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3,135</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(21,651)</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(99,484)</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(7,360)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83,314</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20,857</w:t>
            </w:r>
          </w:p>
        </w:tc>
      </w:tr>
    </w:tbl>
    <w:p>
      <w:pPr>
        <w:spacing w:after="0" w:line="18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Cash provided by operating activities increased $24.8 million for the three months ended January 31, 2023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January 31, 2022. The increase in operating cash flows is primarily due to favorable changes to working capital partially offset by lower net income year-over-year due to a decrease in customer demand. The favorable changes in working capital were largely driven by an increase in inventory value due to raw material price inflation and a decrease in accounts receivable partially offset by a decrease in accounts payable.</w:t>
      </w:r>
    </w:p>
    <w:p>
      <w:pPr>
        <w:spacing w:after="0" w:line="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increased $92.1 million for the three months ended January 31, 2023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2022, primarily as a result of the Acquisition of LMI.</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$83.3 million for the three months ended January 31, 2023, which included $86.4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net borrowings of long-term debt, $2.7 million of dividends paid to our shareholders, and $0.6 million of payroll tax paid to settle shares forfeited upon vesting of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three months ended January 31, 2023 and 2022, we repatriated $4.3 million and $1.2 million, respectively, of foreign earnings from our foreign locations. We maintain cash balances in foreign countries which total $12.9 million as of January 31, 2023.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a description of our critical accounting policies and estimates, see our Annual Report on Form 10-K for the fiscal year ended October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have not changed materially during the three months ended January 31,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445"/>
        <w:spacing w:after="0" w:line="258"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standards setting bodies that we adopt as of the specified effective date. Unless otherwise discussed, we believe the impact</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of any recently issued standards that are not yet effective are either not applicable to us at this time or will not have a material impact on our consolidated financial statements upon adoption.</w:t>
      </w:r>
    </w:p>
    <w:p>
      <w:pPr>
        <w:spacing w:after="0" w:line="11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months ended January 31, 2023. As of January 31, 2023,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January 31, 2023, a hypothetical 1.0% increase or decrease in interest rates could result in approximately $1.0 million of additional pretax charges or credit to our net income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6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corresponding foreign currency derivatives as of January 31, 2023 or October 31, 2022.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To the extent the gain or loss on the derivative instrument offsets the gain or loss from the re-measurement of the underlying foreign currency balance, changes in exchange rates should have no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2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is included within our Annual Report on Form 10-K for the fiscal year ended October 31, 2022.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January 31, 2023. Based on that evaluation, the Chief Executive Officer and Chief Financial Officer concluded that, as of January 31, 2023, the disclosure controls and procedures are effective.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 except with regard to the internal controls of LMI which were acquired by us on November 1, 2022. Prior to the acquisition, LMI was a privately-held company incorporated in the United States, reporting financial results pursuant to accounting principles generally accepted in the United States. Therefore, LMI was not previously required to comply with the Sarbanes-Oxley Act of 2002. Management is currently evaluating internal control procedures and implementing changes in internal control over financial reporting with regard to LMI in order to fully comply with the requirements of the Sarbanes-Oxley Act of 2002 as of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42348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Scott M. Zuehlke</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 Chief Financial Officer &amp; Treasurer</w:t>
      </w:r>
    </w:p>
    <w:p>
      <w:pPr>
        <w:jc w:val="center"/>
        <w:ind w:right="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960" w:type="dxa"/>
            <w:vAlign w:val="bottom"/>
            <w:gridSpan w:val="17"/>
          </w:tcPr>
          <w:p>
            <w:pPr>
              <w:jc w:val="center"/>
              <w:ind w:right="2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0"/>
        </w:trPr>
        <w:tc>
          <w:tcPr>
            <w:tcW w:w="14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Exhibit Number</w:t>
            </w:r>
          </w:p>
        </w:tc>
        <w:tc>
          <w:tcPr>
            <w:tcW w:w="2380" w:type="dxa"/>
            <w:vAlign w:val="bottom"/>
          </w:tcPr>
          <w:p>
            <w:pPr>
              <w:spacing w:after="0"/>
              <w:rPr>
                <w:sz w:val="18"/>
                <w:szCs w:val="18"/>
                <w:color w:val="auto"/>
              </w:rPr>
            </w:pPr>
          </w:p>
        </w:tc>
        <w:tc>
          <w:tcPr>
            <w:tcW w:w="5960" w:type="dxa"/>
            <w:vAlign w:val="bottom"/>
            <w:gridSpan w:val="17"/>
          </w:tcPr>
          <w:p>
            <w:pPr>
              <w:jc w:val="center"/>
              <w:ind w:right="2560"/>
              <w:spacing w:after="0"/>
              <w:rPr>
                <w:sz w:val="20"/>
                <w:szCs w:val="20"/>
                <w:color w:val="auto"/>
              </w:rPr>
            </w:pPr>
            <w:r>
              <w:rPr>
                <w:rFonts w:ascii="Arial" w:cs="Arial" w:eastAsia="Arial" w:hAnsi="Arial"/>
                <w:sz w:val="16"/>
                <w:szCs w:val="16"/>
                <w:b w:val="1"/>
                <w:bCs w:val="1"/>
                <w:color w:val="auto"/>
                <w:w w:val="91"/>
              </w:rPr>
              <w:t>Description of Exhibits</w:t>
            </w:r>
          </w:p>
        </w:tc>
        <w:tc>
          <w:tcPr>
            <w:tcW w:w="0" w:type="dxa"/>
            <w:vAlign w:val="bottom"/>
          </w:tcPr>
          <w:p>
            <w:pPr>
              <w:spacing w:after="0"/>
              <w:rPr>
                <w:sz w:val="1"/>
                <w:szCs w:val="1"/>
                <w:color w:val="auto"/>
              </w:rPr>
            </w:pPr>
          </w:p>
        </w:tc>
      </w:tr>
      <w:tr>
        <w:trPr>
          <w:trHeight w:val="249"/>
        </w:trPr>
        <w:tc>
          <w:tcPr>
            <w:tcW w:w="760" w:type="dxa"/>
            <w:vAlign w:val="bottom"/>
            <w:gridSpan w:val="4"/>
          </w:tcPr>
          <w:p>
            <w:pPr>
              <w:jc w:val="center"/>
              <w:ind w:left="251"/>
              <w:spacing w:after="0"/>
              <w:rPr>
                <w:rFonts w:ascii="Arial" w:cs="Arial" w:eastAsia="Arial" w:hAnsi="Arial"/>
                <w:sz w:val="18"/>
                <w:szCs w:val="18"/>
                <w:color w:val="0000FF"/>
                <w:w w:val="87"/>
              </w:rPr>
            </w:pPr>
            <w:hyperlink r:id="rId5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660" w:type="dxa"/>
            <w:vAlign w:val="bottom"/>
          </w:tcPr>
          <w:p>
            <w:pPr>
              <w:spacing w:after="0"/>
              <w:rPr>
                <w:sz w:val="21"/>
                <w:szCs w:val="21"/>
                <w:color w:val="auto"/>
              </w:rPr>
            </w:pPr>
          </w:p>
        </w:tc>
        <w:tc>
          <w:tcPr>
            <w:tcW w:w="8340" w:type="dxa"/>
            <w:vAlign w:val="bottom"/>
            <w:gridSpan w:val="18"/>
          </w:tcPr>
          <w:p>
            <w:pPr>
              <w:spacing w:after="0"/>
              <w:rPr>
                <w:rFonts w:ascii="Arial" w:cs="Arial" w:eastAsia="Arial" w:hAnsi="Arial"/>
                <w:sz w:val="18"/>
                <w:szCs w:val="18"/>
                <w:color w:val="0000FF"/>
                <w:w w:val="98"/>
              </w:rPr>
            </w:pPr>
            <w:hyperlink r:id="rId59">
              <w:r>
                <w:rPr>
                  <w:rFonts w:ascii="Arial" w:cs="Arial" w:eastAsia="Arial" w:hAnsi="Arial"/>
                  <w:sz w:val="18"/>
                  <w:szCs w:val="18"/>
                  <w:color w:val="0000FF"/>
                  <w:w w:val="98"/>
                </w:rPr>
                <w:t>Restated Certificate of Incorporation of the Registrant dated as of March 4, 2016, filed as Exhibit 3.1 of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tcBorders>
            <w:gridSpan w:val="12"/>
          </w:tcPr>
          <w:p>
            <w:pPr>
              <w:spacing w:after="0" w:line="156" w:lineRule="exact"/>
              <w:rPr>
                <w:rFonts w:ascii="Arial" w:cs="Arial" w:eastAsia="Arial" w:hAnsi="Arial"/>
                <w:sz w:val="18"/>
                <w:szCs w:val="18"/>
                <w:color w:val="0000FF"/>
                <w:w w:val="98"/>
              </w:rPr>
            </w:pPr>
            <w:hyperlink r:id="rId59">
              <w:r>
                <w:rPr>
                  <w:rFonts w:ascii="Arial" w:cs="Arial" w:eastAsia="Arial" w:hAnsi="Arial"/>
                  <w:sz w:val="18"/>
                  <w:szCs w:val="18"/>
                  <w:color w:val="0000FF"/>
                  <w:w w:val="98"/>
                </w:rPr>
                <w:t>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Commission on March 7, 2016, and incorporated herein by reference.</w:t>
              </w:r>
            </w:hyperlink>
          </w:p>
        </w:tc>
        <w:tc>
          <w:tcPr>
            <w:tcW w:w="31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60" w:type="dxa"/>
            <w:vAlign w:val="bottom"/>
            <w:gridSpan w:val="4"/>
          </w:tcPr>
          <w:p>
            <w:pPr>
              <w:jc w:val="center"/>
              <w:ind w:left="251"/>
              <w:spacing w:after="0"/>
              <w:rPr>
                <w:rFonts w:ascii="Arial" w:cs="Arial" w:eastAsia="Arial" w:hAnsi="Arial"/>
                <w:sz w:val="18"/>
                <w:szCs w:val="18"/>
                <w:color w:val="0000FF"/>
                <w:w w:val="87"/>
              </w:rPr>
            </w:pPr>
            <w:hyperlink r:id="rId6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660" w:type="dxa"/>
            <w:vAlign w:val="bottom"/>
          </w:tcPr>
          <w:p>
            <w:pPr>
              <w:spacing w:after="0"/>
              <w:rPr>
                <w:sz w:val="22"/>
                <w:szCs w:val="22"/>
                <w:color w:val="auto"/>
              </w:rPr>
            </w:pPr>
          </w:p>
        </w:tc>
        <w:tc>
          <w:tcPr>
            <w:tcW w:w="8340" w:type="dxa"/>
            <w:vAlign w:val="bottom"/>
            <w:gridSpan w:val="18"/>
          </w:tcPr>
          <w:p>
            <w:pPr>
              <w:spacing w:after="0"/>
              <w:rPr>
                <w:rFonts w:ascii="Arial" w:cs="Arial" w:eastAsia="Arial" w:hAnsi="Arial"/>
                <w:sz w:val="18"/>
                <w:szCs w:val="18"/>
                <w:color w:val="0000FF"/>
                <w:w w:val="92"/>
              </w:rPr>
            </w:pPr>
            <w:hyperlink r:id="rId60">
              <w:r>
                <w:rPr>
                  <w:rFonts w:ascii="Arial" w:cs="Arial" w:eastAsia="Arial" w:hAnsi="Arial"/>
                  <w:sz w:val="18"/>
                  <w:szCs w:val="18"/>
                  <w:color w:val="0000FF"/>
                  <w:w w:val="92"/>
                </w:rPr>
                <w:t>Fourth Amended and Restated Bylaws of the Registrant dated as of February 27, 2020, filed as Exhibit 3.2 of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4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Registrant's Quarterly Report on Form 10-Q (Reg. No. 001-33913) for the quarter ended January 31, 2020,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14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60">
              <w:r>
                <w:rPr>
                  <w:rFonts w:ascii="Arial" w:cs="Arial" w:eastAsia="Arial" w:hAnsi="Arial"/>
                  <w:sz w:val="18"/>
                  <w:szCs w:val="18"/>
                  <w:color w:val="0000FF"/>
                </w:rPr>
                <w:t>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51"/>
              <w:spacing w:after="0"/>
              <w:rPr>
                <w:rFonts w:ascii="Arial" w:cs="Arial" w:eastAsia="Arial" w:hAnsi="Arial"/>
                <w:sz w:val="18"/>
                <w:szCs w:val="18"/>
                <w:color w:val="0000FF"/>
                <w:w w:val="87"/>
              </w:rPr>
            </w:pPr>
            <w:hyperlink r:id="rId6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60" w:type="dxa"/>
            <w:vAlign w:val="bottom"/>
          </w:tcPr>
          <w:p>
            <w:pPr>
              <w:spacing w:after="0"/>
              <w:rPr>
                <w:sz w:val="22"/>
                <w:szCs w:val="22"/>
                <w:color w:val="auto"/>
              </w:rPr>
            </w:pPr>
          </w:p>
        </w:tc>
        <w:tc>
          <w:tcPr>
            <w:tcW w:w="8340" w:type="dxa"/>
            <w:vAlign w:val="bottom"/>
            <w:gridSpan w:val="18"/>
          </w:tcPr>
          <w:p>
            <w:pPr>
              <w:spacing w:after="0"/>
              <w:rPr>
                <w:rFonts w:ascii="Arial" w:cs="Arial" w:eastAsia="Arial" w:hAnsi="Arial"/>
                <w:sz w:val="18"/>
                <w:szCs w:val="18"/>
                <w:color w:val="0000FF"/>
                <w:w w:val="98"/>
              </w:rPr>
            </w:pPr>
            <w:hyperlink r:id="rId61">
              <w:r>
                <w:rPr>
                  <w:rFonts w:ascii="Arial" w:cs="Arial" w:eastAsia="Arial" w:hAnsi="Arial"/>
                  <w:sz w:val="18"/>
                  <w:szCs w:val="18"/>
                  <w:color w:val="0000FF"/>
                  <w:w w:val="98"/>
                </w:rPr>
                <w:t>Form of Registrant’s Common Stock certificate, filed as Exhibit 4.1 of Amendment No. 1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Registration Statement on Form 10-Q (Reg. No. 001-33913) as filed with the Securities and Exchange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4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61">
              <w:r>
                <w:rPr>
                  <w:rFonts w:ascii="Arial" w:cs="Arial" w:eastAsia="Arial" w:hAnsi="Arial"/>
                  <w:sz w:val="18"/>
                  <w:szCs w:val="18"/>
                  <w:color w:val="0000FF"/>
                </w:rPr>
                <w:t>Commission on February 14, 2008,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gridSpan w:val="4"/>
            <w:vMerge w:val="restart"/>
          </w:tcPr>
          <w:p>
            <w:pPr>
              <w:jc w:val="center"/>
              <w:ind w:left="251"/>
              <w:spacing w:after="0"/>
              <w:rPr>
                <w:rFonts w:ascii="Arial" w:cs="Arial" w:eastAsia="Arial" w:hAnsi="Arial"/>
                <w:sz w:val="18"/>
                <w:szCs w:val="18"/>
                <w:color w:val="0000FF"/>
                <w:w w:val="87"/>
              </w:rPr>
            </w:pPr>
            <w:hyperlink r:id="rId6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vMerge w:val="continue"/>
          </w:tcPr>
          <w:p>
            <w:pPr>
              <w:spacing w:after="0"/>
              <w:rPr>
                <w:sz w:val="22"/>
                <w:szCs w:val="22"/>
                <w:color w:val="auto"/>
              </w:rPr>
            </w:pPr>
          </w:p>
        </w:tc>
        <w:tc>
          <w:tcPr>
            <w:tcW w:w="660" w:type="dxa"/>
            <w:vAlign w:val="bottom"/>
          </w:tcPr>
          <w:p>
            <w:pPr>
              <w:spacing w:after="0"/>
              <w:rPr>
                <w:sz w:val="22"/>
                <w:szCs w:val="22"/>
                <w:color w:val="auto"/>
              </w:rPr>
            </w:pPr>
          </w:p>
        </w:tc>
        <w:tc>
          <w:tcPr>
            <w:tcW w:w="8340" w:type="dxa"/>
            <w:vAlign w:val="bottom"/>
            <w:gridSpan w:val="18"/>
            <w:vMerge w:val="restart"/>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Second Amended and Restated Credit Agreement dated as of July 6, 2022, by and among the Company; the</w:t>
              </w:r>
            </w:hyperlink>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340" w:type="dxa"/>
            <w:vAlign w:val="bottom"/>
            <w:gridSpan w:val="1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tcBorders>
            <w:gridSpan w:val="12"/>
          </w:tcPr>
          <w:p>
            <w:pPr>
              <w:spacing w:after="0" w:line="156"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lenders party thereto; and Wells Fargo Bank, National Association, as Agent; filed as Exhibit 10.1 of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7"/>
              </w:rPr>
            </w:pPr>
            <w:hyperlink r:id="rId62">
              <w:r>
                <w:rPr>
                  <w:rFonts w:ascii="Arial" w:cs="Arial" w:eastAsia="Arial" w:hAnsi="Arial"/>
                  <w:sz w:val="18"/>
                  <w:szCs w:val="18"/>
                  <w:color w:val="0000FF"/>
                  <w:w w:val="97"/>
                </w:rPr>
                <w:t>Registrant's Current Report on Form 8-K (Reg. No. 001-33913) as filed with the Securities and Exchange</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20" w:type="dxa"/>
            <w:vAlign w:val="bottom"/>
            <w:gridSpan w:val="17"/>
          </w:tcPr>
          <w:p>
            <w:pPr>
              <w:spacing w:after="0" w:line="169" w:lineRule="exact"/>
              <w:rPr>
                <w:rFonts w:ascii="Arial" w:cs="Arial" w:eastAsia="Arial" w:hAnsi="Arial"/>
                <w:sz w:val="18"/>
                <w:szCs w:val="18"/>
                <w:color w:val="0000FF"/>
              </w:rPr>
            </w:pPr>
            <w:hyperlink r:id="rId62">
              <w:r>
                <w:rPr>
                  <w:rFonts w:ascii="Arial" w:cs="Arial" w:eastAsia="Arial" w:hAnsi="Arial"/>
                  <w:sz w:val="18"/>
                  <w:szCs w:val="18"/>
                  <w:color w:val="0000FF"/>
                </w:rPr>
                <w:t>Commission on July 6, 2022,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tcPr>
          <w:p>
            <w:pPr>
              <w:jc w:val="center"/>
              <w:ind w:left="251"/>
              <w:spacing w:after="0"/>
              <w:rPr>
                <w:rFonts w:ascii="Arial" w:cs="Arial" w:eastAsia="Arial" w:hAnsi="Arial"/>
                <w:sz w:val="18"/>
                <w:szCs w:val="18"/>
                <w:color w:val="0000FF"/>
                <w:w w:val="87"/>
              </w:rPr>
            </w:pPr>
            <w:hyperlink r:id="rId6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660" w:type="dxa"/>
            <w:vAlign w:val="bottom"/>
          </w:tcPr>
          <w:p>
            <w:pPr>
              <w:spacing w:after="0"/>
              <w:rPr>
                <w:sz w:val="22"/>
                <w:szCs w:val="22"/>
                <w:color w:val="auto"/>
              </w:rPr>
            </w:pPr>
          </w:p>
        </w:tc>
        <w:tc>
          <w:tcPr>
            <w:tcW w:w="8340" w:type="dxa"/>
            <w:vAlign w:val="bottom"/>
            <w:gridSpan w:val="18"/>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Asset Purchase Agreement, dated November 1, 2022, among Quanex IG Systems, Inc., LMI Custom Mixing,</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80" w:type="dxa"/>
            <w:vAlign w:val="bottom"/>
            <w:tcBorders>
              <w:top w:val="single" w:sz="8" w:color="0000FF"/>
            </w:tcBorders>
            <w:gridSpan w:val="15"/>
          </w:tcPr>
          <w:p>
            <w:pPr>
              <w:spacing w:after="0" w:line="156" w:lineRule="exact"/>
              <w:rPr>
                <w:rFonts w:ascii="Arial" w:cs="Arial" w:eastAsia="Arial" w:hAnsi="Arial"/>
                <w:sz w:val="18"/>
                <w:szCs w:val="18"/>
                <w:color w:val="0000FF"/>
                <w:w w:val="95"/>
              </w:rPr>
            </w:pPr>
            <w:hyperlink r:id="rId63">
              <w:r>
                <w:rPr>
                  <w:rFonts w:ascii="Arial" w:cs="Arial" w:eastAsia="Arial" w:hAnsi="Arial"/>
                  <w:sz w:val="18"/>
                  <w:szCs w:val="18"/>
                  <w:color w:val="0000FF"/>
                  <w:w w:val="95"/>
                </w:rPr>
                <w:t>LLC, Lauren International, Ltd. and Meteor-US-Beteiligungs GMBH, as filed as Exhibit 2.1 of the Registrant's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Current Report on Form 8-K (Reg. No. 001-33913) as filed with the Securities and Exchange Commission on</w:t>
              </w:r>
            </w:hyperlink>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00" w:type="dxa"/>
            <w:vAlign w:val="bottom"/>
            <w:gridSpan w:val="16"/>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November 1, 2022,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51"/>
              <w:spacing w:after="0"/>
              <w:rPr>
                <w:rFonts w:ascii="Arial" w:cs="Arial" w:eastAsia="Arial" w:hAnsi="Arial"/>
                <w:sz w:val="18"/>
                <w:szCs w:val="18"/>
                <w:color w:val="0000FF"/>
                <w:w w:val="87"/>
              </w:rPr>
            </w:pPr>
            <w:hyperlink r:id="rId6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660" w:type="dxa"/>
            <w:vAlign w:val="bottom"/>
          </w:tcPr>
          <w:p>
            <w:pPr>
              <w:spacing w:after="0"/>
              <w:rPr>
                <w:sz w:val="22"/>
                <w:szCs w:val="22"/>
                <w:color w:val="auto"/>
              </w:rPr>
            </w:pPr>
          </w:p>
        </w:tc>
        <w:tc>
          <w:tcPr>
            <w:tcW w:w="8340" w:type="dxa"/>
            <w:vAlign w:val="bottom"/>
            <w:gridSpan w:val="18"/>
          </w:tcPr>
          <w:p>
            <w:pPr>
              <w:ind w:left="80"/>
              <w:spacing w:after="0"/>
              <w:rPr>
                <w:rFonts w:ascii="Arial" w:cs="Arial" w:eastAsia="Arial" w:hAnsi="Arial"/>
                <w:sz w:val="18"/>
                <w:szCs w:val="18"/>
                <w:color w:val="0000FF"/>
                <w:w w:val="98"/>
              </w:rPr>
            </w:pPr>
            <w:hyperlink r:id="rId65">
              <w:r>
                <w:rPr>
                  <w:rFonts w:ascii="Arial" w:cs="Arial" w:eastAsia="Arial" w:hAnsi="Arial"/>
                  <w:sz w:val="18"/>
                  <w:szCs w:val="18"/>
                  <w:color w:val="0000FF"/>
                  <w:w w:val="98"/>
                </w:rPr>
                <w:t>First Amendment to the Amended and Completely Restated Lease Agreement by and among Quanex IG</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80" w:type="dxa"/>
            <w:vAlign w:val="bottom"/>
            <w:tcBorders>
              <w:top w:val="single" w:sz="8" w:color="0000FF"/>
            </w:tcBorders>
            <w:gridSpan w:val="15"/>
          </w:tcPr>
          <w:p>
            <w:pPr>
              <w:spacing w:after="0" w:line="156" w:lineRule="exact"/>
              <w:rPr>
                <w:rFonts w:ascii="Arial" w:cs="Arial" w:eastAsia="Arial" w:hAnsi="Arial"/>
                <w:sz w:val="18"/>
                <w:szCs w:val="18"/>
                <w:color w:val="0000FF"/>
                <w:w w:val="97"/>
              </w:rPr>
            </w:pPr>
            <w:hyperlink r:id="rId65">
              <w:r>
                <w:rPr>
                  <w:rFonts w:ascii="Arial" w:cs="Arial" w:eastAsia="Arial" w:hAnsi="Arial"/>
                  <w:sz w:val="18"/>
                  <w:szCs w:val="18"/>
                  <w:color w:val="0000FF"/>
                  <w:w w:val="97"/>
                </w:rPr>
                <w:t>Systems, Inc. and Lauren Real Estate Holding LLC, dated November 1, 2022 as filed as Exhibit 10.1 of the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60" w:type="dxa"/>
            <w:vAlign w:val="bottom"/>
            <w:tcBorders>
              <w:top w:val="single" w:sz="8" w:color="0000FF"/>
            </w:tcBorders>
            <w:gridSpan w:val="14"/>
          </w:tcPr>
          <w:p>
            <w:pPr>
              <w:spacing w:after="0" w:line="169" w:lineRule="exact"/>
              <w:rPr>
                <w:rFonts w:ascii="Arial" w:cs="Arial" w:eastAsia="Arial" w:hAnsi="Arial"/>
                <w:sz w:val="18"/>
                <w:szCs w:val="18"/>
                <w:color w:val="0000FF"/>
                <w:w w:val="98"/>
              </w:rPr>
            </w:pPr>
            <w:hyperlink r:id="rId65">
              <w:r>
                <w:rPr>
                  <w:rFonts w:ascii="Arial" w:cs="Arial" w:eastAsia="Arial" w:hAnsi="Arial"/>
                  <w:sz w:val="18"/>
                  <w:szCs w:val="18"/>
                  <w:color w:val="0000FF"/>
                  <w:w w:val="98"/>
                </w:rPr>
                <w:t>Registrant's Current Report on Form 8-K (Reg. No. 001-33913) as filed with the Securities and Exchange</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Commission on November 1, 2022,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tcPr>
          <w:p>
            <w:pPr>
              <w:jc w:val="center"/>
              <w:ind w:left="271"/>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p>
        </w:tc>
        <w:tc>
          <w:tcPr>
            <w:tcW w:w="660" w:type="dxa"/>
            <w:vAlign w:val="bottom"/>
          </w:tcPr>
          <w:p>
            <w:pPr>
              <w:spacing w:after="0"/>
              <w:rPr>
                <w:sz w:val="22"/>
                <w:szCs w:val="22"/>
                <w:color w:val="auto"/>
              </w:rPr>
            </w:pPr>
          </w:p>
        </w:tc>
        <w:tc>
          <w:tcPr>
            <w:tcW w:w="55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by chief executive officer pursuant to Rule 13a-14(a)/15d-14(a).</w:t>
            </w:r>
          </w:p>
        </w:tc>
        <w:tc>
          <w:tcPr>
            <w:tcW w:w="276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gridSpan w:val="4"/>
          </w:tcPr>
          <w:p>
            <w:pPr>
              <w:jc w:val="center"/>
              <w:ind w:left="271"/>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660" w:type="dxa"/>
            <w:vAlign w:val="bottom"/>
          </w:tcPr>
          <w:p>
            <w:pPr>
              <w:spacing w:after="0"/>
              <w:rPr>
                <w:sz w:val="22"/>
                <w:szCs w:val="22"/>
                <w:color w:val="auto"/>
              </w:rPr>
            </w:pPr>
          </w:p>
        </w:tc>
        <w:tc>
          <w:tcPr>
            <w:tcW w:w="8340" w:type="dxa"/>
            <w:vAlign w:val="bottom"/>
            <w:gridSpan w:val="18"/>
          </w:tcPr>
          <w:p>
            <w:pPr>
              <w:spacing w:after="0"/>
              <w:rPr>
                <w:sz w:val="20"/>
                <w:szCs w:val="20"/>
                <w:color w:val="auto"/>
              </w:rPr>
            </w:pPr>
            <w:r>
              <w:rPr>
                <w:rFonts w:ascii="Arial" w:cs="Arial" w:eastAsia="Arial" w:hAnsi="Arial"/>
                <w:sz w:val="18"/>
                <w:szCs w:val="18"/>
                <w:color w:val="0000FF"/>
              </w:rPr>
              <w:t>Certification by chief financial officer pursuant to Rule 13a-14(a)/15d-14(a).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tcPr>
          <w:p>
            <w:pPr>
              <w:jc w:val="center"/>
              <w:ind w:left="271"/>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p>
        </w:tc>
        <w:tc>
          <w:tcPr>
            <w:tcW w:w="660" w:type="dxa"/>
            <w:vAlign w:val="bottom"/>
          </w:tcPr>
          <w:p>
            <w:pPr>
              <w:spacing w:after="0"/>
              <w:rPr>
                <w:sz w:val="22"/>
                <w:szCs w:val="22"/>
                <w:color w:val="auto"/>
              </w:rPr>
            </w:pPr>
          </w:p>
        </w:tc>
        <w:tc>
          <w:tcPr>
            <w:tcW w:w="8340" w:type="dxa"/>
            <w:vAlign w:val="bottom"/>
            <w:gridSpan w:val="18"/>
          </w:tcPr>
          <w:p>
            <w:pPr>
              <w:spacing w:after="0"/>
              <w:rPr>
                <w:sz w:val="20"/>
                <w:szCs w:val="20"/>
                <w:color w:val="auto"/>
              </w:rPr>
            </w:pPr>
            <w:r>
              <w:rPr>
                <w:rFonts w:ascii="Arial" w:cs="Arial" w:eastAsia="Arial" w:hAnsi="Arial"/>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5"/>
          </w:tcPr>
          <w:p>
            <w:pPr>
              <w:jc w:val="center"/>
              <w:ind w:right="320"/>
              <w:spacing w:after="0"/>
              <w:rPr>
                <w:sz w:val="20"/>
                <w:szCs w:val="20"/>
                <w:color w:val="auto"/>
              </w:rPr>
            </w:pPr>
            <w:r>
              <w:rPr>
                <w:rFonts w:ascii="Arial" w:cs="Arial" w:eastAsia="Arial" w:hAnsi="Arial"/>
                <w:sz w:val="18"/>
                <w:szCs w:val="18"/>
                <w:color w:val="auto"/>
                <w:w w:val="97"/>
              </w:rPr>
              <w:t>*101.INS</w:t>
            </w:r>
          </w:p>
        </w:tc>
        <w:tc>
          <w:tcPr>
            <w:tcW w:w="8340" w:type="dxa"/>
            <w:vAlign w:val="bottom"/>
            <w:gridSpan w:val="18"/>
          </w:tcPr>
          <w:p>
            <w:pPr>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340" w:type="dxa"/>
            <w:vAlign w:val="bottom"/>
            <w:gridSpan w:val="18"/>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96"/>
        </w:trPr>
        <w:tc>
          <w:tcPr>
            <w:tcW w:w="1420" w:type="dxa"/>
            <w:vAlign w:val="bottom"/>
            <w:gridSpan w:val="5"/>
          </w:tcPr>
          <w:p>
            <w:pPr>
              <w:jc w:val="center"/>
              <w:ind w:right="300"/>
              <w:spacing w:after="0"/>
              <w:rPr>
                <w:sz w:val="20"/>
                <w:szCs w:val="20"/>
                <w:color w:val="auto"/>
              </w:rPr>
            </w:pPr>
            <w:r>
              <w:rPr>
                <w:rFonts w:ascii="Arial" w:cs="Arial" w:eastAsia="Arial" w:hAnsi="Arial"/>
                <w:sz w:val="18"/>
                <w:szCs w:val="18"/>
                <w:color w:val="auto"/>
                <w:w w:val="94"/>
              </w:rPr>
              <w:t>*101.SCH</w:t>
            </w:r>
          </w:p>
        </w:tc>
        <w:tc>
          <w:tcPr>
            <w:tcW w:w="834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00"/>
              <w:spacing w:after="0"/>
              <w:rPr>
                <w:sz w:val="20"/>
                <w:szCs w:val="20"/>
                <w:color w:val="auto"/>
              </w:rPr>
            </w:pPr>
            <w:r>
              <w:rPr>
                <w:rFonts w:ascii="Arial" w:cs="Arial" w:eastAsia="Arial" w:hAnsi="Arial"/>
                <w:sz w:val="18"/>
                <w:szCs w:val="18"/>
                <w:color w:val="auto"/>
                <w:w w:val="98"/>
              </w:rPr>
              <w:t>*101.CAL</w:t>
            </w:r>
          </w:p>
        </w:tc>
        <w:tc>
          <w:tcPr>
            <w:tcW w:w="834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420" w:type="dxa"/>
            <w:vAlign w:val="bottom"/>
            <w:gridSpan w:val="5"/>
          </w:tcPr>
          <w:p>
            <w:pPr>
              <w:jc w:val="center"/>
              <w:ind w:right="320"/>
              <w:spacing w:after="0"/>
              <w:rPr>
                <w:sz w:val="20"/>
                <w:szCs w:val="20"/>
                <w:color w:val="auto"/>
              </w:rPr>
            </w:pPr>
            <w:r>
              <w:rPr>
                <w:rFonts w:ascii="Arial" w:cs="Arial" w:eastAsia="Arial" w:hAnsi="Arial"/>
                <w:sz w:val="18"/>
                <w:szCs w:val="18"/>
                <w:color w:val="auto"/>
                <w:w w:val="94"/>
              </w:rPr>
              <w:t>*101.DEF</w:t>
            </w:r>
          </w:p>
        </w:tc>
        <w:tc>
          <w:tcPr>
            <w:tcW w:w="834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00"/>
              <w:spacing w:after="0"/>
              <w:rPr>
                <w:sz w:val="20"/>
                <w:szCs w:val="20"/>
                <w:color w:val="auto"/>
              </w:rPr>
            </w:pPr>
            <w:r>
              <w:rPr>
                <w:rFonts w:ascii="Arial" w:cs="Arial" w:eastAsia="Arial" w:hAnsi="Arial"/>
                <w:sz w:val="18"/>
                <w:szCs w:val="18"/>
                <w:color w:val="auto"/>
                <w:w w:val="99"/>
              </w:rPr>
              <w:t>*101.LAB</w:t>
            </w:r>
          </w:p>
        </w:tc>
        <w:tc>
          <w:tcPr>
            <w:tcW w:w="834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*101.PRE</w:t>
            </w:r>
          </w:p>
        </w:tc>
        <w:tc>
          <w:tcPr>
            <w:tcW w:w="834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L. Wilson</w:t>
      </w:r>
    </w:p>
    <w:p>
      <w:pPr>
        <w:ind w:left="40"/>
        <w:spacing w:after="0" w:line="203" w:lineRule="auto"/>
        <w:rPr>
          <w:sz w:val="20"/>
          <w:szCs w:val="20"/>
          <w:color w:val="auto"/>
        </w:rPr>
      </w:pPr>
      <w:r>
        <w:rPr>
          <w:rFonts w:ascii="Arial" w:cs="Arial" w:eastAsia="Arial" w:hAnsi="Arial"/>
          <w:sz w:val="18"/>
          <w:szCs w:val="18"/>
          <w:color w:val="auto"/>
        </w:rPr>
        <w:t>President and Chief Executive Officer</w:t>
      </w: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ind w:left="40"/>
        <w:spacing w:after="0" w:line="203" w:lineRule="auto"/>
        <w:rPr>
          <w:sz w:val="20"/>
          <w:szCs w:val="20"/>
          <w:color w:val="auto"/>
        </w:rPr>
      </w:pPr>
      <w:r>
        <w:rPr>
          <w:rFonts w:ascii="Arial" w:cs="Arial" w:eastAsia="Arial" w:hAnsi="Arial"/>
          <w:sz w:val="18"/>
          <w:szCs w:val="18"/>
          <w:color w:val="auto"/>
        </w:rPr>
        <w:t>Senior Vice President - Chief Financial Officer and Treasurer</w:t>
      </w: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hereby certify that the accompanying Quarterly Report on Form 10-Q of Quanex Building Products Corporation for the quarter ended January 31, 2023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 George L. Wilson</w:t>
            </w: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Scott M. Zuehlke</w:t>
            </w:r>
          </w:p>
        </w:tc>
      </w:tr>
      <w:tr>
        <w:trPr>
          <w:trHeight w:val="188"/>
        </w:trPr>
        <w:tc>
          <w:tcPr>
            <w:tcW w:w="5840" w:type="dxa"/>
            <w:vAlign w:val="bottom"/>
            <w:gridSpan w:val="2"/>
          </w:tcPr>
          <w:p>
            <w:pPr>
              <w:jc w:val="center"/>
              <w:ind w:right="420"/>
              <w:spacing w:after="0" w:line="189" w:lineRule="exact"/>
              <w:rPr>
                <w:sz w:val="20"/>
                <w:szCs w:val="20"/>
                <w:color w:val="auto"/>
              </w:rPr>
            </w:pPr>
            <w:r>
              <w:rPr>
                <w:rFonts w:ascii="Arial" w:cs="Arial" w:eastAsia="Arial" w:hAnsi="Arial"/>
                <w:sz w:val="18"/>
                <w:szCs w:val="18"/>
                <w:i w:val="1"/>
                <w:iCs w:val="1"/>
                <w:color w:val="auto"/>
                <w:w w:val="91"/>
              </w:rPr>
              <w:t>President and Chief Executive Officer</w:t>
            </w:r>
          </w:p>
        </w:tc>
        <w:tc>
          <w:tcPr>
            <w:tcW w:w="5400" w:type="dxa"/>
            <w:vAlign w:val="bottom"/>
          </w:tcPr>
          <w:p>
            <w:pPr>
              <w:jc w:val="center"/>
              <w:spacing w:after="0" w:line="189" w:lineRule="exact"/>
              <w:rPr>
                <w:sz w:val="20"/>
                <w:szCs w:val="20"/>
                <w:color w:val="auto"/>
              </w:rPr>
            </w:pPr>
            <w:r>
              <w:rPr>
                <w:rFonts w:ascii="Arial" w:cs="Arial" w:eastAsia="Arial" w:hAnsi="Arial"/>
                <w:sz w:val="18"/>
                <w:szCs w:val="18"/>
                <w:i w:val="1"/>
                <w:iCs w:val="1"/>
                <w:color w:val="auto"/>
                <w:w w:val="91"/>
              </w:rPr>
              <w:t>Senior Vice President—Chief Financial Officer and Treasurer</w:t>
            </w:r>
          </w:p>
        </w:tc>
      </w:t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4"/>
              </w:rPr>
              <w:t>(Principal Executive Officer)</w:t>
            </w: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59" Type="http://schemas.openxmlformats.org/officeDocument/2006/relationships/hyperlink" Target="http://www.sec.gov/Archives/edgar/data/1423221/000119312516495257/d156158dex31.htm" TargetMode="External"/><Relationship Id="rId60" Type="http://schemas.openxmlformats.org/officeDocument/2006/relationships/hyperlink" Target="http://www.sec.gov/Archives/edgar/data/1423221/000142322120000005/nx01312020ex32.htm" TargetMode="External"/><Relationship Id="rId61" Type="http://schemas.openxmlformats.org/officeDocument/2006/relationships/hyperlink" Target="http://www.sec.gov/Archives/edgar/data/1423221/000095012908000988/h52992a1exv4w1.htm" TargetMode="External"/><Relationship Id="rId62" Type="http://schemas.openxmlformats.org/officeDocument/2006/relationships/hyperlink" Target="http://www.sec.gov/Archives/edgar/data/1423221/000110465922077705/tm2220473d1_ex10-1.htm" TargetMode="External"/><Relationship Id="rId63" Type="http://schemas.openxmlformats.org/officeDocument/2006/relationships/hyperlink" Target="http://www.sec.gov/Archives/edgar/data/1423221/000110465922113504/tm2228962d2_ex2-1.htm" TargetMode="External"/><Relationship Id="rId64" Type="http://schemas.openxmlformats.org/officeDocument/2006/relationships/hyperlink" Target="https://www.sec.gov/Archives/edgar/data/1423221/000110465922113504/tm2228962d2_ex10-1.htm" TargetMode="External"/><Relationship Id="rId65" Type="http://schemas.openxmlformats.org/officeDocument/2006/relationships/hyperlink" Target="http://www.sec.gov/Archives/edgar/data/1423221/000110465922113504/tm2228962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2023-03-10T15:23:45Z</dcterms:created>
  <dcterms:modified xsi:type="dcterms:W3CDTF">2023-03-10T15:23:45Z</dcterms:modified>
</cp:coreProperties>
</file>