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Hughes Bradley E.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 BUNKER HILL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Quanex Building Products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61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861"/>
        <w:gridCol w:w="276"/>
        <w:gridCol w:w="906"/>
        <w:gridCol w:w="801"/>
        <w:gridCol w:w="891"/>
        <w:gridCol w:w="981"/>
        <w:gridCol w:w="801"/>
        <w:gridCol w:w="1131"/>
        <w:gridCol w:w="831"/>
        <w:gridCol w:w="846"/>
      </w:tblGrid>
      <w:tr>
        <w:trPr>
          <w:tblHeader w:val="true"/>
        </w:trPr>
        <w:tc>
          <w:tcPr>
            <w:tcW w:w="126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13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1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1,725.97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1,725.97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18.83</w:t>
            </w:r>
            <w:r>
              <w:rPr/>
              <w:t xml:space="preserve"> </w:t>
            </w:r>
          </w:p>
        </w:tc>
        <w:tc>
          <w:tcPr>
            <w:tcW w:w="11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17,569.053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Phantom Stock Unit is the economic equivalent of one share of common stock. Distributions under the Deferred Compensation Plan are made in cash beginning on a specified date selected by the participant or upon the participant's death, disability, or termination of service as a director.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Units credited to the participant's account under the Deferred Compensation Plan as a result of deferral of Director Compensation.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56.513 phantom stock units credited to the participant's account as a result of automatic dividend reinvestment.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Paul B. Cornett,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76457" TargetMode="External"/><Relationship Id="rId5" Type="http://schemas.openxmlformats.org/officeDocument/2006/relationships/hyperlink" Target="http://www.sec.gov/cgi-bin/browse-edgar?action=getcompany&amp;CIK=00014232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653</Words>
  <Characters>3554</Characters>
  <CharactersWithSpaces>4145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