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216535</wp:posOffset>
            </wp:positionH>
            <wp:positionV relativeFrom="page">
              <wp:posOffset>363220</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277495</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6" w:lineRule="exact"/>
        <w:rPr>
          <w:sz w:val="24"/>
          <w:szCs w:val="24"/>
          <w:color w:val="auto"/>
        </w:rPr>
      </w:pPr>
    </w:p>
    <w:p>
      <w:pPr>
        <w:ind w:left="3480"/>
        <w:spacing w:after="0"/>
        <w:rPr>
          <w:sz w:val="20"/>
          <w:szCs w:val="20"/>
          <w:color w:val="auto"/>
        </w:rPr>
      </w:pPr>
      <w:r>
        <w:rPr>
          <w:rFonts w:ascii="Arial" w:cs="Arial" w:eastAsia="Arial" w:hAnsi="Arial"/>
          <w:sz w:val="18"/>
          <w:szCs w:val="18"/>
          <w:color w:val="auto"/>
        </w:rPr>
        <w:t>________________________________________________</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2" w:lineRule="exact"/>
        <w:rPr>
          <w:sz w:val="24"/>
          <w:szCs w:val="24"/>
          <w:color w:val="auto"/>
        </w:rPr>
      </w:pPr>
    </w:p>
    <w:p>
      <w:pPr>
        <w:ind w:left="3480"/>
        <w:spacing w:after="0"/>
        <w:rPr>
          <w:sz w:val="20"/>
          <w:szCs w:val="20"/>
          <w:color w:val="auto"/>
        </w:rPr>
      </w:pPr>
      <w:r>
        <w:rPr>
          <w:rFonts w:ascii="Arial" w:cs="Arial" w:eastAsia="Arial" w:hAnsi="Arial"/>
          <w:sz w:val="18"/>
          <w:szCs w:val="18"/>
          <w:color w:val="auto"/>
        </w:rPr>
        <w:t>________________________________________________</w:t>
      </w:r>
    </w:p>
    <w:p>
      <w:pPr>
        <w:spacing w:after="0" w:line="9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(Mark One)</w:t>
      </w:r>
    </w:p>
    <w:p>
      <w:pPr>
        <w:ind w:left="720" w:hanging="672"/>
        <w:spacing w:after="0" w:line="202" w:lineRule="auto"/>
        <w:tabs>
          <w:tab w:leader="none" w:pos="720" w:val="left"/>
        </w:tabs>
        <w:numPr>
          <w:ilvl w:val="0"/>
          <w:numId w:val="1"/>
        </w:numPr>
        <w:rPr>
          <w:rFonts w:ascii="MS PGothic" w:cs="MS PGothic" w:eastAsia="MS PGothic" w:hAnsi="MS PGothic"/>
          <w:sz w:val="50"/>
          <w:szCs w:val="50"/>
          <w:color w:val="auto"/>
          <w:vertAlign w:val="subscript"/>
        </w:rPr>
      </w:pPr>
      <w:r>
        <w:rPr>
          <w:rFonts w:ascii="Arial" w:cs="Arial" w:eastAsia="Arial" w:hAnsi="Arial"/>
          <w:sz w:val="20"/>
          <w:szCs w:val="20"/>
          <w:b w:val="1"/>
          <w:bCs w:val="1"/>
          <w:color w:val="auto"/>
        </w:rPr>
        <w:t>QUARTERLY REPORT PURSUANT TO SECTION 13 OR 15(d) OF THE SECURITIES EXCHANGE ACT OF 1934</w:t>
      </w:r>
    </w:p>
    <w:p>
      <w:pPr>
        <w:spacing w:after="0" w:line="9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April 30, 2020</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OR</w:t>
      </w:r>
    </w:p>
    <w:p>
      <w:pPr>
        <w:spacing w:after="0" w:line="194" w:lineRule="exact"/>
        <w:rPr>
          <w:sz w:val="24"/>
          <w:szCs w:val="24"/>
          <w:color w:val="auto"/>
        </w:rPr>
      </w:pPr>
    </w:p>
    <w:p>
      <w:pPr>
        <w:ind w:left="720" w:hanging="456"/>
        <w:spacing w:after="0"/>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77" w:lineRule="exact"/>
        <w:rPr>
          <w:sz w:val="24"/>
          <w:szCs w:val="24"/>
          <w:color w:val="auto"/>
        </w:rPr>
      </w:pPr>
    </w:p>
    <w:p>
      <w:pPr>
        <w:ind w:left="3840"/>
        <w:spacing w:after="0"/>
        <w:tabs>
          <w:tab w:leader="none" w:pos="67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7" w:lineRule="exact"/>
        <w:rPr>
          <w:sz w:val="24"/>
          <w:szCs w:val="24"/>
          <w:color w:val="auto"/>
        </w:rPr>
      </w:pPr>
    </w:p>
    <w:p>
      <w:pPr>
        <w:ind w:left="4320"/>
        <w:spacing w:after="0"/>
        <w:rPr>
          <w:sz w:val="20"/>
          <w:szCs w:val="20"/>
          <w:color w:val="auto"/>
        </w:rPr>
      </w:pPr>
      <w:r>
        <w:rPr>
          <w:rFonts w:ascii="Arial" w:cs="Arial" w:eastAsia="Arial" w:hAnsi="Arial"/>
          <w:sz w:val="18"/>
          <w:szCs w:val="18"/>
          <w:b w:val="1"/>
          <w:bCs w:val="1"/>
          <w:color w:val="auto"/>
        </w:rPr>
        <w:t>Commission File Number 1-33913</w:t>
      </w:r>
    </w:p>
    <w:p>
      <w:pPr>
        <w:spacing w:after="0" w:line="9" w:lineRule="exact"/>
        <w:rPr>
          <w:sz w:val="24"/>
          <w:szCs w:val="24"/>
          <w:color w:val="auto"/>
        </w:rPr>
      </w:pPr>
    </w:p>
    <w:p>
      <w:pPr>
        <w:ind w:left="3500"/>
        <w:spacing w:after="0"/>
        <w:rPr>
          <w:sz w:val="20"/>
          <w:szCs w:val="20"/>
          <w:color w:val="auto"/>
        </w:rPr>
      </w:pPr>
      <w:r>
        <w:rPr>
          <w:rFonts w:ascii="Arial" w:cs="Arial" w:eastAsia="Arial" w:hAnsi="Arial"/>
          <w:sz w:val="18"/>
          <w:szCs w:val="18"/>
          <w:color w:val="auto"/>
        </w:rPr>
        <w:t>________________________________________________</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QUANEX BUILDING PRODUCTS CORPORATION</w:t>
      </w:r>
    </w:p>
    <w:p>
      <w:pPr>
        <w:spacing w:after="0" w:line="5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7" w:lineRule="exact"/>
        <w:rPr>
          <w:sz w:val="24"/>
          <w:szCs w:val="24"/>
          <w:color w:val="auto"/>
        </w:rPr>
      </w:pPr>
    </w:p>
    <w:p>
      <w:pPr>
        <w:ind w:left="3480"/>
        <w:spacing w:after="0"/>
        <w:rPr>
          <w:sz w:val="20"/>
          <w:szCs w:val="20"/>
          <w:color w:val="auto"/>
        </w:rPr>
      </w:pPr>
      <w:r>
        <w:rPr>
          <w:rFonts w:ascii="Arial" w:cs="Arial" w:eastAsia="Arial" w:hAnsi="Arial"/>
          <w:sz w:val="18"/>
          <w:szCs w:val="18"/>
          <w:color w:val="auto"/>
        </w:rPr>
        <w:t>________________________________________________</w:t>
      </w:r>
    </w:p>
    <w:p>
      <w:pPr>
        <w:spacing w:after="0" w:line="171" w:lineRule="exact"/>
        <w:rPr>
          <w:sz w:val="24"/>
          <w:szCs w:val="24"/>
          <w:color w:val="auto"/>
        </w:rPr>
      </w:pPr>
    </w:p>
    <w:tbl>
      <w:tblPr>
        <w:tblLayout w:type="fixed"/>
        <w:tblInd w:w="1820" w:type="dxa"/>
        <w:tblCellMar>
          <w:top w:w="0" w:type="dxa"/>
          <w:left w:w="0" w:type="dxa"/>
          <w:bottom w:w="0" w:type="dxa"/>
          <w:right w:w="0" w:type="dxa"/>
        </w:tblCellMar>
      </w:tblPr>
      <w:tr>
        <w:trPr>
          <w:trHeight w:val="210"/>
        </w:trPr>
        <w:tc>
          <w:tcPr>
            <w:tcW w:w="3960" w:type="dxa"/>
            <w:vAlign w:val="bottom"/>
          </w:tcPr>
          <w:p>
            <w:pPr>
              <w:jc w:val="center"/>
              <w:ind w:right="1985"/>
              <w:spacing w:after="0"/>
              <w:rPr>
                <w:sz w:val="20"/>
                <w:szCs w:val="20"/>
                <w:color w:val="auto"/>
              </w:rPr>
            </w:pPr>
            <w:r>
              <w:rPr>
                <w:rFonts w:ascii="Arial" w:cs="Arial" w:eastAsia="Arial" w:hAnsi="Arial"/>
                <w:sz w:val="16"/>
                <w:szCs w:val="16"/>
                <w:b w:val="1"/>
                <w:bCs w:val="1"/>
                <w:color w:val="auto"/>
                <w:w w:val="93"/>
              </w:rPr>
              <w:t>Delaware</w:t>
            </w:r>
          </w:p>
        </w:tc>
        <w:tc>
          <w:tcPr>
            <w:tcW w:w="3200" w:type="dxa"/>
            <w:vAlign w:val="bottom"/>
          </w:tcPr>
          <w:p>
            <w:pPr>
              <w:jc w:val="center"/>
              <w:ind w:left="2025"/>
              <w:spacing w:after="0"/>
              <w:rPr>
                <w:sz w:val="20"/>
                <w:szCs w:val="20"/>
                <w:color w:val="auto"/>
              </w:rPr>
            </w:pPr>
            <w:r>
              <w:rPr>
                <w:rFonts w:ascii="Arial" w:cs="Arial" w:eastAsia="Arial" w:hAnsi="Arial"/>
                <w:sz w:val="16"/>
                <w:szCs w:val="16"/>
                <w:b w:val="1"/>
                <w:bCs w:val="1"/>
                <w:color w:val="auto"/>
                <w:w w:val="91"/>
              </w:rPr>
              <w:t>26-1561397</w:t>
            </w:r>
          </w:p>
        </w:tc>
      </w:tr>
      <w:tr>
        <w:trPr>
          <w:trHeight w:val="199"/>
        </w:trPr>
        <w:tc>
          <w:tcPr>
            <w:tcW w:w="3960" w:type="dxa"/>
            <w:vAlign w:val="bottom"/>
          </w:tcPr>
          <w:p>
            <w:pPr>
              <w:jc w:val="center"/>
              <w:ind w:right="2005"/>
              <w:spacing w:after="0"/>
              <w:rPr>
                <w:sz w:val="20"/>
                <w:szCs w:val="20"/>
                <w:color w:val="auto"/>
              </w:rPr>
            </w:pPr>
            <w:r>
              <w:rPr>
                <w:rFonts w:ascii="Arial" w:cs="Arial" w:eastAsia="Arial" w:hAnsi="Arial"/>
                <w:sz w:val="14"/>
                <w:szCs w:val="14"/>
                <w:b w:val="1"/>
                <w:bCs w:val="1"/>
                <w:color w:val="auto"/>
                <w:w w:val="93"/>
              </w:rPr>
              <w:t>(State or other jurisdiction of</w:t>
            </w:r>
          </w:p>
        </w:tc>
        <w:tc>
          <w:tcPr>
            <w:tcW w:w="3200" w:type="dxa"/>
            <w:vAlign w:val="bottom"/>
          </w:tcPr>
          <w:p>
            <w:pPr>
              <w:jc w:val="center"/>
              <w:ind w:left="2005"/>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3960" w:type="dxa"/>
            <w:vAlign w:val="bottom"/>
          </w:tcPr>
          <w:p>
            <w:pPr>
              <w:jc w:val="center"/>
              <w:ind w:right="2005"/>
              <w:spacing w:after="0"/>
              <w:rPr>
                <w:sz w:val="20"/>
                <w:szCs w:val="20"/>
                <w:color w:val="auto"/>
              </w:rPr>
            </w:pPr>
            <w:r>
              <w:rPr>
                <w:rFonts w:ascii="Arial" w:cs="Arial" w:eastAsia="Arial" w:hAnsi="Arial"/>
                <w:sz w:val="14"/>
                <w:szCs w:val="14"/>
                <w:b w:val="1"/>
                <w:bCs w:val="1"/>
                <w:color w:val="auto"/>
                <w:w w:val="94"/>
              </w:rPr>
              <w:t>incorporation or organization)</w:t>
            </w:r>
          </w:p>
        </w:tc>
        <w:tc>
          <w:tcPr>
            <w:tcW w:w="3200" w:type="dxa"/>
            <w:vAlign w:val="bottom"/>
          </w:tcPr>
          <w:p>
            <w:pPr>
              <w:jc w:val="center"/>
              <w:ind w:left="2005"/>
              <w:spacing w:after="0"/>
              <w:rPr>
                <w:sz w:val="20"/>
                <w:szCs w:val="20"/>
                <w:color w:val="auto"/>
              </w:rPr>
            </w:pPr>
            <w:r>
              <w:rPr>
                <w:rFonts w:ascii="Arial" w:cs="Arial" w:eastAsia="Arial" w:hAnsi="Arial"/>
                <w:sz w:val="14"/>
                <w:szCs w:val="14"/>
                <w:b w:val="1"/>
                <w:bCs w:val="1"/>
                <w:color w:val="auto"/>
                <w:w w:val="94"/>
              </w:rPr>
              <w:t>Identification No.)</w:t>
            </w:r>
          </w:p>
        </w:tc>
      </w:tr>
    </w:tbl>
    <w:p>
      <w:pPr>
        <w:spacing w:after="0" w:line="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1800 West Loop South, Suite 1500, Houston, Texas 77027</w:t>
      </w:r>
    </w:p>
    <w:p>
      <w:pPr>
        <w:spacing w:after="0" w:line="5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of principal executive offices and zip code)</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(713) 961-4600</w:t>
      </w:r>
    </w:p>
    <w:p>
      <w:pPr>
        <w:spacing w:after="0" w:line="8" w:lineRule="exact"/>
        <w:rPr>
          <w:sz w:val="24"/>
          <w:szCs w:val="24"/>
          <w:color w:val="auto"/>
        </w:rPr>
      </w:pPr>
    </w:p>
    <w:p>
      <w:pPr>
        <w:ind w:left="3500"/>
        <w:spacing w:after="0"/>
        <w:rPr>
          <w:sz w:val="20"/>
          <w:szCs w:val="20"/>
          <w:color w:val="auto"/>
        </w:rPr>
      </w:pPr>
      <w:r>
        <w:rPr>
          <w:rFonts w:ascii="Arial" w:cs="Arial" w:eastAsia="Arial" w:hAnsi="Arial"/>
          <w:sz w:val="18"/>
          <w:szCs w:val="18"/>
          <w:color w:val="auto"/>
        </w:rPr>
        <w:t>________________________________________________</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26" w:lineRule="exact"/>
        <w:rPr>
          <w:sz w:val="24"/>
          <w:szCs w:val="24"/>
          <w:color w:val="auto"/>
        </w:rPr>
      </w:pPr>
    </w:p>
    <w:tbl>
      <w:tblPr>
        <w:tblLayout w:type="fixed"/>
        <w:tblInd w:w="580" w:type="dxa"/>
        <w:tblCellMar>
          <w:top w:w="0" w:type="dxa"/>
          <w:left w:w="0" w:type="dxa"/>
          <w:bottom w:w="0" w:type="dxa"/>
          <w:right w:w="0" w:type="dxa"/>
        </w:tblCellMar>
      </w:tblPr>
      <w:tr>
        <w:trPr>
          <w:trHeight w:val="161"/>
        </w:trPr>
        <w:tc>
          <w:tcPr>
            <w:tcW w:w="960" w:type="dxa"/>
            <w:vAlign w:val="bottom"/>
          </w:tcPr>
          <w:p>
            <w:pPr>
              <w:spacing w:after="0"/>
              <w:rPr>
                <w:sz w:val="14"/>
                <w:szCs w:val="14"/>
                <w:color w:val="auto"/>
              </w:rPr>
            </w:pPr>
          </w:p>
        </w:tc>
        <w:tc>
          <w:tcPr>
            <w:tcW w:w="3800" w:type="dxa"/>
            <w:vAlign w:val="bottom"/>
            <w:gridSpan w:val="2"/>
          </w:tcPr>
          <w:p>
            <w:pPr>
              <w:jc w:val="center"/>
              <w:ind w:right="2720"/>
              <w:spacing w:after="0"/>
              <w:rPr>
                <w:sz w:val="20"/>
                <w:szCs w:val="20"/>
                <w:color w:val="auto"/>
              </w:rPr>
            </w:pPr>
            <w:r>
              <w:rPr>
                <w:rFonts w:ascii="Arial" w:cs="Arial" w:eastAsia="Arial" w:hAnsi="Arial"/>
                <w:sz w:val="14"/>
                <w:szCs w:val="14"/>
                <w:b w:val="1"/>
                <w:bCs w:val="1"/>
                <w:color w:val="auto"/>
                <w:w w:val="89"/>
              </w:rPr>
              <w:t>Title of each class</w:t>
            </w:r>
          </w:p>
        </w:tc>
        <w:tc>
          <w:tcPr>
            <w:tcW w:w="196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w w:val="92"/>
              </w:rPr>
              <w:t>Trading Symbol(s)</w:t>
            </w:r>
          </w:p>
        </w:tc>
        <w:tc>
          <w:tcPr>
            <w:tcW w:w="3480" w:type="dxa"/>
            <w:vAlign w:val="bottom"/>
            <w:gridSpan w:val="2"/>
          </w:tcPr>
          <w:p>
            <w:pPr>
              <w:jc w:val="center"/>
              <w:ind w:left="728"/>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0"/>
        </w:trPr>
        <w:tc>
          <w:tcPr>
            <w:tcW w:w="9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r>
      <w:tr>
        <w:trPr>
          <w:trHeight w:val="263"/>
        </w:trPr>
        <w:tc>
          <w:tcPr>
            <w:tcW w:w="4760" w:type="dxa"/>
            <w:vAlign w:val="bottom"/>
            <w:gridSpan w:val="3"/>
          </w:tcPr>
          <w:p>
            <w:pPr>
              <w:jc w:val="center"/>
              <w:ind w:right="1740"/>
              <w:spacing w:after="0"/>
              <w:rPr>
                <w:sz w:val="20"/>
                <w:szCs w:val="20"/>
                <w:color w:val="auto"/>
              </w:rPr>
            </w:pPr>
            <w:r>
              <w:rPr>
                <w:rFonts w:ascii="Arial" w:cs="Arial" w:eastAsia="Arial" w:hAnsi="Arial"/>
                <w:sz w:val="18"/>
                <w:szCs w:val="18"/>
                <w:color w:val="auto"/>
                <w:w w:val="89"/>
              </w:rPr>
              <w:t>Common Stock, par value $0.01 per share</w:t>
            </w:r>
          </w:p>
        </w:tc>
        <w:tc>
          <w:tcPr>
            <w:tcW w:w="1960" w:type="dxa"/>
            <w:vAlign w:val="bottom"/>
            <w:gridSpan w:val="2"/>
          </w:tcPr>
          <w:p>
            <w:pPr>
              <w:jc w:val="center"/>
              <w:ind w:right="820"/>
              <w:spacing w:after="0"/>
              <w:rPr>
                <w:sz w:val="20"/>
                <w:szCs w:val="20"/>
                <w:color w:val="auto"/>
              </w:rPr>
            </w:pPr>
            <w:r>
              <w:rPr>
                <w:rFonts w:ascii="Arial" w:cs="Arial" w:eastAsia="Arial" w:hAnsi="Arial"/>
                <w:sz w:val="18"/>
                <w:szCs w:val="18"/>
                <w:color w:val="auto"/>
              </w:rPr>
              <w:t>NX</w:t>
            </w:r>
          </w:p>
        </w:tc>
        <w:tc>
          <w:tcPr>
            <w:tcW w:w="800" w:type="dxa"/>
            <w:vAlign w:val="bottom"/>
          </w:tcPr>
          <w:p>
            <w:pPr>
              <w:spacing w:after="0"/>
              <w:rPr>
                <w:sz w:val="22"/>
                <w:szCs w:val="22"/>
                <w:color w:val="auto"/>
              </w:rPr>
            </w:pPr>
          </w:p>
        </w:tc>
        <w:tc>
          <w:tcPr>
            <w:tcW w:w="268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148"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103"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and posted pursuant to Rule 405 of Regulation S-T (Section 232.405 of this chapter) during the preceding 12 months (or for such shorter period that the registrant was required to submit such files). Yes x No </w:t>
      </w:r>
      <w:r>
        <w:rPr>
          <w:rFonts w:ascii="MS PGothic" w:cs="MS PGothic" w:eastAsia="MS PGothic" w:hAnsi="MS PGothic"/>
          <w:sz w:val="18"/>
          <w:szCs w:val="18"/>
          <w:color w:val="auto"/>
        </w:rPr>
        <w:t>☐</w:t>
      </w:r>
    </w:p>
    <w:p>
      <w:pPr>
        <w:spacing w:after="0" w:line="103"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270"/>
        </w:trPr>
        <w:tc>
          <w:tcPr>
            <w:tcW w:w="20" w:type="dxa"/>
            <w:vAlign w:val="bottom"/>
          </w:tcPr>
          <w:p>
            <w:pPr>
              <w:spacing w:after="0"/>
              <w:rPr>
                <w:sz w:val="23"/>
                <w:szCs w:val="23"/>
                <w:color w:val="auto"/>
              </w:rPr>
            </w:pPr>
          </w:p>
        </w:tc>
        <w:tc>
          <w:tcPr>
            <w:tcW w:w="2140" w:type="dxa"/>
            <w:vAlign w:val="bottom"/>
          </w:tcPr>
          <w:p>
            <w:pPr>
              <w:ind w:left="20"/>
              <w:spacing w:after="0"/>
              <w:rPr>
                <w:sz w:val="20"/>
                <w:szCs w:val="20"/>
                <w:color w:val="auto"/>
              </w:rPr>
            </w:pPr>
            <w:r>
              <w:rPr>
                <w:rFonts w:ascii="Arial" w:cs="Arial" w:eastAsia="Arial" w:hAnsi="Arial"/>
                <w:sz w:val="18"/>
                <w:szCs w:val="18"/>
                <w:color w:val="auto"/>
              </w:rPr>
              <w:t>Large accelerated filer</w:t>
            </w:r>
          </w:p>
        </w:tc>
        <w:tc>
          <w:tcPr>
            <w:tcW w:w="6060" w:type="dxa"/>
            <w:vAlign w:val="bottom"/>
          </w:tcPr>
          <w:p>
            <w:pPr>
              <w:ind w:left="480"/>
              <w:spacing w:after="0"/>
              <w:rPr>
                <w:sz w:val="20"/>
                <w:szCs w:val="20"/>
                <w:color w:val="auto"/>
              </w:rPr>
            </w:pPr>
            <w:r>
              <w:rPr>
                <w:rFonts w:ascii="Arial" w:cs="Arial" w:eastAsia="Arial" w:hAnsi="Arial"/>
                <w:sz w:val="18"/>
                <w:szCs w:val="18"/>
                <w:color w:val="auto"/>
              </w:rPr>
              <w:t>x</w:t>
            </w:r>
          </w:p>
        </w:tc>
        <w:tc>
          <w:tcPr>
            <w:tcW w:w="2620" w:type="dxa"/>
            <w:vAlign w:val="bottom"/>
          </w:tcPr>
          <w:p>
            <w:pPr>
              <w:ind w:left="4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r>
      <w:tr>
        <w:trPr>
          <w:trHeight w:val="270"/>
        </w:trPr>
        <w:tc>
          <w:tcPr>
            <w:tcW w:w="20" w:type="dxa"/>
            <w:vAlign w:val="bottom"/>
          </w:tcPr>
          <w:p>
            <w:pPr>
              <w:spacing w:after="0"/>
              <w:rPr>
                <w:sz w:val="23"/>
                <w:szCs w:val="23"/>
                <w:color w:val="auto"/>
              </w:rPr>
            </w:pPr>
          </w:p>
        </w:tc>
        <w:tc>
          <w:tcPr>
            <w:tcW w:w="2140" w:type="dxa"/>
            <w:vAlign w:val="bottom"/>
          </w:tcPr>
          <w:p>
            <w:pPr>
              <w:ind w:left="20"/>
              <w:spacing w:after="0"/>
              <w:rPr>
                <w:sz w:val="20"/>
                <w:szCs w:val="20"/>
                <w:color w:val="auto"/>
              </w:rPr>
            </w:pPr>
            <w:r>
              <w:rPr>
                <w:rFonts w:ascii="Arial" w:cs="Arial" w:eastAsia="Arial" w:hAnsi="Arial"/>
                <w:sz w:val="18"/>
                <w:szCs w:val="18"/>
                <w:color w:val="auto"/>
              </w:rPr>
              <w:t>Non-accelerated filer</w:t>
            </w:r>
          </w:p>
        </w:tc>
        <w:tc>
          <w:tcPr>
            <w:tcW w:w="6060" w:type="dxa"/>
            <w:vAlign w:val="bottom"/>
          </w:tcPr>
          <w:p>
            <w:pPr>
              <w:ind w:left="480"/>
              <w:spacing w:after="0"/>
              <w:rPr>
                <w:sz w:val="20"/>
                <w:szCs w:val="20"/>
                <w:color w:val="auto"/>
              </w:rPr>
            </w:pPr>
            <w:r>
              <w:rPr>
                <w:rFonts w:ascii="Arial" w:cs="Arial" w:eastAsia="Arial" w:hAnsi="Arial"/>
                <w:sz w:val="18"/>
                <w:szCs w:val="18"/>
                <w:color w:val="auto"/>
              </w:rPr>
              <w:t>o (Do not check if a smaller reporting company)</w:t>
            </w:r>
          </w:p>
        </w:tc>
        <w:tc>
          <w:tcPr>
            <w:tcW w:w="2620" w:type="dxa"/>
            <w:vAlign w:val="bottom"/>
          </w:tcPr>
          <w:p>
            <w:pPr>
              <w:ind w:left="4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r>
      <w:tr>
        <w:trPr>
          <w:trHeight w:val="270"/>
        </w:trPr>
        <w:tc>
          <w:tcPr>
            <w:tcW w:w="20" w:type="dxa"/>
            <w:vAlign w:val="bottom"/>
          </w:tcPr>
          <w:p>
            <w:pPr>
              <w:spacing w:after="0"/>
              <w:rPr>
                <w:sz w:val="23"/>
                <w:szCs w:val="23"/>
                <w:color w:val="auto"/>
              </w:rPr>
            </w:pPr>
          </w:p>
        </w:tc>
        <w:tc>
          <w:tcPr>
            <w:tcW w:w="2140" w:type="dxa"/>
            <w:vAlign w:val="bottom"/>
          </w:tcPr>
          <w:p>
            <w:pPr>
              <w:spacing w:after="0"/>
              <w:rPr>
                <w:sz w:val="23"/>
                <w:szCs w:val="23"/>
                <w:color w:val="auto"/>
              </w:rPr>
            </w:pPr>
          </w:p>
        </w:tc>
        <w:tc>
          <w:tcPr>
            <w:tcW w:w="6060" w:type="dxa"/>
            <w:vAlign w:val="bottom"/>
          </w:tcPr>
          <w:p>
            <w:pPr>
              <w:spacing w:after="0"/>
              <w:rPr>
                <w:sz w:val="23"/>
                <w:szCs w:val="23"/>
                <w:color w:val="auto"/>
              </w:rPr>
            </w:pPr>
          </w:p>
        </w:tc>
        <w:tc>
          <w:tcPr>
            <w:tcW w:w="2620" w:type="dxa"/>
            <w:vAlign w:val="bottom"/>
          </w:tcPr>
          <w:p>
            <w:pPr>
              <w:ind w:left="40"/>
              <w:spacing w:after="0"/>
              <w:rPr>
                <w:sz w:val="20"/>
                <w:szCs w:val="20"/>
                <w:color w:val="auto"/>
              </w:rPr>
            </w:pPr>
            <w:r>
              <w:rPr>
                <w:rFonts w:ascii="Arial" w:cs="Arial" w:eastAsia="Arial" w:hAnsi="Arial"/>
                <w:sz w:val="18"/>
                <w:szCs w:val="18"/>
                <w:color w:val="auto"/>
              </w:rPr>
              <w:t>Emerging growth company</w:t>
            </w:r>
          </w:p>
        </w:tc>
        <w:tc>
          <w:tcPr>
            <w:tcW w:w="38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r>
      <w:tr>
        <w:trPr>
          <w:trHeight w:val="249"/>
        </w:trPr>
        <w:tc>
          <w:tcPr>
            <w:tcW w:w="20" w:type="dxa"/>
            <w:vAlign w:val="bottom"/>
          </w:tcPr>
          <w:p>
            <w:pPr>
              <w:spacing w:after="0"/>
              <w:rPr>
                <w:sz w:val="21"/>
                <w:szCs w:val="21"/>
                <w:color w:val="auto"/>
              </w:rPr>
            </w:pPr>
          </w:p>
        </w:tc>
        <w:tc>
          <w:tcPr>
            <w:tcW w:w="10820" w:type="dxa"/>
            <w:vAlign w:val="bottom"/>
            <w:gridSpan w:val="3"/>
          </w:tcPr>
          <w:p>
            <w:pPr>
              <w:ind w:left="20"/>
              <w:spacing w:after="0"/>
              <w:rPr>
                <w:sz w:val="20"/>
                <w:szCs w:val="20"/>
                <w:color w:val="auto"/>
              </w:rPr>
            </w:pPr>
            <w:r>
              <w:rPr>
                <w:rFonts w:ascii="Arial" w:cs="Arial" w:eastAsia="Arial" w:hAnsi="Arial"/>
                <w:sz w:val="18"/>
                <w:szCs w:val="18"/>
                <w:color w:val="auto"/>
                <w:w w:val="94"/>
              </w:rPr>
              <w:t>If an emerging growth company, indicate by check mark if the registrant has elected not to use the extended transition period for complying with</w:t>
            </w:r>
          </w:p>
        </w:tc>
        <w:tc>
          <w:tcPr>
            <w:tcW w:w="38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20" w:type="dxa"/>
            <w:vAlign w:val="bottom"/>
          </w:tcPr>
          <w:p>
            <w:pPr>
              <w:spacing w:after="0"/>
              <w:rPr>
                <w:sz w:val="20"/>
                <w:szCs w:val="20"/>
                <w:color w:val="auto"/>
              </w:rPr>
            </w:pPr>
          </w:p>
        </w:tc>
        <w:tc>
          <w:tcPr>
            <w:tcW w:w="8200" w:type="dxa"/>
            <w:vAlign w:val="bottom"/>
            <w:gridSpan w:val="2"/>
          </w:tcPr>
          <w:p>
            <w:pPr>
              <w:ind w:left="20"/>
              <w:spacing w:after="0"/>
              <w:rPr>
                <w:sz w:val="20"/>
                <w:szCs w:val="20"/>
                <w:color w:val="auto"/>
              </w:rPr>
            </w:pPr>
            <w:r>
              <w:rPr>
                <w:rFonts w:ascii="Arial" w:cs="Arial" w:eastAsia="Arial" w:hAnsi="Arial"/>
                <w:sz w:val="18"/>
                <w:szCs w:val="18"/>
                <w:color w:val="auto"/>
                <w:w w:val="96"/>
              </w:rPr>
              <w:t>any new or revised financial accounting standards provided pursuant to Section 13(a) of the Securities Act.</w:t>
            </w:r>
          </w:p>
        </w:tc>
        <w:tc>
          <w:tcPr>
            <w:tcW w:w="262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283"/>
        </w:trPr>
        <w:tc>
          <w:tcPr>
            <w:tcW w:w="8220" w:type="dxa"/>
            <w:vAlign w:val="bottom"/>
            <w:gridSpan w:val="3"/>
          </w:tcPr>
          <w:p>
            <w:pPr>
              <w:spacing w:after="0"/>
              <w:rPr>
                <w:sz w:val="20"/>
                <w:szCs w:val="20"/>
                <w:color w:val="auto"/>
              </w:rPr>
            </w:pPr>
            <w:r>
              <w:rPr>
                <w:rFonts w:ascii="Arial" w:cs="Arial" w:eastAsia="Arial" w:hAnsi="Arial"/>
                <w:sz w:val="18"/>
                <w:szCs w:val="18"/>
                <w:color w:val="auto"/>
                <w:w w:val="91"/>
              </w:rPr>
              <w:t>Indicate by check mark whether the registrant is a shell company (as defined in Rule 12b-2 of the Exchange Act).</w:t>
            </w:r>
          </w:p>
        </w:tc>
        <w:tc>
          <w:tcPr>
            <w:tcW w:w="2620" w:type="dxa"/>
            <w:vAlign w:val="bottom"/>
          </w:tcPr>
          <w:p>
            <w:pPr>
              <w:ind w:left="14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x</w:t>
            </w:r>
          </w:p>
        </w:tc>
        <w:tc>
          <w:tcPr>
            <w:tcW w:w="380" w:type="dxa"/>
            <w:vAlign w:val="bottom"/>
          </w:tcPr>
          <w:p>
            <w:pPr>
              <w:spacing w:after="0"/>
              <w:rPr>
                <w:sz w:val="24"/>
                <w:szCs w:val="24"/>
                <w:color w:val="auto"/>
              </w:rPr>
            </w:pPr>
          </w:p>
        </w:tc>
      </w:tr>
      <w:tr>
        <w:trPr>
          <w:trHeight w:val="230"/>
        </w:trPr>
        <w:tc>
          <w:tcPr>
            <w:tcW w:w="8220" w:type="dxa"/>
            <w:vAlign w:val="bottom"/>
            <w:gridSpan w:val="3"/>
          </w:tcPr>
          <w:p>
            <w:pPr>
              <w:spacing w:after="0"/>
              <w:rPr>
                <w:sz w:val="20"/>
                <w:szCs w:val="20"/>
                <w:color w:val="auto"/>
              </w:rPr>
            </w:pPr>
            <w:r>
              <w:rPr>
                <w:rFonts w:ascii="Arial" w:cs="Arial" w:eastAsia="Arial" w:hAnsi="Arial"/>
                <w:sz w:val="18"/>
                <w:szCs w:val="18"/>
                <w:color w:val="auto"/>
                <w:w w:val="98"/>
              </w:rPr>
              <w:t>The number of shares outstanding of the registrant's Common Stock as of June 2, 2020 was 32,801,738.</w:t>
            </w:r>
          </w:p>
        </w:tc>
        <w:tc>
          <w:tcPr>
            <w:tcW w:w="262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135"/>
        </w:trPr>
        <w:tc>
          <w:tcPr>
            <w:tcW w:w="20" w:type="dxa"/>
            <w:vAlign w:val="bottom"/>
          </w:tcPr>
          <w:p>
            <w:pPr>
              <w:spacing w:after="0"/>
              <w:rPr>
                <w:sz w:val="11"/>
                <w:szCs w:val="11"/>
                <w:color w:val="auto"/>
              </w:rPr>
            </w:pPr>
          </w:p>
        </w:tc>
        <w:tc>
          <w:tcPr>
            <w:tcW w:w="2140" w:type="dxa"/>
            <w:vAlign w:val="bottom"/>
            <w:tcBorders>
              <w:bottom w:val="single" w:sz="8" w:color="auto"/>
            </w:tcBorders>
          </w:tcPr>
          <w:p>
            <w:pPr>
              <w:spacing w:after="0"/>
              <w:rPr>
                <w:sz w:val="11"/>
                <w:szCs w:val="11"/>
                <w:color w:val="auto"/>
              </w:rPr>
            </w:pPr>
          </w:p>
        </w:tc>
        <w:tc>
          <w:tcPr>
            <w:tcW w:w="6060" w:type="dxa"/>
            <w:vAlign w:val="bottom"/>
            <w:tcBorders>
              <w:bottom w:val="single" w:sz="8" w:color="auto"/>
            </w:tcBorders>
          </w:tcPr>
          <w:p>
            <w:pPr>
              <w:spacing w:after="0"/>
              <w:rPr>
                <w:sz w:val="11"/>
                <w:szCs w:val="11"/>
                <w:color w:val="auto"/>
              </w:rPr>
            </w:pPr>
          </w:p>
        </w:tc>
        <w:tc>
          <w:tcPr>
            <w:tcW w:w="26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r>
      <w:tr>
        <w:trPr>
          <w:trHeight w:val="115"/>
        </w:trPr>
        <w:tc>
          <w:tcPr>
            <w:tcW w:w="20" w:type="dxa"/>
            <w:vAlign w:val="bottom"/>
            <w:tcBorders>
              <w:bottom w:val="single" w:sz="8" w:color="auto"/>
            </w:tcBorders>
          </w:tcPr>
          <w:p>
            <w:pPr>
              <w:spacing w:after="0"/>
              <w:rPr>
                <w:sz w:val="10"/>
                <w:szCs w:val="10"/>
                <w:color w:val="auto"/>
              </w:rPr>
            </w:pPr>
          </w:p>
        </w:tc>
        <w:tc>
          <w:tcPr>
            <w:tcW w:w="2140" w:type="dxa"/>
            <w:vAlign w:val="bottom"/>
            <w:tcBorders>
              <w:bottom w:val="single" w:sz="8" w:color="auto"/>
            </w:tcBorders>
          </w:tcPr>
          <w:p>
            <w:pPr>
              <w:spacing w:after="0"/>
              <w:rPr>
                <w:sz w:val="10"/>
                <w:szCs w:val="10"/>
                <w:color w:val="auto"/>
              </w:rPr>
            </w:pPr>
          </w:p>
        </w:tc>
        <w:tc>
          <w:tcPr>
            <w:tcW w:w="6060" w:type="dxa"/>
            <w:vAlign w:val="bottom"/>
            <w:tcBorders>
              <w:bottom w:val="single" w:sz="8" w:color="auto"/>
            </w:tcBorders>
          </w:tcPr>
          <w:p>
            <w:pPr>
              <w:spacing w:after="0"/>
              <w:rPr>
                <w:sz w:val="10"/>
                <w:szCs w:val="10"/>
                <w:color w:val="auto"/>
              </w:rPr>
            </w:pPr>
          </w:p>
        </w:tc>
        <w:tc>
          <w:tcPr>
            <w:tcW w:w="26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611" w:right="339" w:bottom="144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140" w:type="dxa"/>
            <w:vAlign w:val="bottom"/>
            <w:gridSpan w:val="10"/>
          </w:tcPr>
          <w:p>
            <w:pPr>
              <w:jc w:val="center"/>
              <w:ind w:right="1300"/>
              <w:spacing w:after="0"/>
              <w:rPr>
                <w:sz w:val="20"/>
                <w:szCs w:val="20"/>
                <w:color w:val="auto"/>
              </w:rPr>
            </w:pPr>
            <w:r>
              <w:rPr>
                <w:rFonts w:ascii="Arial" w:cs="Arial" w:eastAsia="Arial" w:hAnsi="Arial"/>
                <w:sz w:val="18"/>
                <w:szCs w:val="18"/>
                <w:b w:val="1"/>
                <w:bCs w:val="1"/>
                <w:color w:val="auto"/>
              </w:rPr>
              <w:t>QUANEX BUILDING PRODUCTS CORPORATION</w:t>
            </w:r>
          </w:p>
        </w:tc>
        <w:tc>
          <w:tcPr>
            <w:tcW w:w="560" w:type="dxa"/>
            <w:vAlign w:val="bottom"/>
          </w:tcPr>
          <w:p>
            <w:pPr>
              <w:spacing w:after="0"/>
              <w:rPr>
                <w:sz w:val="20"/>
                <w:szCs w:val="20"/>
                <w:color w:val="auto"/>
              </w:rPr>
            </w:pPr>
          </w:p>
        </w:tc>
      </w:tr>
      <w:tr>
        <w:trPr>
          <w:trHeight w:val="432"/>
        </w:trPr>
        <w:tc>
          <w:tcPr>
            <w:tcW w:w="1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5700" w:type="dxa"/>
            <w:vAlign w:val="bottom"/>
            <w:gridSpan w:val="9"/>
          </w:tcPr>
          <w:p>
            <w:pPr>
              <w:jc w:val="center"/>
              <w:ind w:right="3720"/>
              <w:spacing w:after="0"/>
              <w:rPr>
                <w:sz w:val="20"/>
                <w:szCs w:val="20"/>
                <w:color w:val="auto"/>
              </w:rPr>
            </w:pPr>
            <w:r>
              <w:rPr>
                <w:rFonts w:ascii="Arial" w:cs="Arial" w:eastAsia="Arial" w:hAnsi="Arial"/>
                <w:sz w:val="18"/>
                <w:szCs w:val="18"/>
                <w:b w:val="1"/>
                <w:bCs w:val="1"/>
                <w:color w:val="auto"/>
              </w:rPr>
              <w:t>INDEX</w:t>
            </w:r>
          </w:p>
        </w:tc>
        <w:tc>
          <w:tcPr>
            <w:tcW w:w="560" w:type="dxa"/>
            <w:vAlign w:val="bottom"/>
          </w:tcPr>
          <w:p>
            <w:pPr>
              <w:spacing w:after="0"/>
              <w:rPr>
                <w:sz w:val="24"/>
                <w:szCs w:val="24"/>
                <w:color w:val="auto"/>
              </w:rPr>
            </w:pPr>
          </w:p>
        </w:tc>
      </w:tr>
      <w:tr>
        <w:trPr>
          <w:trHeight w:val="540"/>
        </w:trPr>
        <w:tc>
          <w:tcPr>
            <w:tcW w:w="1160" w:type="dxa"/>
            <w:vAlign w:val="bottom"/>
          </w:tcPr>
          <w:p>
            <w:pPr>
              <w:spacing w:after="0"/>
              <w:rPr>
                <w:sz w:val="20"/>
                <w:szCs w:val="20"/>
                <w:color w:val="auto"/>
              </w:rPr>
            </w:pPr>
            <w:r>
              <w:rPr>
                <w:rFonts w:ascii="Arial" w:cs="Arial" w:eastAsia="Arial" w:hAnsi="Arial"/>
                <w:sz w:val="18"/>
                <w:szCs w:val="18"/>
                <w:color w:val="auto"/>
              </w:rPr>
              <w:t>PART I.</w:t>
            </w:r>
          </w:p>
        </w:tc>
        <w:tc>
          <w:tcPr>
            <w:tcW w:w="8820" w:type="dxa"/>
            <w:vAlign w:val="bottom"/>
            <w:gridSpan w:val="11"/>
          </w:tcPr>
          <w:p>
            <w:pPr>
              <w:spacing w:after="0"/>
              <w:rPr>
                <w:rFonts w:ascii="Arial" w:cs="Arial" w:eastAsia="Arial" w:hAnsi="Arial"/>
                <w:sz w:val="18"/>
                <w:szCs w:val="18"/>
                <w:color w:val="auto"/>
              </w:rPr>
            </w:pPr>
            <w:hyperlink w:anchor="page3">
              <w:r>
                <w:rPr>
                  <w:rFonts w:ascii="Arial" w:cs="Arial" w:eastAsia="Arial" w:hAnsi="Arial"/>
                  <w:sz w:val="18"/>
                  <w:szCs w:val="18"/>
                  <w:color w:val="auto"/>
                </w:rPr>
                <w:t>FINANCIAL INFORMATION</w:t>
              </w:r>
            </w:hyperlink>
          </w:p>
        </w:tc>
        <w:tc>
          <w:tcPr>
            <w:tcW w:w="560" w:type="dxa"/>
            <w:vAlign w:val="bottom"/>
          </w:tcPr>
          <w:p>
            <w:pPr>
              <w:jc w:val="right"/>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1</w:t>
              </w:r>
            </w:hyperlink>
          </w:p>
        </w:tc>
      </w:tr>
      <w:tr>
        <w:trPr>
          <w:trHeight w:val="540"/>
        </w:trPr>
        <w:tc>
          <w:tcPr>
            <w:tcW w:w="1160" w:type="dxa"/>
            <w:vAlign w:val="bottom"/>
          </w:tcPr>
          <w:p>
            <w:pPr>
              <w:ind w:left="120"/>
              <w:spacing w:after="0"/>
              <w:rPr>
                <w:sz w:val="20"/>
                <w:szCs w:val="20"/>
                <w:color w:val="auto"/>
              </w:rPr>
            </w:pPr>
            <w:r>
              <w:rPr>
                <w:rFonts w:ascii="Arial" w:cs="Arial" w:eastAsia="Arial" w:hAnsi="Arial"/>
                <w:sz w:val="18"/>
                <w:szCs w:val="18"/>
                <w:b w:val="1"/>
                <w:bCs w:val="1"/>
                <w:color w:val="auto"/>
              </w:rPr>
              <w:t>Item 1:</w:t>
            </w:r>
          </w:p>
        </w:tc>
        <w:tc>
          <w:tcPr>
            <w:tcW w:w="8820" w:type="dxa"/>
            <w:vAlign w:val="bottom"/>
            <w:gridSpan w:val="11"/>
          </w:tcPr>
          <w:p>
            <w:pPr>
              <w:spacing w:after="0"/>
              <w:rPr>
                <w:sz w:val="20"/>
                <w:szCs w:val="20"/>
                <w:color w:val="auto"/>
              </w:rPr>
            </w:pPr>
            <w:r>
              <w:rPr>
                <w:rFonts w:ascii="Arial" w:cs="Arial" w:eastAsia="Arial" w:hAnsi="Arial"/>
                <w:sz w:val="18"/>
                <w:szCs w:val="18"/>
                <w:b w:val="1"/>
                <w:bCs w:val="1"/>
                <w:color w:val="auto"/>
              </w:rPr>
              <w:t>Financial Statements (Unaudited)</w:t>
            </w:r>
          </w:p>
        </w:tc>
        <w:tc>
          <w:tcPr>
            <w:tcW w:w="560" w:type="dxa"/>
            <w:vAlign w:val="bottom"/>
          </w:tcPr>
          <w:p>
            <w:pPr>
              <w:jc w:val="right"/>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1</w:t>
              </w:r>
            </w:hyperlink>
          </w:p>
        </w:tc>
      </w:tr>
      <w:tr>
        <w:trPr>
          <w:trHeight w:val="418"/>
        </w:trPr>
        <w:tc>
          <w:tcPr>
            <w:tcW w:w="1160" w:type="dxa"/>
            <w:vAlign w:val="bottom"/>
          </w:tcPr>
          <w:p>
            <w:pPr>
              <w:spacing w:after="0"/>
              <w:rPr>
                <w:sz w:val="24"/>
                <w:szCs w:val="24"/>
                <w:color w:val="auto"/>
              </w:rPr>
            </w:pPr>
          </w:p>
        </w:tc>
        <w:tc>
          <w:tcPr>
            <w:tcW w:w="8820" w:type="dxa"/>
            <w:vAlign w:val="bottom"/>
            <w:gridSpan w:val="11"/>
          </w:tcPr>
          <w:p>
            <w:pPr>
              <w:spacing w:after="0"/>
              <w:rPr>
                <w:rFonts w:ascii="Arial" w:cs="Arial" w:eastAsia="Arial" w:hAnsi="Arial"/>
                <w:sz w:val="18"/>
                <w:szCs w:val="18"/>
                <w:color w:val="0000EE"/>
              </w:rPr>
            </w:pPr>
            <w:hyperlink w:anchor="page3">
              <w:r>
                <w:rPr>
                  <w:rFonts w:ascii="Arial" w:cs="Arial" w:eastAsia="Arial" w:hAnsi="Arial"/>
                  <w:sz w:val="18"/>
                  <w:szCs w:val="18"/>
                  <w:u w:val="single" w:color="auto"/>
                  <w:color w:val="0000EE"/>
                </w:rPr>
                <w:t>Condensed Consolidated Balance Sheets –</w:t>
              </w:r>
              <w:r>
                <w:rPr>
                  <w:rFonts w:ascii="Arial" w:cs="Arial" w:eastAsia="Arial" w:hAnsi="Arial"/>
                  <w:sz w:val="18"/>
                  <w:szCs w:val="18"/>
                  <w:color w:val="0000EE"/>
                </w:rPr>
                <w:t xml:space="preserve"> </w:t>
              </w:r>
            </w:hyperlink>
            <w:r>
              <w:rPr>
                <w:rFonts w:ascii="Arial" w:cs="Arial" w:eastAsia="Arial" w:hAnsi="Arial"/>
                <w:sz w:val="18"/>
                <w:szCs w:val="18"/>
                <w:color w:val="0000FF"/>
              </w:rPr>
              <w:t>April</w:t>
            </w:r>
            <w:r>
              <w:rPr>
                <w:rFonts w:ascii="Arial" w:cs="Arial" w:eastAsia="Arial" w:hAnsi="Arial"/>
                <w:sz w:val="18"/>
                <w:szCs w:val="18"/>
                <w:color w:val="0000EE"/>
              </w:rPr>
              <w:t xml:space="preserve"> </w:t>
            </w:r>
            <w:r>
              <w:rPr>
                <w:rFonts w:ascii="Arial" w:cs="Arial" w:eastAsia="Arial" w:hAnsi="Arial"/>
                <w:sz w:val="18"/>
                <w:szCs w:val="18"/>
                <w:color w:val="0000FF"/>
              </w:rPr>
              <w:t>30, 2020 and October 31, 2019</w:t>
            </w:r>
          </w:p>
        </w:tc>
        <w:tc>
          <w:tcPr>
            <w:tcW w:w="560" w:type="dxa"/>
            <w:vAlign w:val="bottom"/>
          </w:tcPr>
          <w:p>
            <w:pPr>
              <w:jc w:val="right"/>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1</w:t>
              </w:r>
            </w:hyperlink>
          </w:p>
        </w:tc>
      </w:tr>
      <w:tr>
        <w:trPr>
          <w:trHeight w:val="20"/>
        </w:trPr>
        <w:tc>
          <w:tcPr>
            <w:tcW w:w="1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39"/>
        </w:trPr>
        <w:tc>
          <w:tcPr>
            <w:tcW w:w="1160" w:type="dxa"/>
            <w:vAlign w:val="bottom"/>
          </w:tcPr>
          <w:p>
            <w:pPr>
              <w:spacing w:after="0"/>
              <w:rPr>
                <w:sz w:val="24"/>
                <w:szCs w:val="24"/>
                <w:color w:val="auto"/>
              </w:rPr>
            </w:pPr>
          </w:p>
        </w:tc>
        <w:tc>
          <w:tcPr>
            <w:tcW w:w="8820" w:type="dxa"/>
            <w:vAlign w:val="bottom"/>
            <w:gridSpan w:val="11"/>
          </w:tcPr>
          <w:p>
            <w:pPr>
              <w:spacing w:after="0"/>
              <w:rPr>
                <w:rFonts w:ascii="Arial" w:cs="Arial" w:eastAsia="Arial" w:hAnsi="Arial"/>
                <w:sz w:val="18"/>
                <w:szCs w:val="18"/>
                <w:color w:val="0000EE"/>
                <w:w w:val="99"/>
              </w:rPr>
            </w:pPr>
            <w:hyperlink w:anchor="page4">
              <w:r>
                <w:rPr>
                  <w:rFonts w:ascii="Arial" w:cs="Arial" w:eastAsia="Arial" w:hAnsi="Arial"/>
                  <w:sz w:val="18"/>
                  <w:szCs w:val="18"/>
                  <w:u w:val="single" w:color="auto"/>
                  <w:color w:val="0000EE"/>
                  <w:w w:val="99"/>
                </w:rPr>
                <w:t>Condensed Consolidated Statements of Income (Loss) – Three</w:t>
              </w:r>
              <w:r>
                <w:rPr>
                  <w:rFonts w:ascii="Arial" w:cs="Arial" w:eastAsia="Arial" w:hAnsi="Arial"/>
                  <w:sz w:val="18"/>
                  <w:szCs w:val="18"/>
                  <w:color w:val="0000EE"/>
                  <w:w w:val="99"/>
                </w:rPr>
                <w:t xml:space="preserve"> </w:t>
              </w:r>
            </w:hyperlink>
            <w:r>
              <w:rPr>
                <w:rFonts w:ascii="Arial" w:cs="Arial" w:eastAsia="Arial" w:hAnsi="Arial"/>
                <w:sz w:val="18"/>
                <w:szCs w:val="18"/>
                <w:color w:val="0000FF"/>
                <w:w w:val="99"/>
              </w:rPr>
              <w:t>and</w:t>
            </w:r>
            <w:r>
              <w:rPr>
                <w:rFonts w:ascii="Arial" w:cs="Arial" w:eastAsia="Arial" w:hAnsi="Arial"/>
                <w:sz w:val="18"/>
                <w:szCs w:val="18"/>
                <w:color w:val="0000EE"/>
                <w:w w:val="99"/>
              </w:rPr>
              <w:t xml:space="preserve"> </w:t>
            </w:r>
            <w:r>
              <w:rPr>
                <w:rFonts w:ascii="Arial" w:cs="Arial" w:eastAsia="Arial" w:hAnsi="Arial"/>
                <w:sz w:val="18"/>
                <w:szCs w:val="18"/>
                <w:color w:val="0000FF"/>
                <w:w w:val="99"/>
              </w:rPr>
              <w:t>Six Months Ended April 30, 2020 and 2019</w:t>
            </w:r>
          </w:p>
        </w:tc>
        <w:tc>
          <w:tcPr>
            <w:tcW w:w="560" w:type="dxa"/>
            <w:vAlign w:val="bottom"/>
          </w:tcPr>
          <w:p>
            <w:pPr>
              <w:jc w:val="right"/>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2</w:t>
              </w:r>
            </w:hyperlink>
          </w:p>
        </w:tc>
      </w:tr>
      <w:tr>
        <w:trPr>
          <w:trHeight w:val="20"/>
        </w:trPr>
        <w:tc>
          <w:tcPr>
            <w:tcW w:w="1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2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39"/>
        </w:trPr>
        <w:tc>
          <w:tcPr>
            <w:tcW w:w="1160" w:type="dxa"/>
            <w:vAlign w:val="bottom"/>
          </w:tcPr>
          <w:p>
            <w:pPr>
              <w:spacing w:after="0"/>
              <w:rPr>
                <w:sz w:val="24"/>
                <w:szCs w:val="24"/>
                <w:color w:val="auto"/>
              </w:rPr>
            </w:pPr>
          </w:p>
        </w:tc>
        <w:tc>
          <w:tcPr>
            <w:tcW w:w="846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color w:val="0000FF"/>
                <w:w w:val="90"/>
              </w:rPr>
              <w:t>Condensed Consolidated Statements of Comprehensive (Loss) Income - Three and Six Months Ended April 30, 2020</w:t>
            </w:r>
          </w:p>
        </w:tc>
        <w:tc>
          <w:tcPr>
            <w:tcW w:w="360" w:type="dxa"/>
            <w:vAlign w:val="bottom"/>
          </w:tcPr>
          <w:p>
            <w:pPr>
              <w:spacing w:after="0"/>
              <w:rPr>
                <w:sz w:val="24"/>
                <w:szCs w:val="24"/>
                <w:color w:val="auto"/>
              </w:rPr>
            </w:pPr>
          </w:p>
        </w:tc>
        <w:tc>
          <w:tcPr>
            <w:tcW w:w="560" w:type="dxa"/>
            <w:vAlign w:val="bottom"/>
          </w:tcPr>
          <w:p>
            <w:pPr>
              <w:jc w:val="right"/>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3</w:t>
              </w:r>
            </w:hyperlink>
          </w:p>
        </w:tc>
      </w:tr>
      <w:tr>
        <w:trPr>
          <w:trHeight w:val="196"/>
        </w:trPr>
        <w:tc>
          <w:tcPr>
            <w:tcW w:w="1160" w:type="dxa"/>
            <w:vAlign w:val="bottom"/>
          </w:tcPr>
          <w:p>
            <w:pPr>
              <w:spacing w:after="0"/>
              <w:rPr>
                <w:sz w:val="17"/>
                <w:szCs w:val="17"/>
                <w:color w:val="auto"/>
              </w:rPr>
            </w:pPr>
          </w:p>
        </w:tc>
        <w:tc>
          <w:tcPr>
            <w:tcW w:w="680" w:type="dxa"/>
            <w:vAlign w:val="bottom"/>
            <w:tcBorders>
              <w:bottom w:val="single" w:sz="8" w:color="0000FF"/>
            </w:tcBorders>
          </w:tcPr>
          <w:p>
            <w:pPr>
              <w:spacing w:after="0" w:line="196" w:lineRule="exact"/>
              <w:rPr>
                <w:sz w:val="20"/>
                <w:szCs w:val="20"/>
                <w:color w:val="auto"/>
              </w:rPr>
            </w:pPr>
            <w:r>
              <w:rPr>
                <w:rFonts w:ascii="Arial" w:cs="Arial" w:eastAsia="Arial" w:hAnsi="Arial"/>
                <w:sz w:val="18"/>
                <w:szCs w:val="18"/>
                <w:color w:val="0000FF"/>
                <w:w w:val="87"/>
              </w:rPr>
              <w:t>and 2019</w:t>
            </w:r>
          </w:p>
        </w:tc>
        <w:tc>
          <w:tcPr>
            <w:tcW w:w="8140" w:type="dxa"/>
            <w:vAlign w:val="bottom"/>
            <w:gridSpan w:val="10"/>
          </w:tcPr>
          <w:p>
            <w:pPr>
              <w:spacing w:after="0"/>
              <w:rPr>
                <w:sz w:val="17"/>
                <w:szCs w:val="17"/>
                <w:color w:val="auto"/>
              </w:rPr>
            </w:pPr>
          </w:p>
        </w:tc>
        <w:tc>
          <w:tcPr>
            <w:tcW w:w="560" w:type="dxa"/>
            <w:vAlign w:val="bottom"/>
          </w:tcPr>
          <w:p>
            <w:pPr>
              <w:spacing w:after="0"/>
              <w:rPr>
                <w:sz w:val="17"/>
                <w:szCs w:val="17"/>
                <w:color w:val="auto"/>
              </w:rPr>
            </w:pPr>
          </w:p>
        </w:tc>
      </w:tr>
      <w:tr>
        <w:trPr>
          <w:trHeight w:val="439"/>
        </w:trPr>
        <w:tc>
          <w:tcPr>
            <w:tcW w:w="1160" w:type="dxa"/>
            <w:vAlign w:val="bottom"/>
          </w:tcPr>
          <w:p>
            <w:pPr>
              <w:spacing w:after="0"/>
              <w:rPr>
                <w:sz w:val="24"/>
                <w:szCs w:val="24"/>
                <w:color w:val="auto"/>
              </w:rPr>
            </w:pPr>
          </w:p>
        </w:tc>
        <w:tc>
          <w:tcPr>
            <w:tcW w:w="8820" w:type="dxa"/>
            <w:vAlign w:val="bottom"/>
            <w:gridSpan w:val="11"/>
          </w:tcPr>
          <w:p>
            <w:pPr>
              <w:spacing w:after="0"/>
              <w:rPr>
                <w:rFonts w:ascii="Arial" w:cs="Arial" w:eastAsia="Arial" w:hAnsi="Arial"/>
                <w:sz w:val="18"/>
                <w:szCs w:val="18"/>
                <w:color w:val="0000EE"/>
              </w:rPr>
            </w:pPr>
            <w:hyperlink w:anchor="page6">
              <w:r>
                <w:rPr>
                  <w:rFonts w:ascii="Arial" w:cs="Arial" w:eastAsia="Arial" w:hAnsi="Arial"/>
                  <w:sz w:val="18"/>
                  <w:szCs w:val="18"/>
                  <w:u w:val="single" w:color="auto"/>
                  <w:color w:val="0000EE"/>
                </w:rPr>
                <w:t>Condensed Consolidated Statements of Cash Flows –</w:t>
              </w:r>
              <w:r>
                <w:rPr>
                  <w:rFonts w:ascii="Arial" w:cs="Arial" w:eastAsia="Arial" w:hAnsi="Arial"/>
                  <w:sz w:val="18"/>
                  <w:szCs w:val="18"/>
                  <w:color w:val="0000EE"/>
                </w:rPr>
                <w:t xml:space="preserve"> </w:t>
              </w:r>
            </w:hyperlink>
            <w:r>
              <w:rPr>
                <w:rFonts w:ascii="Arial" w:cs="Arial" w:eastAsia="Arial" w:hAnsi="Arial"/>
                <w:sz w:val="18"/>
                <w:szCs w:val="18"/>
                <w:color w:val="0000FF"/>
              </w:rPr>
              <w:t>Six</w:t>
            </w:r>
            <w:r>
              <w:rPr>
                <w:rFonts w:ascii="Arial" w:cs="Arial" w:eastAsia="Arial" w:hAnsi="Arial"/>
                <w:sz w:val="18"/>
                <w:szCs w:val="18"/>
                <w:color w:val="0000EE"/>
              </w:rPr>
              <w:t xml:space="preserve"> </w:t>
            </w:r>
            <w:r>
              <w:rPr>
                <w:rFonts w:ascii="Arial" w:cs="Arial" w:eastAsia="Arial" w:hAnsi="Arial"/>
                <w:sz w:val="18"/>
                <w:szCs w:val="18"/>
                <w:color w:val="0000FF"/>
              </w:rPr>
              <w:t>Months Ended April 30, 2020 and 2019</w:t>
            </w:r>
          </w:p>
        </w:tc>
        <w:tc>
          <w:tcPr>
            <w:tcW w:w="560" w:type="dxa"/>
            <w:vAlign w:val="bottom"/>
          </w:tcPr>
          <w:p>
            <w:pPr>
              <w:jc w:val="right"/>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4</w:t>
              </w:r>
            </w:hyperlink>
          </w:p>
        </w:tc>
      </w:tr>
      <w:tr>
        <w:trPr>
          <w:trHeight w:val="20"/>
        </w:trPr>
        <w:tc>
          <w:tcPr>
            <w:tcW w:w="1160" w:type="dxa"/>
            <w:vAlign w:val="bottom"/>
          </w:tcPr>
          <w:p>
            <w:pPr>
              <w:spacing w:after="0" w:line="20" w:lineRule="exact"/>
              <w:rPr>
                <w:sz w:val="1"/>
                <w:szCs w:val="1"/>
                <w:color w:val="auto"/>
              </w:rPr>
            </w:pPr>
          </w:p>
        </w:tc>
        <w:tc>
          <w:tcPr>
            <w:tcW w:w="3900" w:type="dxa"/>
            <w:vAlign w:val="bottom"/>
            <w:gridSpan w:val="3"/>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540" w:type="dxa"/>
            <w:vAlign w:val="bottom"/>
            <w:gridSpan w:val="3"/>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39"/>
        </w:trPr>
        <w:tc>
          <w:tcPr>
            <w:tcW w:w="1160" w:type="dxa"/>
            <w:vAlign w:val="bottom"/>
          </w:tcPr>
          <w:p>
            <w:pPr>
              <w:spacing w:after="0"/>
              <w:rPr>
                <w:sz w:val="24"/>
                <w:szCs w:val="24"/>
                <w:color w:val="auto"/>
              </w:rPr>
            </w:pPr>
          </w:p>
        </w:tc>
        <w:tc>
          <w:tcPr>
            <w:tcW w:w="8820" w:type="dxa"/>
            <w:vAlign w:val="bottom"/>
            <w:gridSpan w:val="11"/>
          </w:tcPr>
          <w:p>
            <w:pPr>
              <w:spacing w:after="0"/>
              <w:rPr>
                <w:rFonts w:ascii="Arial" w:cs="Arial" w:eastAsia="Arial" w:hAnsi="Arial"/>
                <w:sz w:val="18"/>
                <w:szCs w:val="18"/>
                <w:color w:val="0000EE"/>
              </w:rPr>
            </w:pPr>
            <w:hyperlink w:anchor="page7">
              <w:r>
                <w:rPr>
                  <w:rFonts w:ascii="Arial" w:cs="Arial" w:eastAsia="Arial" w:hAnsi="Arial"/>
                  <w:sz w:val="18"/>
                  <w:szCs w:val="18"/>
                  <w:u w:val="single" w:color="auto"/>
                  <w:color w:val="0000EE"/>
                </w:rPr>
                <w:t>Condensed Consolidated Statement of Stockholders’ Equity –</w:t>
              </w:r>
              <w:r>
                <w:rPr>
                  <w:rFonts w:ascii="Arial" w:cs="Arial" w:eastAsia="Arial" w:hAnsi="Arial"/>
                  <w:sz w:val="18"/>
                  <w:szCs w:val="18"/>
                  <w:color w:val="0000EE"/>
                </w:rPr>
                <w:t xml:space="preserve"> </w:t>
              </w:r>
            </w:hyperlink>
            <w:r>
              <w:rPr>
                <w:rFonts w:ascii="Arial" w:cs="Arial" w:eastAsia="Arial" w:hAnsi="Arial"/>
                <w:sz w:val="18"/>
                <w:szCs w:val="18"/>
                <w:color w:val="0000FF"/>
              </w:rPr>
              <w:t>Six</w:t>
            </w:r>
            <w:r>
              <w:rPr>
                <w:rFonts w:ascii="Arial" w:cs="Arial" w:eastAsia="Arial" w:hAnsi="Arial"/>
                <w:sz w:val="18"/>
                <w:szCs w:val="18"/>
                <w:color w:val="0000EE"/>
              </w:rPr>
              <w:t xml:space="preserve"> </w:t>
            </w:r>
            <w:r>
              <w:rPr>
                <w:rFonts w:ascii="Arial" w:cs="Arial" w:eastAsia="Arial" w:hAnsi="Arial"/>
                <w:sz w:val="18"/>
                <w:szCs w:val="18"/>
                <w:color w:val="0000FF"/>
              </w:rPr>
              <w:t>Months Ended April 30, 2020 and 2019</w:t>
            </w:r>
          </w:p>
        </w:tc>
        <w:tc>
          <w:tcPr>
            <w:tcW w:w="560" w:type="dxa"/>
            <w:vAlign w:val="bottom"/>
          </w:tcPr>
          <w:p>
            <w:pPr>
              <w:jc w:val="right"/>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5</w:t>
              </w:r>
            </w:hyperlink>
          </w:p>
        </w:tc>
      </w:tr>
      <w:tr>
        <w:trPr>
          <w:trHeight w:val="20"/>
        </w:trPr>
        <w:tc>
          <w:tcPr>
            <w:tcW w:w="1160" w:type="dxa"/>
            <w:vAlign w:val="bottom"/>
          </w:tcPr>
          <w:p>
            <w:pPr>
              <w:spacing w:after="0" w:line="20" w:lineRule="exact"/>
              <w:rPr>
                <w:sz w:val="1"/>
                <w:szCs w:val="1"/>
                <w:color w:val="auto"/>
              </w:rPr>
            </w:pPr>
          </w:p>
        </w:tc>
        <w:tc>
          <w:tcPr>
            <w:tcW w:w="4500" w:type="dxa"/>
            <w:vAlign w:val="bottom"/>
            <w:gridSpan w:val="4"/>
          </w:tcPr>
          <w:p>
            <w:pPr>
              <w:spacing w:after="0" w:line="20" w:lineRule="exact"/>
              <w:rPr>
                <w:sz w:val="1"/>
                <w:szCs w:val="1"/>
                <w:color w:val="auto"/>
              </w:rPr>
            </w:pPr>
          </w:p>
        </w:tc>
        <w:tc>
          <w:tcPr>
            <w:tcW w:w="3160" w:type="dxa"/>
            <w:vAlign w:val="bottom"/>
            <w:gridSpan w:val="4"/>
            <w:shd w:val="clear" w:color="auto" w:fill="0000FF"/>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80"/>
        </w:trPr>
        <w:tc>
          <w:tcPr>
            <w:tcW w:w="1160" w:type="dxa"/>
            <w:vAlign w:val="bottom"/>
          </w:tcPr>
          <w:p>
            <w:pPr>
              <w:spacing w:after="0"/>
              <w:rPr>
                <w:sz w:val="24"/>
                <w:szCs w:val="24"/>
                <w:color w:val="auto"/>
              </w:rPr>
            </w:pPr>
          </w:p>
        </w:tc>
        <w:tc>
          <w:tcPr>
            <w:tcW w:w="8820" w:type="dxa"/>
            <w:vAlign w:val="bottom"/>
            <w:gridSpan w:val="11"/>
          </w:tcPr>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Notes to Unaudited Condensed Consolidated Financial Statements</w:t>
              </w:r>
            </w:hyperlink>
          </w:p>
        </w:tc>
        <w:tc>
          <w:tcPr>
            <w:tcW w:w="560" w:type="dxa"/>
            <w:vAlign w:val="bottom"/>
          </w:tcPr>
          <w:p>
            <w:pPr>
              <w:jc w:val="right"/>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7</w:t>
              </w:r>
            </w:hyperlink>
          </w:p>
        </w:tc>
      </w:tr>
      <w:tr>
        <w:trPr>
          <w:trHeight w:val="540"/>
        </w:trPr>
        <w:tc>
          <w:tcPr>
            <w:tcW w:w="1160" w:type="dxa"/>
            <w:vAlign w:val="bottom"/>
          </w:tcPr>
          <w:p>
            <w:pPr>
              <w:ind w:left="120"/>
              <w:spacing w:after="0"/>
              <w:rPr>
                <w:sz w:val="20"/>
                <w:szCs w:val="20"/>
                <w:color w:val="auto"/>
              </w:rPr>
            </w:pPr>
            <w:r>
              <w:rPr>
                <w:rFonts w:ascii="Arial" w:cs="Arial" w:eastAsia="Arial" w:hAnsi="Arial"/>
                <w:sz w:val="18"/>
                <w:szCs w:val="18"/>
                <w:b w:val="1"/>
                <w:bCs w:val="1"/>
                <w:color w:val="auto"/>
              </w:rPr>
              <w:t>Item 2:</w:t>
            </w:r>
          </w:p>
        </w:tc>
        <w:tc>
          <w:tcPr>
            <w:tcW w:w="8820" w:type="dxa"/>
            <w:vAlign w:val="bottom"/>
            <w:gridSpan w:val="11"/>
          </w:tcPr>
          <w:p>
            <w:pPr>
              <w:spacing w:after="0"/>
              <w:rPr>
                <w:rFonts w:ascii="Arial" w:cs="Arial" w:eastAsia="Arial" w:hAnsi="Arial"/>
                <w:sz w:val="18"/>
                <w:szCs w:val="18"/>
                <w:b w:val="1"/>
                <w:bCs w:val="1"/>
                <w:color w:val="auto"/>
              </w:rPr>
            </w:pPr>
            <w:hyperlink w:anchor="page29">
              <w:r>
                <w:rPr>
                  <w:rFonts w:ascii="Arial" w:cs="Arial" w:eastAsia="Arial" w:hAnsi="Arial"/>
                  <w:sz w:val="18"/>
                  <w:szCs w:val="18"/>
                  <w:b w:val="1"/>
                  <w:bCs w:val="1"/>
                  <w:color w:val="auto"/>
                </w:rPr>
                <w:t>Management’s Discussion and Analysis of Financial Condition and Results of Operations</w:t>
              </w:r>
            </w:hyperlink>
          </w:p>
        </w:tc>
        <w:tc>
          <w:tcPr>
            <w:tcW w:w="560" w:type="dxa"/>
            <w:vAlign w:val="bottom"/>
          </w:tcPr>
          <w:p>
            <w:pPr>
              <w:jc w:val="right"/>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27</w:t>
              </w:r>
            </w:hyperlink>
          </w:p>
        </w:tc>
      </w:tr>
      <w:tr>
        <w:trPr>
          <w:trHeight w:val="540"/>
        </w:trPr>
        <w:tc>
          <w:tcPr>
            <w:tcW w:w="1160" w:type="dxa"/>
            <w:vAlign w:val="bottom"/>
          </w:tcPr>
          <w:p>
            <w:pPr>
              <w:ind w:left="120"/>
              <w:spacing w:after="0"/>
              <w:rPr>
                <w:sz w:val="20"/>
                <w:szCs w:val="20"/>
                <w:color w:val="auto"/>
              </w:rPr>
            </w:pPr>
            <w:r>
              <w:rPr>
                <w:rFonts w:ascii="Arial" w:cs="Arial" w:eastAsia="Arial" w:hAnsi="Arial"/>
                <w:sz w:val="18"/>
                <w:szCs w:val="18"/>
                <w:b w:val="1"/>
                <w:bCs w:val="1"/>
                <w:color w:val="auto"/>
              </w:rPr>
              <w:t>Item 3:</w:t>
            </w:r>
          </w:p>
        </w:tc>
        <w:tc>
          <w:tcPr>
            <w:tcW w:w="8820" w:type="dxa"/>
            <w:vAlign w:val="bottom"/>
            <w:gridSpan w:val="11"/>
          </w:tcPr>
          <w:p>
            <w:pPr>
              <w:spacing w:after="0"/>
              <w:rPr>
                <w:rFonts w:ascii="Arial" w:cs="Arial" w:eastAsia="Arial" w:hAnsi="Arial"/>
                <w:sz w:val="18"/>
                <w:szCs w:val="18"/>
                <w:b w:val="1"/>
                <w:bCs w:val="1"/>
                <w:color w:val="auto"/>
              </w:rPr>
            </w:pPr>
            <w:hyperlink w:anchor="page41">
              <w:r>
                <w:rPr>
                  <w:rFonts w:ascii="Arial" w:cs="Arial" w:eastAsia="Arial" w:hAnsi="Arial"/>
                  <w:sz w:val="18"/>
                  <w:szCs w:val="18"/>
                  <w:b w:val="1"/>
                  <w:bCs w:val="1"/>
                  <w:color w:val="auto"/>
                </w:rPr>
                <w:t>Quantitative and Qualitative Disclosures About Market Risk</w:t>
              </w:r>
            </w:hyperlink>
          </w:p>
        </w:tc>
        <w:tc>
          <w:tcPr>
            <w:tcW w:w="560" w:type="dxa"/>
            <w:vAlign w:val="bottom"/>
          </w:tcPr>
          <w:p>
            <w:pPr>
              <w:jc w:val="right"/>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39</w:t>
              </w:r>
            </w:hyperlink>
          </w:p>
        </w:tc>
      </w:tr>
      <w:tr>
        <w:trPr>
          <w:trHeight w:val="540"/>
        </w:trPr>
        <w:tc>
          <w:tcPr>
            <w:tcW w:w="1160" w:type="dxa"/>
            <w:vAlign w:val="bottom"/>
          </w:tcPr>
          <w:p>
            <w:pPr>
              <w:ind w:left="120"/>
              <w:spacing w:after="0"/>
              <w:rPr>
                <w:sz w:val="20"/>
                <w:szCs w:val="20"/>
                <w:color w:val="auto"/>
              </w:rPr>
            </w:pPr>
            <w:r>
              <w:rPr>
                <w:rFonts w:ascii="Arial" w:cs="Arial" w:eastAsia="Arial" w:hAnsi="Arial"/>
                <w:sz w:val="18"/>
                <w:szCs w:val="18"/>
                <w:b w:val="1"/>
                <w:bCs w:val="1"/>
                <w:color w:val="auto"/>
              </w:rPr>
              <w:t>Item 4:</w:t>
            </w:r>
          </w:p>
        </w:tc>
        <w:tc>
          <w:tcPr>
            <w:tcW w:w="8820" w:type="dxa"/>
            <w:vAlign w:val="bottom"/>
            <w:gridSpan w:val="11"/>
          </w:tcPr>
          <w:p>
            <w:pPr>
              <w:spacing w:after="0"/>
              <w:rPr>
                <w:rFonts w:ascii="Arial" w:cs="Arial" w:eastAsia="Arial" w:hAnsi="Arial"/>
                <w:sz w:val="18"/>
                <w:szCs w:val="18"/>
                <w:b w:val="1"/>
                <w:bCs w:val="1"/>
                <w:color w:val="auto"/>
              </w:rPr>
            </w:pPr>
            <w:hyperlink w:anchor="page42">
              <w:r>
                <w:rPr>
                  <w:rFonts w:ascii="Arial" w:cs="Arial" w:eastAsia="Arial" w:hAnsi="Arial"/>
                  <w:sz w:val="18"/>
                  <w:szCs w:val="18"/>
                  <w:b w:val="1"/>
                  <w:bCs w:val="1"/>
                  <w:color w:val="auto"/>
                </w:rPr>
                <w:t>Controls and Procedures</w:t>
              </w:r>
            </w:hyperlink>
          </w:p>
        </w:tc>
        <w:tc>
          <w:tcPr>
            <w:tcW w:w="560" w:type="dxa"/>
            <w:vAlign w:val="bottom"/>
          </w:tcPr>
          <w:p>
            <w:pPr>
              <w:jc w:val="right"/>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40</w:t>
              </w:r>
            </w:hyperlink>
          </w:p>
        </w:tc>
      </w:tr>
      <w:tr>
        <w:trPr>
          <w:trHeight w:val="540"/>
        </w:trPr>
        <w:tc>
          <w:tcPr>
            <w:tcW w:w="1160" w:type="dxa"/>
            <w:vAlign w:val="bottom"/>
          </w:tcPr>
          <w:p>
            <w:pPr>
              <w:spacing w:after="0"/>
              <w:rPr>
                <w:sz w:val="20"/>
                <w:szCs w:val="20"/>
                <w:color w:val="auto"/>
              </w:rPr>
            </w:pPr>
            <w:r>
              <w:rPr>
                <w:rFonts w:ascii="Arial" w:cs="Arial" w:eastAsia="Arial" w:hAnsi="Arial"/>
                <w:sz w:val="18"/>
                <w:szCs w:val="18"/>
                <w:color w:val="auto"/>
              </w:rPr>
              <w:t>PART II.</w:t>
            </w:r>
          </w:p>
        </w:tc>
        <w:tc>
          <w:tcPr>
            <w:tcW w:w="8820" w:type="dxa"/>
            <w:vAlign w:val="bottom"/>
            <w:gridSpan w:val="11"/>
          </w:tcPr>
          <w:p>
            <w:pPr>
              <w:spacing w:after="0"/>
              <w:rPr>
                <w:rFonts w:ascii="Arial" w:cs="Arial" w:eastAsia="Arial" w:hAnsi="Arial"/>
                <w:sz w:val="18"/>
                <w:szCs w:val="18"/>
                <w:color w:val="auto"/>
              </w:rPr>
            </w:pPr>
            <w:hyperlink w:anchor="page43">
              <w:r>
                <w:rPr>
                  <w:rFonts w:ascii="Arial" w:cs="Arial" w:eastAsia="Arial" w:hAnsi="Arial"/>
                  <w:sz w:val="18"/>
                  <w:szCs w:val="18"/>
                  <w:color w:val="auto"/>
                </w:rPr>
                <w:t>OTHER INFORMATION</w:t>
              </w:r>
            </w:hyperlink>
          </w:p>
        </w:tc>
        <w:tc>
          <w:tcPr>
            <w:tcW w:w="560" w:type="dxa"/>
            <w:vAlign w:val="bottom"/>
          </w:tcPr>
          <w:p>
            <w:pPr>
              <w:jc w:val="right"/>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41</w:t>
              </w:r>
            </w:hyperlink>
          </w:p>
        </w:tc>
      </w:tr>
      <w:tr>
        <w:trPr>
          <w:trHeight w:val="540"/>
        </w:trPr>
        <w:tc>
          <w:tcPr>
            <w:tcW w:w="1160" w:type="dxa"/>
            <w:vAlign w:val="bottom"/>
          </w:tcPr>
          <w:p>
            <w:pPr>
              <w:ind w:left="120"/>
              <w:spacing w:after="0"/>
              <w:rPr>
                <w:sz w:val="20"/>
                <w:szCs w:val="20"/>
                <w:color w:val="auto"/>
              </w:rPr>
            </w:pPr>
            <w:r>
              <w:rPr>
                <w:rFonts w:ascii="Arial" w:cs="Arial" w:eastAsia="Arial" w:hAnsi="Arial"/>
                <w:sz w:val="18"/>
                <w:szCs w:val="18"/>
                <w:b w:val="1"/>
                <w:bCs w:val="1"/>
                <w:color w:val="auto"/>
              </w:rPr>
              <w:t>Item 1A:</w:t>
            </w:r>
          </w:p>
        </w:tc>
        <w:tc>
          <w:tcPr>
            <w:tcW w:w="8820" w:type="dxa"/>
            <w:vAlign w:val="bottom"/>
            <w:gridSpan w:val="11"/>
          </w:tcPr>
          <w:p>
            <w:pPr>
              <w:spacing w:after="0"/>
              <w:rPr>
                <w:sz w:val="20"/>
                <w:szCs w:val="20"/>
                <w:color w:val="auto"/>
              </w:rPr>
            </w:pPr>
            <w:r>
              <w:rPr>
                <w:rFonts w:ascii="Arial" w:cs="Arial" w:eastAsia="Arial" w:hAnsi="Arial"/>
                <w:sz w:val="18"/>
                <w:szCs w:val="18"/>
                <w:b w:val="1"/>
                <w:bCs w:val="1"/>
                <w:color w:val="auto"/>
              </w:rPr>
              <w:t>Risk Factors</w:t>
            </w:r>
          </w:p>
        </w:tc>
        <w:tc>
          <w:tcPr>
            <w:tcW w:w="560" w:type="dxa"/>
            <w:vAlign w:val="bottom"/>
          </w:tcPr>
          <w:p>
            <w:pPr>
              <w:jc w:val="right"/>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41</w:t>
              </w:r>
            </w:hyperlink>
          </w:p>
        </w:tc>
      </w:tr>
      <w:tr>
        <w:trPr>
          <w:trHeight w:val="540"/>
        </w:trPr>
        <w:tc>
          <w:tcPr>
            <w:tcW w:w="1160" w:type="dxa"/>
            <w:vAlign w:val="bottom"/>
          </w:tcPr>
          <w:p>
            <w:pPr>
              <w:ind w:left="120"/>
              <w:spacing w:after="0"/>
              <w:rPr>
                <w:sz w:val="20"/>
                <w:szCs w:val="20"/>
                <w:color w:val="auto"/>
              </w:rPr>
            </w:pPr>
            <w:r>
              <w:rPr>
                <w:rFonts w:ascii="Arial" w:cs="Arial" w:eastAsia="Arial" w:hAnsi="Arial"/>
                <w:sz w:val="18"/>
                <w:szCs w:val="18"/>
                <w:b w:val="1"/>
                <w:bCs w:val="1"/>
                <w:color w:val="auto"/>
              </w:rPr>
              <w:t>Item 2:</w:t>
            </w:r>
          </w:p>
        </w:tc>
        <w:tc>
          <w:tcPr>
            <w:tcW w:w="8820" w:type="dxa"/>
            <w:vAlign w:val="bottom"/>
            <w:gridSpan w:val="11"/>
          </w:tcPr>
          <w:p>
            <w:pPr>
              <w:spacing w:after="0"/>
              <w:rPr>
                <w:sz w:val="20"/>
                <w:szCs w:val="20"/>
                <w:color w:val="auto"/>
              </w:rPr>
            </w:pPr>
            <w:r>
              <w:rPr>
                <w:rFonts w:ascii="Arial" w:cs="Arial" w:eastAsia="Arial" w:hAnsi="Arial"/>
                <w:sz w:val="18"/>
                <w:szCs w:val="18"/>
                <w:b w:val="1"/>
                <w:bCs w:val="1"/>
                <w:color w:val="auto"/>
              </w:rPr>
              <w:t>Unregistered Sales of Equity Securities and Use of Proceeds</w:t>
            </w:r>
          </w:p>
        </w:tc>
        <w:tc>
          <w:tcPr>
            <w:tcW w:w="560" w:type="dxa"/>
            <w:vAlign w:val="bottom"/>
          </w:tcPr>
          <w:p>
            <w:pPr>
              <w:jc w:val="right"/>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41</w:t>
              </w:r>
            </w:hyperlink>
          </w:p>
        </w:tc>
      </w:tr>
      <w:tr>
        <w:trPr>
          <w:trHeight w:val="540"/>
        </w:trPr>
        <w:tc>
          <w:tcPr>
            <w:tcW w:w="1160" w:type="dxa"/>
            <w:vAlign w:val="bottom"/>
          </w:tcPr>
          <w:p>
            <w:pPr>
              <w:ind w:left="120"/>
              <w:spacing w:after="0"/>
              <w:rPr>
                <w:sz w:val="20"/>
                <w:szCs w:val="20"/>
                <w:color w:val="auto"/>
              </w:rPr>
            </w:pPr>
            <w:r>
              <w:rPr>
                <w:rFonts w:ascii="Arial" w:cs="Arial" w:eastAsia="Arial" w:hAnsi="Arial"/>
                <w:sz w:val="18"/>
                <w:szCs w:val="18"/>
                <w:b w:val="1"/>
                <w:bCs w:val="1"/>
                <w:color w:val="auto"/>
              </w:rPr>
              <w:t>Item 5:</w:t>
            </w:r>
          </w:p>
        </w:tc>
        <w:tc>
          <w:tcPr>
            <w:tcW w:w="8820" w:type="dxa"/>
            <w:vAlign w:val="bottom"/>
            <w:gridSpan w:val="11"/>
          </w:tcPr>
          <w:p>
            <w:pPr>
              <w:spacing w:after="0"/>
              <w:rPr>
                <w:sz w:val="20"/>
                <w:szCs w:val="20"/>
                <w:color w:val="auto"/>
              </w:rPr>
            </w:pPr>
            <w:r>
              <w:rPr>
                <w:rFonts w:ascii="Arial" w:cs="Arial" w:eastAsia="Arial" w:hAnsi="Arial"/>
                <w:sz w:val="18"/>
                <w:szCs w:val="18"/>
                <w:b w:val="1"/>
                <w:bCs w:val="1"/>
                <w:color w:val="auto"/>
              </w:rPr>
              <w:t>Other Information</w:t>
            </w:r>
          </w:p>
        </w:tc>
        <w:tc>
          <w:tcPr>
            <w:tcW w:w="560" w:type="dxa"/>
            <w:vAlign w:val="bottom"/>
          </w:tcPr>
          <w:p>
            <w:pPr>
              <w:jc w:val="right"/>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41</w:t>
              </w:r>
            </w:hyperlink>
          </w:p>
        </w:tc>
      </w:tr>
      <w:tr>
        <w:trPr>
          <w:trHeight w:val="540"/>
        </w:trPr>
        <w:tc>
          <w:tcPr>
            <w:tcW w:w="1160" w:type="dxa"/>
            <w:vAlign w:val="bottom"/>
          </w:tcPr>
          <w:p>
            <w:pPr>
              <w:ind w:left="120"/>
              <w:spacing w:after="0"/>
              <w:rPr>
                <w:sz w:val="20"/>
                <w:szCs w:val="20"/>
                <w:color w:val="auto"/>
              </w:rPr>
            </w:pPr>
            <w:r>
              <w:rPr>
                <w:rFonts w:ascii="Arial" w:cs="Arial" w:eastAsia="Arial" w:hAnsi="Arial"/>
                <w:sz w:val="18"/>
                <w:szCs w:val="18"/>
                <w:b w:val="1"/>
                <w:bCs w:val="1"/>
                <w:color w:val="auto"/>
              </w:rPr>
              <w:t>Item 6:</w:t>
            </w:r>
          </w:p>
        </w:tc>
        <w:tc>
          <w:tcPr>
            <w:tcW w:w="8820" w:type="dxa"/>
            <w:vAlign w:val="bottom"/>
            <w:gridSpan w:val="11"/>
          </w:tcPr>
          <w:p>
            <w:pPr>
              <w:spacing w:after="0"/>
              <w:rPr>
                <w:rFonts w:ascii="Arial" w:cs="Arial" w:eastAsia="Arial" w:hAnsi="Arial"/>
                <w:sz w:val="18"/>
                <w:szCs w:val="18"/>
                <w:b w:val="1"/>
                <w:bCs w:val="1"/>
                <w:color w:val="auto"/>
              </w:rPr>
            </w:pPr>
            <w:hyperlink w:anchor="page44">
              <w:r>
                <w:rPr>
                  <w:rFonts w:ascii="Arial" w:cs="Arial" w:eastAsia="Arial" w:hAnsi="Arial"/>
                  <w:sz w:val="18"/>
                  <w:szCs w:val="18"/>
                  <w:b w:val="1"/>
                  <w:bCs w:val="1"/>
                  <w:color w:val="auto"/>
                </w:rPr>
                <w:t>Exhibits</w:t>
              </w:r>
            </w:hyperlink>
          </w:p>
        </w:tc>
        <w:tc>
          <w:tcPr>
            <w:tcW w:w="560" w:type="dxa"/>
            <w:vAlign w:val="bottom"/>
          </w:tcPr>
          <w:p>
            <w:pPr>
              <w:jc w:val="right"/>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42</w:t>
              </w:r>
            </w:hyperlink>
          </w:p>
        </w:tc>
      </w:tr>
    </w:tbl>
    <w:p>
      <w:pPr>
        <w:sectPr>
          <w:pgSz w:w="11900" w:h="16838" w:orient="portrait"/>
          <w:cols w:equalWidth="0" w:num="1">
            <w:col w:w="10540"/>
          </w:cols>
          <w:pgMar w:left="680" w:top="337" w:right="67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ind w:left="120"/>
              <w:spacing w:after="0"/>
              <w:rPr>
                <w:sz w:val="20"/>
                <w:szCs w:val="20"/>
                <w:color w:val="auto"/>
              </w:rPr>
            </w:pPr>
            <w:r>
              <w:rPr>
                <w:rFonts w:ascii="Arial" w:cs="Arial" w:eastAsia="Arial" w:hAnsi="Arial"/>
                <w:sz w:val="14"/>
                <w:szCs w:val="14"/>
                <w:b w:val="1"/>
                <w:bCs w:val="1"/>
                <w:color w:val="auto"/>
              </w:rPr>
              <w:t>April 30,</w:t>
            </w:r>
          </w:p>
        </w:tc>
        <w:tc>
          <w:tcPr>
            <w:tcW w:w="160" w:type="dxa"/>
            <w:vAlign w:val="bottom"/>
          </w:tcPr>
          <w:p>
            <w:pPr>
              <w:spacing w:after="0"/>
              <w:rPr>
                <w:sz w:val="14"/>
                <w:szCs w:val="14"/>
                <w:color w:val="auto"/>
              </w:rPr>
            </w:pPr>
          </w:p>
        </w:tc>
        <w:tc>
          <w:tcPr>
            <w:tcW w:w="1060" w:type="dxa"/>
            <w:vAlign w:val="bottom"/>
          </w:tcPr>
          <w:p>
            <w:pPr>
              <w:jc w:val="right"/>
              <w:ind w:right="191"/>
              <w:spacing w:after="0"/>
              <w:rPr>
                <w:sz w:val="20"/>
                <w:szCs w:val="20"/>
                <w:color w:val="auto"/>
              </w:rPr>
            </w:pPr>
            <w:r>
              <w:rPr>
                <w:rFonts w:ascii="Arial" w:cs="Arial" w:eastAsia="Arial" w:hAnsi="Arial"/>
                <w:sz w:val="14"/>
                <w:szCs w:val="14"/>
                <w:b w:val="1"/>
                <w:bCs w:val="1"/>
                <w:color w:val="auto"/>
                <w:w w:val="98"/>
              </w:rPr>
              <w:t>October 31,</w:t>
            </w:r>
          </w:p>
        </w:tc>
        <w:tc>
          <w:tcPr>
            <w:tcW w:w="0" w:type="dxa"/>
            <w:vAlign w:val="bottom"/>
          </w:tcPr>
          <w:p>
            <w:pPr>
              <w:spacing w:after="0"/>
              <w:rPr>
                <w:sz w:val="1"/>
                <w:szCs w:val="1"/>
                <w:color w:val="auto"/>
              </w:rPr>
            </w:pPr>
          </w:p>
        </w:tc>
      </w:tr>
      <w:tr>
        <w:trPr>
          <w:trHeight w:val="192"/>
        </w:trPr>
        <w:tc>
          <w:tcPr>
            <w:tcW w:w="86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52"/>
        </w:trPr>
        <w:tc>
          <w:tcPr>
            <w:tcW w:w="8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360" w:type="dxa"/>
            <w:vAlign w:val="bottom"/>
            <w:gridSpan w:val="4"/>
          </w:tcPr>
          <w:p>
            <w:pPr>
              <w:jc w:val="right"/>
              <w:ind w:right="371"/>
              <w:spacing w:after="0" w:line="153" w:lineRule="exact"/>
              <w:rPr>
                <w:sz w:val="20"/>
                <w:szCs w:val="20"/>
                <w:color w:val="auto"/>
              </w:rPr>
            </w:pPr>
            <w:r>
              <w:rPr>
                <w:rFonts w:ascii="Arial" w:cs="Arial" w:eastAsia="Arial" w:hAnsi="Arial"/>
                <w:sz w:val="14"/>
                <w:szCs w:val="14"/>
                <w:b w:val="1"/>
                <w:bCs w:val="1"/>
                <w:color w:val="auto"/>
              </w:rPr>
              <w:t>(In thousands, except share</w:t>
            </w:r>
          </w:p>
        </w:tc>
        <w:tc>
          <w:tcPr>
            <w:tcW w:w="0" w:type="dxa"/>
            <w:vAlign w:val="bottom"/>
          </w:tcPr>
          <w:p>
            <w:pPr>
              <w:spacing w:after="0"/>
              <w:rPr>
                <w:sz w:val="1"/>
                <w:szCs w:val="1"/>
                <w:color w:val="auto"/>
              </w:rPr>
            </w:pPr>
          </w:p>
        </w:tc>
      </w:tr>
      <w:tr>
        <w:trPr>
          <w:trHeight w:val="186"/>
        </w:trPr>
        <w:tc>
          <w:tcPr>
            <w:tcW w:w="8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60" w:type="dxa"/>
            <w:vAlign w:val="bottom"/>
            <w:gridSpan w:val="4"/>
          </w:tcPr>
          <w:p>
            <w:pPr>
              <w:jc w:val="right"/>
              <w:ind w:right="891"/>
              <w:spacing w:after="0"/>
              <w:rPr>
                <w:sz w:val="20"/>
                <w:szCs w:val="20"/>
                <w:color w:val="auto"/>
              </w:rPr>
            </w:pPr>
            <w:r>
              <w:rPr>
                <w:rFonts w:ascii="Arial" w:cs="Arial" w:eastAsia="Arial" w:hAnsi="Arial"/>
                <w:sz w:val="14"/>
                <w:szCs w:val="14"/>
                <w:b w:val="1"/>
                <w:bCs w:val="1"/>
                <w:color w:val="auto"/>
              </w:rPr>
              <w:t>amounts)</w:t>
            </w:r>
          </w:p>
        </w:tc>
        <w:tc>
          <w:tcPr>
            <w:tcW w:w="0" w:type="dxa"/>
            <w:vAlign w:val="bottom"/>
          </w:tcPr>
          <w:p>
            <w:pPr>
              <w:spacing w:after="0"/>
              <w:rPr>
                <w:sz w:val="1"/>
                <w:szCs w:val="1"/>
                <w:color w:val="auto"/>
              </w:rPr>
            </w:pPr>
          </w:p>
        </w:tc>
      </w:tr>
      <w:tr>
        <w:trPr>
          <w:trHeight w:val="229"/>
        </w:trPr>
        <w:tc>
          <w:tcPr>
            <w:tcW w:w="8660" w:type="dxa"/>
            <w:vAlign w:val="bottom"/>
          </w:tcPr>
          <w:p>
            <w:pPr>
              <w:ind w:left="4060"/>
              <w:spacing w:after="0"/>
              <w:rPr>
                <w:sz w:val="20"/>
                <w:szCs w:val="20"/>
                <w:color w:val="auto"/>
              </w:rPr>
            </w:pPr>
            <w:r>
              <w:rPr>
                <w:rFonts w:ascii="Arial" w:cs="Arial" w:eastAsia="Arial" w:hAnsi="Arial"/>
                <w:sz w:val="14"/>
                <w:szCs w:val="14"/>
                <w:b w:val="1"/>
                <w:bCs w:val="1"/>
                <w:color w:val="auto"/>
              </w:rPr>
              <w:t>ASSETS</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6"/>
        </w:trPr>
        <w:tc>
          <w:tcPr>
            <w:tcW w:w="866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80,252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30,868</w:t>
            </w:r>
          </w:p>
        </w:tc>
        <w:tc>
          <w:tcPr>
            <w:tcW w:w="0" w:type="dxa"/>
            <w:vAlign w:val="bottom"/>
          </w:tcPr>
          <w:p>
            <w:pPr>
              <w:spacing w:after="0"/>
              <w:rPr>
                <w:sz w:val="1"/>
                <w:szCs w:val="1"/>
                <w:color w:val="auto"/>
              </w:rPr>
            </w:pPr>
          </w:p>
        </w:tc>
      </w:tr>
      <w:tr>
        <w:trPr>
          <w:trHeight w:val="243"/>
        </w:trPr>
        <w:tc>
          <w:tcPr>
            <w:tcW w:w="8660" w:type="dxa"/>
            <w:vAlign w:val="bottom"/>
          </w:tcPr>
          <w:p>
            <w:pPr>
              <w:ind w:left="380"/>
              <w:spacing w:after="0"/>
              <w:rPr>
                <w:sz w:val="20"/>
                <w:szCs w:val="20"/>
                <w:color w:val="auto"/>
              </w:rPr>
            </w:pPr>
            <w:r>
              <w:rPr>
                <w:rFonts w:ascii="Arial" w:cs="Arial" w:eastAsia="Arial" w:hAnsi="Arial"/>
                <w:sz w:val="18"/>
                <w:szCs w:val="18"/>
                <w:color w:val="auto"/>
              </w:rPr>
              <w:t>Accounts receivable, net of allowance for doubtful accounts of $415 and $393</w:t>
            </w:r>
          </w:p>
        </w:tc>
        <w:tc>
          <w:tcPr>
            <w:tcW w:w="2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66,892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82,946</w:t>
            </w:r>
          </w:p>
        </w:tc>
        <w:tc>
          <w:tcPr>
            <w:tcW w:w="0" w:type="dxa"/>
            <w:vAlign w:val="bottom"/>
          </w:tcPr>
          <w:p>
            <w:pPr>
              <w:spacing w:after="0"/>
              <w:rPr>
                <w:sz w:val="1"/>
                <w:szCs w:val="1"/>
                <w:color w:val="auto"/>
              </w:rPr>
            </w:pPr>
          </w:p>
        </w:tc>
      </w:tr>
      <w:tr>
        <w:trPr>
          <w:trHeight w:val="27"/>
        </w:trPr>
        <w:tc>
          <w:tcPr>
            <w:tcW w:w="8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 net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75,072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67,159</w:t>
            </w:r>
          </w:p>
        </w:tc>
        <w:tc>
          <w:tcPr>
            <w:tcW w:w="0" w:type="dxa"/>
            <w:vAlign w:val="bottom"/>
          </w:tcPr>
          <w:p>
            <w:pPr>
              <w:spacing w:after="0"/>
              <w:rPr>
                <w:sz w:val="1"/>
                <w:szCs w:val="1"/>
                <w:color w:val="auto"/>
              </w:rPr>
            </w:pPr>
          </w:p>
        </w:tc>
      </w:tr>
      <w:tr>
        <w:trPr>
          <w:trHeight w:val="243"/>
        </w:trPr>
        <w:tc>
          <w:tcPr>
            <w:tcW w:w="8660" w:type="dxa"/>
            <w:vAlign w:val="bottom"/>
          </w:tcPr>
          <w:p>
            <w:pPr>
              <w:ind w:left="380"/>
              <w:spacing w:after="0"/>
              <w:rPr>
                <w:sz w:val="20"/>
                <w:szCs w:val="20"/>
                <w:color w:val="auto"/>
              </w:rPr>
            </w:pPr>
            <w:r>
              <w:rPr>
                <w:rFonts w:ascii="Arial" w:cs="Arial" w:eastAsia="Arial" w:hAnsi="Arial"/>
                <w:sz w:val="18"/>
                <w:szCs w:val="18"/>
                <w:color w:val="auto"/>
              </w:rPr>
              <w:t>Prepaid and other current assets</w:t>
            </w:r>
          </w:p>
        </w:tc>
        <w:tc>
          <w:tcPr>
            <w:tcW w:w="2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9,602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9,353</w:t>
            </w:r>
          </w:p>
        </w:tc>
        <w:tc>
          <w:tcPr>
            <w:tcW w:w="0" w:type="dxa"/>
            <w:vAlign w:val="bottom"/>
          </w:tcPr>
          <w:p>
            <w:pPr>
              <w:spacing w:after="0"/>
              <w:rPr>
                <w:sz w:val="1"/>
                <w:szCs w:val="1"/>
                <w:color w:val="auto"/>
              </w:rPr>
            </w:pPr>
          </w:p>
        </w:tc>
      </w:tr>
      <w:tr>
        <w:trPr>
          <w:trHeight w:val="27"/>
        </w:trPr>
        <w:tc>
          <w:tcPr>
            <w:tcW w:w="8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6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231,818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190,326</w:t>
            </w:r>
          </w:p>
        </w:tc>
        <w:tc>
          <w:tcPr>
            <w:tcW w:w="0" w:type="dxa"/>
            <w:vAlign w:val="bottom"/>
          </w:tcPr>
          <w:p>
            <w:pPr>
              <w:spacing w:after="0"/>
              <w:rPr>
                <w:sz w:val="1"/>
                <w:szCs w:val="1"/>
                <w:color w:val="auto"/>
              </w:rPr>
            </w:pPr>
          </w:p>
        </w:tc>
      </w:tr>
      <w:tr>
        <w:trPr>
          <w:trHeight w:val="243"/>
        </w:trPr>
        <w:tc>
          <w:tcPr>
            <w:tcW w:w="8660" w:type="dxa"/>
            <w:vAlign w:val="bottom"/>
          </w:tcPr>
          <w:p>
            <w:pPr>
              <w:ind w:left="40"/>
              <w:spacing w:after="0"/>
              <w:rPr>
                <w:sz w:val="20"/>
                <w:szCs w:val="20"/>
                <w:color w:val="auto"/>
              </w:rPr>
            </w:pPr>
            <w:r>
              <w:rPr>
                <w:rFonts w:ascii="Arial" w:cs="Arial" w:eastAsia="Arial" w:hAnsi="Arial"/>
                <w:sz w:val="18"/>
                <w:szCs w:val="18"/>
                <w:color w:val="auto"/>
              </w:rPr>
              <w:t>Property, plant and equipment, net of accumulated depreciation of $326,572 and $317,568</w:t>
            </w:r>
          </w:p>
        </w:tc>
        <w:tc>
          <w:tcPr>
            <w:tcW w:w="2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187,482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193,600</w:t>
            </w:r>
          </w:p>
        </w:tc>
        <w:tc>
          <w:tcPr>
            <w:tcW w:w="0" w:type="dxa"/>
            <w:vAlign w:val="bottom"/>
          </w:tcPr>
          <w:p>
            <w:pPr>
              <w:spacing w:after="0"/>
              <w:rPr>
                <w:sz w:val="1"/>
                <w:szCs w:val="1"/>
                <w:color w:val="auto"/>
              </w:rPr>
            </w:pPr>
          </w:p>
        </w:tc>
      </w:tr>
      <w:tr>
        <w:trPr>
          <w:trHeight w:val="27"/>
        </w:trPr>
        <w:tc>
          <w:tcPr>
            <w:tcW w:w="8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right-of-use assets</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41,763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660" w:type="dxa"/>
            <w:vAlign w:val="bottom"/>
          </w:tcPr>
          <w:p>
            <w:pPr>
              <w:ind w:left="40"/>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143,870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145,563</w:t>
            </w:r>
          </w:p>
        </w:tc>
        <w:tc>
          <w:tcPr>
            <w:tcW w:w="0" w:type="dxa"/>
            <w:vAlign w:val="bottom"/>
          </w:tcPr>
          <w:p>
            <w:pPr>
              <w:spacing w:after="0"/>
              <w:rPr>
                <w:sz w:val="1"/>
                <w:szCs w:val="1"/>
                <w:color w:val="auto"/>
              </w:rPr>
            </w:pPr>
          </w:p>
        </w:tc>
      </w:tr>
      <w:tr>
        <w:trPr>
          <w:trHeight w:val="27"/>
        </w:trPr>
        <w:tc>
          <w:tcPr>
            <w:tcW w:w="8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98,905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107,297</w:t>
            </w:r>
          </w:p>
        </w:tc>
        <w:tc>
          <w:tcPr>
            <w:tcW w:w="0" w:type="dxa"/>
            <w:vAlign w:val="bottom"/>
          </w:tcPr>
          <w:p>
            <w:pPr>
              <w:spacing w:after="0"/>
              <w:rPr>
                <w:sz w:val="1"/>
                <w:szCs w:val="1"/>
                <w:color w:val="auto"/>
              </w:rPr>
            </w:pPr>
          </w:p>
        </w:tc>
      </w:tr>
      <w:tr>
        <w:trPr>
          <w:trHeight w:val="243"/>
        </w:trPr>
        <w:tc>
          <w:tcPr>
            <w:tcW w:w="866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9,047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8,324</w:t>
            </w:r>
          </w:p>
        </w:tc>
        <w:tc>
          <w:tcPr>
            <w:tcW w:w="0" w:type="dxa"/>
            <w:vAlign w:val="bottom"/>
          </w:tcPr>
          <w:p>
            <w:pPr>
              <w:spacing w:after="0"/>
              <w:rPr>
                <w:sz w:val="1"/>
                <w:szCs w:val="1"/>
                <w:color w:val="auto"/>
              </w:rPr>
            </w:pPr>
          </w:p>
        </w:tc>
      </w:tr>
      <w:tr>
        <w:trPr>
          <w:trHeight w:val="27"/>
        </w:trPr>
        <w:tc>
          <w:tcPr>
            <w:tcW w:w="8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86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712,885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645,110</w:t>
            </w:r>
          </w:p>
        </w:tc>
        <w:tc>
          <w:tcPr>
            <w:tcW w:w="0" w:type="dxa"/>
            <w:vAlign w:val="bottom"/>
          </w:tcPr>
          <w:p>
            <w:pPr>
              <w:spacing w:after="0"/>
              <w:rPr>
                <w:sz w:val="1"/>
                <w:szCs w:val="1"/>
                <w:color w:val="auto"/>
              </w:rPr>
            </w:pPr>
          </w:p>
        </w:tc>
      </w:tr>
      <w:tr>
        <w:trPr>
          <w:trHeight w:val="20"/>
        </w:trPr>
        <w:tc>
          <w:tcPr>
            <w:tcW w:w="8660" w:type="dxa"/>
            <w:vAlign w:val="bottom"/>
            <w:tcBorders>
              <w:top w:val="single" w:sz="8" w:color="CCEEFF"/>
              <w:bottom w:val="single" w:sz="8" w:color="CCEEFF"/>
            </w:tcBorders>
            <w:vMerge w:val="restart"/>
          </w:tcPr>
          <w:p>
            <w:pPr>
              <w:ind w:left="2780"/>
              <w:spacing w:after="0"/>
              <w:rPr>
                <w:sz w:val="20"/>
                <w:szCs w:val="20"/>
                <w:color w:val="auto"/>
              </w:rPr>
            </w:pPr>
            <w:r>
              <w:rPr>
                <w:rFonts w:ascii="Arial" w:cs="Arial" w:eastAsia="Arial" w:hAnsi="Arial"/>
                <w:sz w:val="14"/>
                <w:szCs w:val="14"/>
                <w:b w:val="1"/>
                <w:bCs w:val="1"/>
                <w:color w:val="auto"/>
              </w:rPr>
              <w:t>LIABILITIES AND STOCKHOLDERS' EQUITY</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86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8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66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42,227</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63,604</w:t>
            </w:r>
          </w:p>
        </w:tc>
        <w:tc>
          <w:tcPr>
            <w:tcW w:w="0" w:type="dxa"/>
            <w:vAlign w:val="bottom"/>
          </w:tcPr>
          <w:p>
            <w:pPr>
              <w:spacing w:after="0"/>
              <w:rPr>
                <w:sz w:val="1"/>
                <w:szCs w:val="1"/>
                <w:color w:val="auto"/>
              </w:rPr>
            </w:pPr>
          </w:p>
        </w:tc>
      </w:tr>
      <w:tr>
        <w:trPr>
          <w:trHeight w:val="27"/>
        </w:trPr>
        <w:tc>
          <w:tcPr>
            <w:tcW w:w="8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27,396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39,221</w:t>
            </w:r>
          </w:p>
        </w:tc>
        <w:tc>
          <w:tcPr>
            <w:tcW w:w="0" w:type="dxa"/>
            <w:vAlign w:val="bottom"/>
          </w:tcPr>
          <w:p>
            <w:pPr>
              <w:spacing w:after="0"/>
              <w:rPr>
                <w:sz w:val="1"/>
                <w:szCs w:val="1"/>
                <w:color w:val="auto"/>
              </w:rPr>
            </w:pPr>
          </w:p>
        </w:tc>
      </w:tr>
      <w:tr>
        <w:trPr>
          <w:trHeight w:val="243"/>
        </w:trPr>
        <w:tc>
          <w:tcPr>
            <w:tcW w:w="8660" w:type="dxa"/>
            <w:vAlign w:val="bottom"/>
          </w:tcPr>
          <w:p>
            <w:pPr>
              <w:ind w:left="380"/>
              <w:spacing w:after="0"/>
              <w:rPr>
                <w:sz w:val="20"/>
                <w:szCs w:val="20"/>
                <w:color w:val="auto"/>
              </w:rPr>
            </w:pPr>
            <w:r>
              <w:rPr>
                <w:rFonts w:ascii="Arial" w:cs="Arial" w:eastAsia="Arial" w:hAnsi="Arial"/>
                <w:sz w:val="18"/>
                <w:szCs w:val="18"/>
                <w:color w:val="auto"/>
              </w:rPr>
              <w:t>Income taxes payable</w:t>
            </w:r>
          </w:p>
        </w:tc>
        <w:tc>
          <w:tcPr>
            <w:tcW w:w="2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2,066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6,183</w:t>
            </w:r>
          </w:p>
        </w:tc>
        <w:tc>
          <w:tcPr>
            <w:tcW w:w="0" w:type="dxa"/>
            <w:vAlign w:val="bottom"/>
          </w:tcPr>
          <w:p>
            <w:pPr>
              <w:spacing w:after="0"/>
              <w:rPr>
                <w:sz w:val="1"/>
                <w:szCs w:val="1"/>
                <w:color w:val="auto"/>
              </w:rPr>
            </w:pPr>
          </w:p>
        </w:tc>
      </w:tr>
      <w:tr>
        <w:trPr>
          <w:trHeight w:val="27"/>
        </w:trPr>
        <w:tc>
          <w:tcPr>
            <w:tcW w:w="8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 maturities of long-term debt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746</w:t>
            </w:r>
          </w:p>
        </w:tc>
        <w:tc>
          <w:tcPr>
            <w:tcW w:w="0" w:type="dxa"/>
            <w:vAlign w:val="bottom"/>
          </w:tcPr>
          <w:p>
            <w:pPr>
              <w:spacing w:after="0"/>
              <w:rPr>
                <w:sz w:val="1"/>
                <w:szCs w:val="1"/>
                <w:color w:val="auto"/>
              </w:rPr>
            </w:pPr>
          </w:p>
        </w:tc>
      </w:tr>
      <w:tr>
        <w:trPr>
          <w:trHeight w:val="243"/>
        </w:trPr>
        <w:tc>
          <w:tcPr>
            <w:tcW w:w="8660" w:type="dxa"/>
            <w:vAlign w:val="bottom"/>
          </w:tcPr>
          <w:p>
            <w:pPr>
              <w:ind w:left="380"/>
              <w:spacing w:after="0"/>
              <w:rPr>
                <w:sz w:val="20"/>
                <w:szCs w:val="20"/>
                <w:color w:val="auto"/>
              </w:rPr>
            </w:pPr>
            <w:r>
              <w:rPr>
                <w:rFonts w:ascii="Arial" w:cs="Arial" w:eastAsia="Arial" w:hAnsi="Arial"/>
                <w:sz w:val="18"/>
                <w:szCs w:val="18"/>
                <w:color w:val="auto"/>
              </w:rPr>
              <w:t>Current operating lease liabilities</w:t>
            </w:r>
          </w:p>
        </w:tc>
        <w:tc>
          <w:tcPr>
            <w:tcW w:w="2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6,687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6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79,042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109,754</w:t>
            </w:r>
          </w:p>
        </w:tc>
        <w:tc>
          <w:tcPr>
            <w:tcW w:w="0" w:type="dxa"/>
            <w:vAlign w:val="bottom"/>
          </w:tcPr>
          <w:p>
            <w:pPr>
              <w:spacing w:after="0"/>
              <w:rPr>
                <w:sz w:val="1"/>
                <w:szCs w:val="1"/>
                <w:color w:val="auto"/>
              </w:rPr>
            </w:pPr>
          </w:p>
        </w:tc>
      </w:tr>
      <w:tr>
        <w:trPr>
          <w:trHeight w:val="243"/>
        </w:trPr>
        <w:tc>
          <w:tcPr>
            <w:tcW w:w="866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2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229,697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156,414</w:t>
            </w:r>
          </w:p>
        </w:tc>
        <w:tc>
          <w:tcPr>
            <w:tcW w:w="0" w:type="dxa"/>
            <w:vAlign w:val="bottom"/>
          </w:tcPr>
          <w:p>
            <w:pPr>
              <w:spacing w:after="0"/>
              <w:rPr>
                <w:sz w:val="1"/>
                <w:szCs w:val="1"/>
                <w:color w:val="auto"/>
              </w:rPr>
            </w:pPr>
          </w:p>
        </w:tc>
      </w:tr>
      <w:tr>
        <w:trPr>
          <w:trHeight w:val="27"/>
        </w:trPr>
        <w:tc>
          <w:tcPr>
            <w:tcW w:w="8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operating lease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35,551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660" w:type="dxa"/>
            <w:vAlign w:val="bottom"/>
          </w:tcPr>
          <w:p>
            <w:pPr>
              <w:ind w:left="40"/>
              <w:spacing w:after="0"/>
              <w:rPr>
                <w:sz w:val="20"/>
                <w:szCs w:val="20"/>
                <w:color w:val="auto"/>
              </w:rPr>
            </w:pPr>
            <w:r>
              <w:rPr>
                <w:rFonts w:ascii="Arial" w:cs="Arial" w:eastAsia="Arial" w:hAnsi="Arial"/>
                <w:sz w:val="18"/>
                <w:szCs w:val="18"/>
                <w:color w:val="auto"/>
              </w:rPr>
              <w:t>Deferred pension and postretirement benefits</w:t>
            </w:r>
          </w:p>
        </w:tc>
        <w:tc>
          <w:tcPr>
            <w:tcW w:w="2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11,364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13,322</w:t>
            </w:r>
          </w:p>
        </w:tc>
        <w:tc>
          <w:tcPr>
            <w:tcW w:w="0" w:type="dxa"/>
            <w:vAlign w:val="bottom"/>
          </w:tcPr>
          <w:p>
            <w:pPr>
              <w:spacing w:after="0"/>
              <w:rPr>
                <w:sz w:val="1"/>
                <w:szCs w:val="1"/>
                <w:color w:val="auto"/>
              </w:rPr>
            </w:pPr>
          </w:p>
        </w:tc>
      </w:tr>
      <w:tr>
        <w:trPr>
          <w:trHeight w:val="27"/>
        </w:trPr>
        <w:tc>
          <w:tcPr>
            <w:tcW w:w="8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20,926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19,363</w:t>
            </w:r>
          </w:p>
        </w:tc>
        <w:tc>
          <w:tcPr>
            <w:tcW w:w="0" w:type="dxa"/>
            <w:vAlign w:val="bottom"/>
          </w:tcPr>
          <w:p>
            <w:pPr>
              <w:spacing w:after="0"/>
              <w:rPr>
                <w:sz w:val="1"/>
                <w:szCs w:val="1"/>
                <w:color w:val="auto"/>
              </w:rPr>
            </w:pPr>
          </w:p>
        </w:tc>
      </w:tr>
      <w:tr>
        <w:trPr>
          <w:trHeight w:val="243"/>
        </w:trPr>
        <w:tc>
          <w:tcPr>
            <w:tcW w:w="866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2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12,348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16,070</w:t>
            </w:r>
          </w:p>
        </w:tc>
        <w:tc>
          <w:tcPr>
            <w:tcW w:w="0" w:type="dxa"/>
            <w:vAlign w:val="bottom"/>
          </w:tcPr>
          <w:p>
            <w:pPr>
              <w:spacing w:after="0"/>
              <w:rPr>
                <w:sz w:val="1"/>
                <w:szCs w:val="1"/>
                <w:color w:val="auto"/>
              </w:rPr>
            </w:pPr>
          </w:p>
        </w:tc>
      </w:tr>
      <w:tr>
        <w:trPr>
          <w:trHeight w:val="27"/>
        </w:trPr>
        <w:tc>
          <w:tcPr>
            <w:tcW w:w="8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6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388,928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314,923</w:t>
            </w:r>
          </w:p>
        </w:tc>
        <w:tc>
          <w:tcPr>
            <w:tcW w:w="0" w:type="dxa"/>
            <w:vAlign w:val="bottom"/>
          </w:tcPr>
          <w:p>
            <w:pPr>
              <w:spacing w:after="0"/>
              <w:rPr>
                <w:sz w:val="1"/>
                <w:szCs w:val="1"/>
                <w:color w:val="auto"/>
              </w:rPr>
            </w:pPr>
          </w:p>
        </w:tc>
      </w:tr>
      <w:tr>
        <w:trPr>
          <w:trHeight w:val="243"/>
        </w:trPr>
        <w:tc>
          <w:tcPr>
            <w:tcW w:w="8660" w:type="dxa"/>
            <w:vAlign w:val="bottom"/>
          </w:tcPr>
          <w:p>
            <w:pPr>
              <w:ind w:left="40"/>
              <w:spacing w:after="0"/>
              <w:rPr>
                <w:sz w:val="20"/>
                <w:szCs w:val="20"/>
                <w:color w:val="auto"/>
              </w:rPr>
            </w:pPr>
            <w:r>
              <w:rPr>
                <w:rFonts w:ascii="Arial" w:cs="Arial" w:eastAsia="Arial" w:hAnsi="Arial"/>
                <w:sz w:val="18"/>
                <w:szCs w:val="18"/>
                <w:color w:val="auto"/>
              </w:rPr>
              <w:t>Commitments and contingencies</w:t>
            </w: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660" w:type="dxa"/>
            <w:vAlign w:val="bottom"/>
          </w:tcPr>
          <w:p>
            <w:pPr>
              <w:ind w:left="380"/>
              <w:spacing w:after="0"/>
              <w:rPr>
                <w:sz w:val="20"/>
                <w:szCs w:val="20"/>
                <w:color w:val="auto"/>
              </w:rPr>
            </w:pPr>
            <w:r>
              <w:rPr>
                <w:rFonts w:ascii="Arial" w:cs="Arial" w:eastAsia="Arial" w:hAnsi="Arial"/>
                <w:sz w:val="18"/>
                <w:szCs w:val="18"/>
                <w:color w:val="auto"/>
              </w:rPr>
              <w:t>Preferred stock, no par value, shares authorized 1,000,000; issued and outstanding - none</w:t>
            </w:r>
          </w:p>
        </w:tc>
        <w:tc>
          <w:tcPr>
            <w:tcW w:w="2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6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0"/>
              </w:rPr>
              <w:t>Common stock, $0.01 par value, shares authorized 125,000,000; issued 37,304,366 and 37,370,402, respectively;</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outstanding 32,801,738 and 33,021,789, respectively</w:t>
            </w: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43"/>
        </w:trPr>
        <w:tc>
          <w:tcPr>
            <w:tcW w:w="8660" w:type="dxa"/>
            <w:vAlign w:val="bottom"/>
          </w:tcPr>
          <w:p>
            <w:pPr>
              <w:ind w:left="380"/>
              <w:spacing w:after="0"/>
              <w:rPr>
                <w:sz w:val="20"/>
                <w:szCs w:val="20"/>
                <w:color w:val="auto"/>
              </w:rPr>
            </w:pPr>
            <w:r>
              <w:rPr>
                <w:rFonts w:ascii="Arial" w:cs="Arial" w:eastAsia="Arial" w:hAnsi="Arial"/>
                <w:sz w:val="18"/>
                <w:szCs w:val="18"/>
                <w:color w:val="auto"/>
              </w:rPr>
              <w:t>Additional paid-in-capital</w:t>
            </w:r>
          </w:p>
        </w:tc>
        <w:tc>
          <w:tcPr>
            <w:tcW w:w="2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252,717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254,673</w:t>
            </w:r>
          </w:p>
        </w:tc>
        <w:tc>
          <w:tcPr>
            <w:tcW w:w="0" w:type="dxa"/>
            <w:vAlign w:val="bottom"/>
          </w:tcPr>
          <w:p>
            <w:pPr>
              <w:spacing w:after="0"/>
              <w:rPr>
                <w:sz w:val="1"/>
                <w:szCs w:val="1"/>
                <w:color w:val="auto"/>
              </w:rPr>
            </w:pPr>
          </w:p>
        </w:tc>
      </w:tr>
      <w:tr>
        <w:trPr>
          <w:trHeight w:val="27"/>
        </w:trPr>
        <w:tc>
          <w:tcPr>
            <w:tcW w:w="8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Retained earnings</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185,779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185,703</w:t>
            </w:r>
          </w:p>
        </w:tc>
        <w:tc>
          <w:tcPr>
            <w:tcW w:w="0" w:type="dxa"/>
            <w:vAlign w:val="bottom"/>
          </w:tcPr>
          <w:p>
            <w:pPr>
              <w:spacing w:after="0"/>
              <w:rPr>
                <w:sz w:val="1"/>
                <w:szCs w:val="1"/>
                <w:color w:val="auto"/>
              </w:rPr>
            </w:pPr>
          </w:p>
        </w:tc>
      </w:tr>
      <w:tr>
        <w:trPr>
          <w:trHeight w:val="243"/>
        </w:trPr>
        <w:tc>
          <w:tcPr>
            <w:tcW w:w="8660" w:type="dxa"/>
            <w:vAlign w:val="bottom"/>
          </w:tcPr>
          <w:p>
            <w:pPr>
              <w:ind w:left="38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(36,163)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(33,817)</w:t>
            </w:r>
          </w:p>
        </w:tc>
        <w:tc>
          <w:tcPr>
            <w:tcW w:w="0" w:type="dxa"/>
            <w:vAlign w:val="bottom"/>
          </w:tcPr>
          <w:p>
            <w:pPr>
              <w:spacing w:after="0"/>
              <w:rPr>
                <w:sz w:val="1"/>
                <w:szCs w:val="1"/>
                <w:color w:val="auto"/>
              </w:rPr>
            </w:pPr>
          </w:p>
        </w:tc>
      </w:tr>
      <w:tr>
        <w:trPr>
          <w:trHeight w:val="27"/>
        </w:trPr>
        <w:tc>
          <w:tcPr>
            <w:tcW w:w="8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Less: Treasury stock at cost, 4,502,628 and 4,348,613 shares, respectively</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(78,749)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(76,746)</w:t>
            </w:r>
          </w:p>
        </w:tc>
        <w:tc>
          <w:tcPr>
            <w:tcW w:w="0" w:type="dxa"/>
            <w:vAlign w:val="bottom"/>
          </w:tcPr>
          <w:p>
            <w:pPr>
              <w:spacing w:after="0"/>
              <w:rPr>
                <w:sz w:val="1"/>
                <w:szCs w:val="1"/>
                <w:color w:val="auto"/>
              </w:rPr>
            </w:pPr>
          </w:p>
        </w:tc>
      </w:tr>
      <w:tr>
        <w:trPr>
          <w:trHeight w:val="236"/>
        </w:trPr>
        <w:tc>
          <w:tcPr>
            <w:tcW w:w="8660" w:type="dxa"/>
            <w:vAlign w:val="bottom"/>
          </w:tcPr>
          <w:p>
            <w:pPr>
              <w:ind w:left="72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323,957</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330,187</w:t>
            </w:r>
          </w:p>
        </w:tc>
        <w:tc>
          <w:tcPr>
            <w:tcW w:w="0" w:type="dxa"/>
            <w:vAlign w:val="bottom"/>
          </w:tcPr>
          <w:p>
            <w:pPr>
              <w:spacing w:after="0"/>
              <w:rPr>
                <w:sz w:val="1"/>
                <w:szCs w:val="1"/>
                <w:color w:val="auto"/>
              </w:rPr>
            </w:pPr>
          </w:p>
        </w:tc>
      </w:tr>
      <w:tr>
        <w:trPr>
          <w:trHeight w:val="27"/>
        </w:trPr>
        <w:tc>
          <w:tcPr>
            <w:tcW w:w="8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6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712,885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645,110</w:t>
            </w:r>
          </w:p>
        </w:tc>
        <w:tc>
          <w:tcPr>
            <w:tcW w:w="0" w:type="dxa"/>
            <w:vAlign w:val="bottom"/>
          </w:tcPr>
          <w:p>
            <w:pPr>
              <w:spacing w:after="0"/>
              <w:rPr>
                <w:sz w:val="1"/>
                <w:szCs w:val="1"/>
                <w:color w:val="auto"/>
              </w:rPr>
            </w:pPr>
          </w:p>
        </w:tc>
      </w:tr>
      <w:tr>
        <w:trPr>
          <w:trHeight w:val="20"/>
        </w:trPr>
        <w:tc>
          <w:tcPr>
            <w:tcW w:w="8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financial statements.</w:t>
      </w:r>
    </w:p>
    <w:p>
      <w:pPr>
        <w:sectPr>
          <w:pgSz w:w="11900" w:h="16838" w:orient="portrait"/>
          <w:cols w:equalWidth="0" w:num="1">
            <w:col w:w="11240"/>
          </w:cols>
          <w:pgMar w:left="320" w:top="125" w:right="3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11240"/>
          </w:cols>
          <w:pgMar w:left="320" w:top="125" w:right="33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20" w:type="dxa"/>
            <w:vAlign w:val="bottom"/>
            <w:gridSpan w:val="5"/>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6"/>
                <w:szCs w:val="16"/>
                <w:color w:val="auto"/>
              </w:rPr>
            </w:pPr>
          </w:p>
        </w:tc>
        <w:tc>
          <w:tcPr>
            <w:tcW w:w="2380" w:type="dxa"/>
            <w:vAlign w:val="bottom"/>
            <w:gridSpan w:val="4"/>
          </w:tcPr>
          <w:p>
            <w:pPr>
              <w:jc w:val="right"/>
              <w:ind w:right="671"/>
              <w:spacing w:after="0"/>
              <w:rPr>
                <w:sz w:val="20"/>
                <w:szCs w:val="20"/>
                <w:color w:val="auto"/>
              </w:rPr>
            </w:pPr>
            <w:r>
              <w:rPr>
                <w:rFonts w:ascii="Arial" w:cs="Arial" w:eastAsia="Arial" w:hAnsi="Arial"/>
                <w:sz w:val="14"/>
                <w:szCs w:val="14"/>
                <w:b w:val="1"/>
                <w:bCs w:val="1"/>
                <w:color w:val="auto"/>
              </w:rPr>
              <w:t>Six Months Ended</w:t>
            </w:r>
          </w:p>
        </w:tc>
      </w:tr>
      <w:tr>
        <w:trPr>
          <w:trHeight w:val="276"/>
        </w:trPr>
        <w:tc>
          <w:tcPr>
            <w:tcW w:w="56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3"/>
          </w:tcPr>
          <w:p>
            <w:pPr>
              <w:jc w:val="right"/>
              <w:ind w:right="73"/>
              <w:spacing w:after="0"/>
              <w:rPr>
                <w:sz w:val="20"/>
                <w:szCs w:val="20"/>
                <w:color w:val="auto"/>
              </w:rPr>
            </w:pPr>
            <w:r>
              <w:rPr>
                <w:rFonts w:ascii="Arial" w:cs="Arial" w:eastAsia="Arial" w:hAnsi="Arial"/>
                <w:sz w:val="14"/>
                <w:szCs w:val="14"/>
                <w:b w:val="1"/>
                <w:bCs w:val="1"/>
                <w:color w:val="auto"/>
              </w:rPr>
              <w:t>April 30,</w:t>
            </w:r>
          </w:p>
        </w:tc>
        <w:tc>
          <w:tcPr>
            <w:tcW w:w="9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April 30,</w:t>
            </w:r>
          </w:p>
        </w:tc>
        <w:tc>
          <w:tcPr>
            <w:tcW w:w="900" w:type="dxa"/>
            <w:vAlign w:val="bottom"/>
            <w:tcBorders>
              <w:bottom w:val="single" w:sz="8" w:color="auto"/>
            </w:tcBorders>
          </w:tcPr>
          <w:p>
            <w:pPr>
              <w:spacing w:after="0"/>
              <w:rPr>
                <w:sz w:val="24"/>
                <w:szCs w:val="24"/>
                <w:color w:val="auto"/>
              </w:rPr>
            </w:pPr>
          </w:p>
        </w:tc>
      </w:tr>
      <w:tr>
        <w:trPr>
          <w:trHeight w:val="264"/>
        </w:trPr>
        <w:tc>
          <w:tcPr>
            <w:tcW w:w="56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2019</w:t>
            </w:r>
          </w:p>
        </w:tc>
      </w:tr>
      <w:tr>
        <w:trPr>
          <w:trHeight w:val="196"/>
        </w:trPr>
        <w:tc>
          <w:tcPr>
            <w:tcW w:w="5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900" w:type="dxa"/>
            <w:vAlign w:val="bottom"/>
            <w:gridSpan w:val="6"/>
          </w:tcPr>
          <w:p>
            <w:pPr>
              <w:ind w:left="60"/>
              <w:spacing w:after="0"/>
              <w:rPr>
                <w:sz w:val="20"/>
                <w:szCs w:val="20"/>
                <w:color w:val="auto"/>
              </w:rPr>
            </w:pPr>
            <w:r>
              <w:rPr>
                <w:rFonts w:ascii="Arial" w:cs="Arial" w:eastAsia="Arial" w:hAnsi="Arial"/>
                <w:sz w:val="14"/>
                <w:szCs w:val="14"/>
                <w:b w:val="1"/>
                <w:bCs w:val="1"/>
                <w:color w:val="auto"/>
              </w:rPr>
              <w:t>(In thousands, except per share amounts)</w:t>
            </w: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56"/>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187,475</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218,203</w:t>
            </w:r>
          </w:p>
        </w:tc>
        <w:tc>
          <w:tcPr>
            <w:tcW w:w="2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384,072</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415,011</w:t>
            </w:r>
          </w:p>
        </w:tc>
      </w:tr>
      <w:tr>
        <w:trPr>
          <w:trHeight w:val="243"/>
        </w:trPr>
        <w:tc>
          <w:tcPr>
            <w:tcW w:w="5640" w:type="dxa"/>
            <w:vAlign w:val="bottom"/>
          </w:tcPr>
          <w:p>
            <w:pPr>
              <w:ind w:left="40"/>
              <w:spacing w:after="0"/>
              <w:rPr>
                <w:sz w:val="20"/>
                <w:szCs w:val="20"/>
                <w:color w:val="auto"/>
              </w:rPr>
            </w:pPr>
            <w:r>
              <w:rPr>
                <w:rFonts w:ascii="Arial" w:cs="Arial" w:eastAsia="Arial" w:hAnsi="Arial"/>
                <w:sz w:val="18"/>
                <w:szCs w:val="18"/>
                <w:color w:val="auto"/>
              </w:rPr>
              <w:t>Cost and expenses:</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5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 of sales (excluding 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149,732</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171,378</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307,159</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329,935</w:t>
            </w:r>
          </w:p>
        </w:tc>
      </w:tr>
      <w:tr>
        <w:trPr>
          <w:trHeight w:val="243"/>
        </w:trPr>
        <w:tc>
          <w:tcPr>
            <w:tcW w:w="564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16,713</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23,722</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40,845</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51,748</w:t>
            </w:r>
          </w:p>
        </w:tc>
      </w:tr>
      <w:tr>
        <w:trPr>
          <w:trHeight w:val="27"/>
        </w:trPr>
        <w:tc>
          <w:tcPr>
            <w:tcW w:w="5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Restructuring charges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251</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84</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404</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187</w:t>
            </w:r>
          </w:p>
        </w:tc>
      </w:tr>
      <w:tr>
        <w:trPr>
          <w:trHeight w:val="243"/>
        </w:trPr>
        <w:tc>
          <w:tcPr>
            <w:tcW w:w="564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11,886</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12,404</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24,791</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24,976</w:t>
            </w:r>
          </w:p>
        </w:tc>
      </w:tr>
      <w:tr>
        <w:trPr>
          <w:trHeight w:val="27"/>
        </w:trPr>
        <w:tc>
          <w:tcPr>
            <w:tcW w:w="5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5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Asset impairment charges</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29,978</w:t>
            </w:r>
          </w:p>
        </w:tc>
        <w:tc>
          <w:tcPr>
            <w:tcW w:w="2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29,978</w:t>
            </w:r>
          </w:p>
        </w:tc>
      </w:tr>
      <w:tr>
        <w:trPr>
          <w:trHeight w:val="237"/>
        </w:trPr>
        <w:tc>
          <w:tcPr>
            <w:tcW w:w="5640" w:type="dxa"/>
            <w:vAlign w:val="bottom"/>
          </w:tcPr>
          <w:p>
            <w:pPr>
              <w:ind w:left="40"/>
              <w:spacing w:after="0"/>
              <w:rPr>
                <w:sz w:val="20"/>
                <w:szCs w:val="20"/>
                <w:color w:val="auto"/>
              </w:rPr>
            </w:pPr>
            <w:r>
              <w:rPr>
                <w:rFonts w:ascii="Arial" w:cs="Arial" w:eastAsia="Arial" w:hAnsi="Arial"/>
                <w:sz w:val="18"/>
                <w:szCs w:val="18"/>
                <w:color w:val="auto"/>
              </w:rPr>
              <w:t>Operating income (loss)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8,893</w:t>
            </w:r>
          </w:p>
        </w:tc>
        <w:tc>
          <w:tcPr>
            <w:tcW w:w="2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(19,363)</w:t>
            </w:r>
          </w:p>
        </w:tc>
        <w:tc>
          <w:tcPr>
            <w:tcW w:w="2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10,873</w:t>
            </w:r>
          </w:p>
        </w:tc>
        <w:tc>
          <w:tcPr>
            <w:tcW w:w="2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(21,813)</w:t>
            </w:r>
          </w:p>
        </w:tc>
      </w:tr>
      <w:tr>
        <w:trPr>
          <w:trHeight w:val="27"/>
        </w:trPr>
        <w:tc>
          <w:tcPr>
            <w:tcW w:w="5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Non-operating (expense) income: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564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(1,563)</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(2,602)</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(3,145)</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(5,044)</w:t>
            </w:r>
          </w:p>
        </w:tc>
      </w:tr>
      <w:tr>
        <w:trPr>
          <w:trHeight w:val="27"/>
        </w:trPr>
        <w:tc>
          <w:tcPr>
            <w:tcW w:w="5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5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net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300</w:t>
            </w:r>
          </w:p>
        </w:tc>
        <w:tc>
          <w:tcPr>
            <w:tcW w:w="2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336</w:t>
            </w:r>
          </w:p>
        </w:tc>
        <w:tc>
          <w:tcPr>
            <w:tcW w:w="2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202</w:t>
            </w:r>
          </w:p>
        </w:tc>
      </w:tr>
      <w:tr>
        <w:trPr>
          <w:trHeight w:val="237"/>
        </w:trPr>
        <w:tc>
          <w:tcPr>
            <w:tcW w:w="5640" w:type="dxa"/>
            <w:vAlign w:val="bottom"/>
          </w:tcPr>
          <w:p>
            <w:pPr>
              <w:ind w:left="40"/>
              <w:spacing w:after="0"/>
              <w:rPr>
                <w:sz w:val="20"/>
                <w:szCs w:val="20"/>
                <w:color w:val="auto"/>
              </w:rPr>
            </w:pPr>
            <w:r>
              <w:rPr>
                <w:rFonts w:ascii="Arial" w:cs="Arial" w:eastAsia="Arial" w:hAnsi="Arial"/>
                <w:sz w:val="18"/>
                <w:szCs w:val="18"/>
                <w:color w:val="auto"/>
              </w:rPr>
              <w:t>Income (loss) before income taxes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7,630</w:t>
            </w:r>
          </w:p>
        </w:tc>
        <w:tc>
          <w:tcPr>
            <w:tcW w:w="2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(22,019)</w:t>
            </w:r>
          </w:p>
        </w:tc>
        <w:tc>
          <w:tcPr>
            <w:tcW w:w="2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8,064</w:t>
            </w:r>
          </w:p>
        </w:tc>
        <w:tc>
          <w:tcPr>
            <w:tcW w:w="2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(26,655)</w:t>
            </w:r>
          </w:p>
        </w:tc>
      </w:tr>
      <w:tr>
        <w:trPr>
          <w:trHeight w:val="27"/>
        </w:trPr>
        <w:tc>
          <w:tcPr>
            <w:tcW w:w="5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(2,129)</w:t>
            </w:r>
          </w:p>
        </w:tc>
        <w:tc>
          <w:tcPr>
            <w:tcW w:w="2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(1,955)</w:t>
            </w:r>
          </w:p>
        </w:tc>
        <w:tc>
          <w:tcPr>
            <w:tcW w:w="2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(2,553)</w:t>
            </w:r>
          </w:p>
        </w:tc>
        <w:tc>
          <w:tcPr>
            <w:tcW w:w="2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(968)</w:t>
            </w:r>
          </w:p>
        </w:tc>
      </w:tr>
      <w:tr>
        <w:trPr>
          <w:trHeight w:val="297"/>
        </w:trPr>
        <w:tc>
          <w:tcPr>
            <w:tcW w:w="56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(loss)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5,501</w:t>
            </w:r>
          </w:p>
        </w:tc>
        <w:tc>
          <w:tcPr>
            <w:tcW w:w="2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(23,974)</w:t>
            </w:r>
          </w:p>
        </w:tc>
        <w:tc>
          <w:tcPr>
            <w:tcW w:w="2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5,511</w:t>
            </w:r>
          </w:p>
        </w:tc>
        <w:tc>
          <w:tcPr>
            <w:tcW w:w="2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(27,623)</w:t>
            </w:r>
          </w:p>
        </w:tc>
      </w:tr>
      <w:tr>
        <w:trPr>
          <w:trHeight w:val="311"/>
        </w:trPr>
        <w:tc>
          <w:tcPr>
            <w:tcW w:w="56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43"/>
        </w:trPr>
        <w:tc>
          <w:tcPr>
            <w:tcW w:w="5640" w:type="dxa"/>
            <w:vAlign w:val="bottom"/>
          </w:tcPr>
          <w:p>
            <w:pPr>
              <w:ind w:left="40"/>
              <w:spacing w:after="0"/>
              <w:rPr>
                <w:sz w:val="20"/>
                <w:szCs w:val="20"/>
                <w:color w:val="auto"/>
              </w:rPr>
            </w:pPr>
            <w:r>
              <w:rPr>
                <w:rFonts w:ascii="Arial" w:cs="Arial" w:eastAsia="Arial" w:hAnsi="Arial"/>
                <w:sz w:val="18"/>
                <w:szCs w:val="18"/>
                <w:color w:val="auto"/>
              </w:rPr>
              <w:t>Basic earnings (loss) per common share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0.17</w:t>
            </w:r>
          </w:p>
        </w:tc>
        <w:tc>
          <w:tcPr>
            <w:tcW w:w="220" w:type="dxa"/>
            <w:vAlign w:val="bottom"/>
          </w:tcPr>
          <w:p>
            <w:pPr>
              <w:spacing w:after="0"/>
              <w:rPr>
                <w:sz w:val="21"/>
                <w:szCs w:val="21"/>
                <w:color w:val="auto"/>
              </w:rPr>
            </w:pPr>
          </w:p>
        </w:tc>
        <w:tc>
          <w:tcPr>
            <w:tcW w:w="320" w:type="dxa"/>
            <w:vAlign w:val="bottom"/>
          </w:tcPr>
          <w:p>
            <w:pPr>
              <w:jc w:val="right"/>
              <w:ind w:right="113"/>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(0.73)</w:t>
            </w:r>
          </w:p>
        </w:tc>
        <w:tc>
          <w:tcPr>
            <w:tcW w:w="2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0.17</w:t>
            </w:r>
          </w:p>
        </w:tc>
        <w:tc>
          <w:tcPr>
            <w:tcW w:w="2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(0.84)</w:t>
            </w:r>
          </w:p>
        </w:tc>
      </w:tr>
      <w:tr>
        <w:trPr>
          <w:trHeight w:val="27"/>
        </w:trPr>
        <w:tc>
          <w:tcPr>
            <w:tcW w:w="5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324"/>
        </w:trPr>
        <w:tc>
          <w:tcPr>
            <w:tcW w:w="56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43"/>
        </w:trPr>
        <w:tc>
          <w:tcPr>
            <w:tcW w:w="5640" w:type="dxa"/>
            <w:vAlign w:val="bottom"/>
          </w:tcPr>
          <w:p>
            <w:pPr>
              <w:ind w:left="40"/>
              <w:spacing w:after="0"/>
              <w:rPr>
                <w:sz w:val="20"/>
                <w:szCs w:val="20"/>
                <w:color w:val="auto"/>
              </w:rPr>
            </w:pPr>
            <w:r>
              <w:rPr>
                <w:rFonts w:ascii="Arial" w:cs="Arial" w:eastAsia="Arial" w:hAnsi="Arial"/>
                <w:sz w:val="18"/>
                <w:szCs w:val="18"/>
                <w:color w:val="auto"/>
              </w:rPr>
              <w:t>Diluted earnings (loss) per common share: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0.17</w:t>
            </w:r>
          </w:p>
        </w:tc>
        <w:tc>
          <w:tcPr>
            <w:tcW w:w="220" w:type="dxa"/>
            <w:vAlign w:val="bottom"/>
          </w:tcPr>
          <w:p>
            <w:pPr>
              <w:spacing w:after="0"/>
              <w:rPr>
                <w:sz w:val="21"/>
                <w:szCs w:val="21"/>
                <w:color w:val="auto"/>
              </w:rPr>
            </w:pPr>
          </w:p>
        </w:tc>
        <w:tc>
          <w:tcPr>
            <w:tcW w:w="320" w:type="dxa"/>
            <w:vAlign w:val="bottom"/>
          </w:tcPr>
          <w:p>
            <w:pPr>
              <w:jc w:val="right"/>
              <w:ind w:right="113"/>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(0.73)</w:t>
            </w:r>
          </w:p>
        </w:tc>
        <w:tc>
          <w:tcPr>
            <w:tcW w:w="2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0.17</w:t>
            </w:r>
          </w:p>
        </w:tc>
        <w:tc>
          <w:tcPr>
            <w:tcW w:w="2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(0.84)</w:t>
            </w:r>
          </w:p>
        </w:tc>
      </w:tr>
      <w:tr>
        <w:trPr>
          <w:trHeight w:val="27"/>
        </w:trPr>
        <w:tc>
          <w:tcPr>
            <w:tcW w:w="5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324"/>
        </w:trPr>
        <w:tc>
          <w:tcPr>
            <w:tcW w:w="56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43"/>
        </w:trPr>
        <w:tc>
          <w:tcPr>
            <w:tcW w:w="5640" w:type="dxa"/>
            <w:vAlign w:val="bottom"/>
          </w:tcPr>
          <w:p>
            <w:pPr>
              <w:ind w:left="40"/>
              <w:spacing w:after="0"/>
              <w:rPr>
                <w:sz w:val="20"/>
                <w:szCs w:val="20"/>
                <w:color w:val="auto"/>
              </w:rPr>
            </w:pPr>
            <w:r>
              <w:rPr>
                <w:rFonts w:ascii="Arial" w:cs="Arial" w:eastAsia="Arial" w:hAnsi="Arial"/>
                <w:sz w:val="18"/>
                <w:szCs w:val="18"/>
                <w:color w:val="auto"/>
              </w:rPr>
              <w:t>Weighted-average common shares outstanding:</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5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32,676</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32,951</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32,770</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33,026</w:t>
            </w:r>
          </w:p>
        </w:tc>
      </w:tr>
      <w:tr>
        <w:trPr>
          <w:trHeight w:val="243"/>
        </w:trPr>
        <w:tc>
          <w:tcPr>
            <w:tcW w:w="5640" w:type="dxa"/>
            <w:vAlign w:val="bottom"/>
          </w:tcPr>
          <w:p>
            <w:pPr>
              <w:ind w:left="600"/>
              <w:spacing w:after="0"/>
              <w:rPr>
                <w:sz w:val="20"/>
                <w:szCs w:val="20"/>
                <w:color w:val="auto"/>
              </w:rPr>
            </w:pPr>
            <w:r>
              <w:rPr>
                <w:rFonts w:ascii="Arial" w:cs="Arial" w:eastAsia="Arial" w:hAnsi="Arial"/>
                <w:sz w:val="18"/>
                <w:szCs w:val="18"/>
                <w:color w:val="auto"/>
              </w:rPr>
              <w:t>Diluted</w:t>
            </w: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32,793</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32,951</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32,907</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33,026</w:t>
            </w:r>
          </w:p>
        </w:tc>
      </w:tr>
      <w:tr>
        <w:trPr>
          <w:trHeight w:val="27"/>
        </w:trPr>
        <w:tc>
          <w:tcPr>
            <w:tcW w:w="5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324"/>
        </w:trPr>
        <w:tc>
          <w:tcPr>
            <w:tcW w:w="56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43"/>
        </w:trPr>
        <w:tc>
          <w:tcPr>
            <w:tcW w:w="5640" w:type="dxa"/>
            <w:vAlign w:val="bottom"/>
          </w:tcPr>
          <w:p>
            <w:pPr>
              <w:ind w:left="720"/>
              <w:spacing w:after="0"/>
              <w:rPr>
                <w:sz w:val="20"/>
                <w:szCs w:val="20"/>
                <w:color w:val="auto"/>
              </w:rPr>
            </w:pPr>
            <w:r>
              <w:rPr>
                <w:rFonts w:ascii="Arial" w:cs="Arial" w:eastAsia="Arial" w:hAnsi="Arial"/>
                <w:sz w:val="18"/>
                <w:szCs w:val="18"/>
                <w:color w:val="auto"/>
              </w:rPr>
              <w:t>Cash dividends per share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0.08</w:t>
            </w:r>
          </w:p>
        </w:tc>
        <w:tc>
          <w:tcPr>
            <w:tcW w:w="220" w:type="dxa"/>
            <w:vAlign w:val="bottom"/>
          </w:tcPr>
          <w:p>
            <w:pPr>
              <w:spacing w:after="0"/>
              <w:rPr>
                <w:sz w:val="21"/>
                <w:szCs w:val="21"/>
                <w:color w:val="auto"/>
              </w:rPr>
            </w:pPr>
          </w:p>
        </w:tc>
        <w:tc>
          <w:tcPr>
            <w:tcW w:w="320" w:type="dxa"/>
            <w:vAlign w:val="bottom"/>
          </w:tcPr>
          <w:p>
            <w:pPr>
              <w:jc w:val="right"/>
              <w:ind w:right="113"/>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0.08</w:t>
            </w:r>
          </w:p>
        </w:tc>
        <w:tc>
          <w:tcPr>
            <w:tcW w:w="2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0.16</w:t>
            </w:r>
          </w:p>
        </w:tc>
        <w:tc>
          <w:tcPr>
            <w:tcW w:w="2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0.16</w:t>
            </w:r>
          </w:p>
        </w:tc>
      </w:tr>
    </w:tbl>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QUANEX BUILDING PRODUCTS CORPORATION CONDENSED CONSOLIDATED STATEMENTS OF COMPREHENSIVE (LOSS) INCOME (Unaudited)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6"/>
                <w:szCs w:val="16"/>
                <w:color w:val="auto"/>
              </w:rPr>
            </w:pPr>
          </w:p>
        </w:tc>
        <w:tc>
          <w:tcPr>
            <w:tcW w:w="1680" w:type="dxa"/>
            <w:vAlign w:val="bottom"/>
            <w:gridSpan w:val="4"/>
          </w:tcPr>
          <w:p>
            <w:pPr>
              <w:jc w:val="right"/>
              <w:ind w:right="273"/>
              <w:spacing w:after="0"/>
              <w:rPr>
                <w:sz w:val="20"/>
                <w:szCs w:val="20"/>
                <w:color w:val="auto"/>
              </w:rPr>
            </w:pPr>
            <w:r>
              <w:rPr>
                <w:rFonts w:ascii="Arial" w:cs="Arial" w:eastAsia="Arial" w:hAnsi="Arial"/>
                <w:sz w:val="14"/>
                <w:szCs w:val="14"/>
                <w:b w:val="1"/>
                <w:bCs w:val="1"/>
                <w:color w:val="auto"/>
              </w:rPr>
              <w:t>Six Months Ended</w:t>
            </w:r>
          </w:p>
        </w:tc>
      </w:tr>
      <w:tr>
        <w:trPr>
          <w:trHeight w:val="276"/>
        </w:trPr>
        <w:tc>
          <w:tcPr>
            <w:tcW w:w="73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w w:val="97"/>
              </w:rPr>
              <w:t>April 30,</w:t>
            </w: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4"/>
          </w:tcPr>
          <w:p>
            <w:pPr>
              <w:jc w:val="right"/>
              <w:ind w:right="573"/>
              <w:spacing w:after="0"/>
              <w:rPr>
                <w:sz w:val="20"/>
                <w:szCs w:val="20"/>
                <w:color w:val="auto"/>
              </w:rPr>
            </w:pPr>
            <w:r>
              <w:rPr>
                <w:rFonts w:ascii="Arial" w:cs="Arial" w:eastAsia="Arial" w:hAnsi="Arial"/>
                <w:sz w:val="14"/>
                <w:szCs w:val="14"/>
                <w:b w:val="1"/>
                <w:bCs w:val="1"/>
                <w:color w:val="auto"/>
              </w:rPr>
              <w:t>April 30,</w:t>
            </w:r>
          </w:p>
        </w:tc>
      </w:tr>
      <w:tr>
        <w:trPr>
          <w:trHeight w:val="264"/>
        </w:trPr>
        <w:tc>
          <w:tcPr>
            <w:tcW w:w="73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2019</w:t>
            </w:r>
          </w:p>
        </w:tc>
      </w:tr>
      <w:tr>
        <w:trPr>
          <w:trHeight w:val="196"/>
        </w:trPr>
        <w:tc>
          <w:tcPr>
            <w:tcW w:w="7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60" w:type="dxa"/>
            <w:vAlign w:val="bottom"/>
            <w:gridSpan w:val="5"/>
          </w:tcPr>
          <w:p>
            <w:pPr>
              <w:ind w:left="26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56"/>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5,501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(23,974)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5,511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(27,623)</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i w:val="1"/>
                <w:iCs w:val="1"/>
                <w:color w:val="auto"/>
              </w:rPr>
              <w:t>Other comprehensive income:</w:t>
            </w: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7"/>
        </w:trPr>
        <w:tc>
          <w:tcPr>
            <w:tcW w:w="7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 (loss) gain</w:t>
            </w: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(6,999)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2,582</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Change in pension from net unamortized gain (loss) adjustment (pretax)</w:t>
            </w:r>
          </w:p>
        </w:tc>
        <w:tc>
          <w:tcPr>
            <w:tcW w:w="2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680" w:type="dxa"/>
            <w:vAlign w:val="bottom"/>
          </w:tcPr>
          <w:p>
            <w:pPr>
              <w:jc w:val="right"/>
              <w:ind w:right="16"/>
              <w:spacing w:after="0"/>
              <w:rPr>
                <w:sz w:val="20"/>
                <w:szCs w:val="20"/>
                <w:color w:val="auto"/>
              </w:rPr>
            </w:pPr>
            <w:r>
              <w:rPr>
                <w:rFonts w:ascii="Arial" w:cs="Arial" w:eastAsia="Arial" w:hAnsi="Arial"/>
                <w:sz w:val="18"/>
                <w:szCs w:val="18"/>
                <w:color w:val="auto"/>
              </w:rPr>
              <w:t>2,519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7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pension from net unamortized gain (loss) adjustment tax (expense) benefit</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w:t>
            </w:r>
          </w:p>
        </w:tc>
      </w:tr>
      <w:tr>
        <w:trPr>
          <w:trHeight w:val="237"/>
        </w:trPr>
        <w:tc>
          <w:tcPr>
            <w:tcW w:w="7320" w:type="dxa"/>
            <w:vAlign w:val="bottom"/>
          </w:tcPr>
          <w:p>
            <w:pPr>
              <w:ind w:left="40"/>
              <w:spacing w:after="0"/>
              <w:rPr>
                <w:sz w:val="20"/>
                <w:szCs w:val="20"/>
                <w:color w:val="auto"/>
              </w:rPr>
            </w:pPr>
            <w:r>
              <w:rPr>
                <w:rFonts w:ascii="Arial" w:cs="Arial" w:eastAsia="Arial" w:hAnsi="Arial"/>
                <w:sz w:val="18"/>
                <w:szCs w:val="18"/>
                <w:color w:val="auto"/>
              </w:rPr>
              <w:t>Other comprehensive (loss) gain</w:t>
            </w:r>
          </w:p>
        </w:tc>
        <w:tc>
          <w:tcPr>
            <w:tcW w:w="2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(6,999)</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(2,346)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2,578</w:t>
            </w:r>
          </w:p>
        </w:tc>
      </w:tr>
      <w:tr>
        <w:trPr>
          <w:trHeight w:val="27"/>
        </w:trPr>
        <w:tc>
          <w:tcPr>
            <w:tcW w:w="7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57"/>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(loss) income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(25,458)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3,165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(25,045)</w:t>
            </w:r>
          </w:p>
        </w:tc>
      </w:tr>
      <w:tr>
        <w:trPr>
          <w:trHeight w:val="20"/>
        </w:trPr>
        <w:tc>
          <w:tcPr>
            <w:tcW w:w="7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2" w:lineRule="exact"/>
        <w:rPr>
          <w:sz w:val="20"/>
          <w:szCs w:val="20"/>
          <w:color w:val="auto"/>
        </w:rPr>
      </w:pPr>
    </w:p>
    <w:p>
      <w:pPr>
        <w:jc w:val="center"/>
        <w:ind w:left="8560"/>
        <w:spacing w:after="0"/>
        <w:rPr>
          <w:sz w:val="20"/>
          <w:szCs w:val="20"/>
          <w:color w:val="auto"/>
        </w:rPr>
      </w:pPr>
      <w:r>
        <w:rPr>
          <w:rFonts w:ascii="Arial" w:cs="Arial" w:eastAsia="Arial" w:hAnsi="Arial"/>
          <w:sz w:val="14"/>
          <w:szCs w:val="14"/>
          <w:b w:val="1"/>
          <w:bCs w:val="1"/>
          <w:color w:val="auto"/>
        </w:rPr>
        <w:t>Six Months Ended</w:t>
      </w:r>
    </w:p>
    <w:p>
      <w:pPr>
        <w:spacing w:after="0" w:line="42" w:lineRule="exact"/>
        <w:rPr>
          <w:sz w:val="20"/>
          <w:szCs w:val="20"/>
          <w:color w:val="auto"/>
        </w:rPr>
      </w:pPr>
    </w:p>
    <w:p>
      <w:pPr>
        <w:jc w:val="center"/>
        <w:ind w:left="8560"/>
        <w:spacing w:after="0"/>
        <w:rPr>
          <w:sz w:val="20"/>
          <w:szCs w:val="20"/>
          <w:color w:val="auto"/>
        </w:rPr>
      </w:pPr>
      <w:r>
        <w:rPr>
          <w:rFonts w:ascii="Arial" w:cs="Arial" w:eastAsia="Arial" w:hAnsi="Arial"/>
          <w:sz w:val="14"/>
          <w:szCs w:val="14"/>
          <w:b w:val="1"/>
          <w:bCs w:val="1"/>
          <w:color w:val="auto"/>
        </w:rPr>
        <w:t>April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5431155</wp:posOffset>
            </wp:positionH>
            <wp:positionV relativeFrom="paragraph">
              <wp:posOffset>23495</wp:posOffset>
            </wp:positionV>
            <wp:extent cx="17056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0561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2019</w:t>
            </w:r>
          </w:p>
        </w:tc>
      </w:tr>
      <w:tr>
        <w:trPr>
          <w:trHeight w:val="190"/>
        </w:trPr>
        <w:tc>
          <w:tcPr>
            <w:tcW w:w="8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20" w:type="dxa"/>
            <w:vAlign w:val="bottom"/>
          </w:tcPr>
          <w:p>
            <w:pPr>
              <w:spacing w:after="0"/>
              <w:rPr>
                <w:sz w:val="16"/>
                <w:szCs w:val="16"/>
                <w:color w:val="auto"/>
              </w:rPr>
            </w:pPr>
          </w:p>
        </w:tc>
      </w:tr>
      <w:tr>
        <w:trPr>
          <w:trHeight w:val="249"/>
        </w:trPr>
        <w:tc>
          <w:tcPr>
            <w:tcW w:w="8560" w:type="dxa"/>
            <w:vAlign w:val="bottom"/>
          </w:tcPr>
          <w:p>
            <w:pPr>
              <w:ind w:left="40"/>
              <w:spacing w:after="0"/>
              <w:rPr>
                <w:sz w:val="20"/>
                <w:szCs w:val="20"/>
                <w:color w:val="auto"/>
              </w:rPr>
            </w:pPr>
            <w:r>
              <w:rPr>
                <w:rFonts w:ascii="Arial" w:cs="Arial" w:eastAsia="Arial" w:hAnsi="Arial"/>
                <w:sz w:val="16"/>
                <w:szCs w:val="16"/>
                <w:b w:val="1"/>
                <w:bCs w:val="1"/>
                <w:color w:val="auto"/>
              </w:rPr>
              <w:t>Operating activities:</w:t>
            </w: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33"/>
        </w:trPr>
        <w:tc>
          <w:tcPr>
            <w:tcW w:w="8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(loss)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5,511</w:t>
            </w:r>
          </w:p>
        </w:tc>
        <w:tc>
          <w:tcPr>
            <w:tcW w:w="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(27,623)</w:t>
            </w:r>
          </w:p>
        </w:tc>
      </w:tr>
      <w:tr>
        <w:trPr>
          <w:trHeight w:val="243"/>
        </w:trPr>
        <w:tc>
          <w:tcPr>
            <w:tcW w:w="8560" w:type="dxa"/>
            <w:vAlign w:val="bottom"/>
          </w:tcPr>
          <w:p>
            <w:pPr>
              <w:ind w:left="180"/>
              <w:spacing w:after="0"/>
              <w:rPr>
                <w:sz w:val="20"/>
                <w:szCs w:val="20"/>
                <w:color w:val="auto"/>
              </w:rPr>
            </w:pPr>
            <w:r>
              <w:rPr>
                <w:rFonts w:ascii="Arial" w:cs="Arial" w:eastAsia="Arial" w:hAnsi="Arial"/>
                <w:sz w:val="18"/>
                <w:szCs w:val="18"/>
                <w:color w:val="auto"/>
              </w:rPr>
              <w:t>Adjustments to reconcile net income (loss) to cash provided by operating activities:</w:t>
            </w: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8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24,791</w:t>
            </w:r>
          </w:p>
        </w:tc>
        <w:tc>
          <w:tcPr>
            <w:tcW w:w="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24,976</w:t>
            </w:r>
          </w:p>
        </w:tc>
      </w:tr>
      <w:tr>
        <w:trPr>
          <w:trHeight w:val="243"/>
        </w:trPr>
        <w:tc>
          <w:tcPr>
            <w:tcW w:w="8560" w:type="dxa"/>
            <w:vAlign w:val="bottom"/>
          </w:tcPr>
          <w:p>
            <w:pPr>
              <w:ind w:left="500"/>
              <w:spacing w:after="0"/>
              <w:rPr>
                <w:sz w:val="20"/>
                <w:szCs w:val="20"/>
                <w:color w:val="auto"/>
              </w:rPr>
            </w:pPr>
            <w:r>
              <w:rPr>
                <w:rFonts w:ascii="Arial" w:cs="Arial" w:eastAsia="Arial" w:hAnsi="Arial"/>
                <w:sz w:val="18"/>
                <w:szCs w:val="18"/>
                <w:color w:val="auto"/>
              </w:rPr>
              <w:t>Stock-based compensation</w:t>
            </w:r>
          </w:p>
        </w:tc>
        <w:tc>
          <w:tcPr>
            <w:tcW w:w="3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86</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1,043</w:t>
            </w:r>
          </w:p>
        </w:tc>
      </w:tr>
      <w:tr>
        <w:trPr>
          <w:trHeight w:val="27"/>
        </w:trPr>
        <w:tc>
          <w:tcPr>
            <w:tcW w:w="8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Deferred income tax</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1,194</w:t>
            </w:r>
          </w:p>
        </w:tc>
        <w:tc>
          <w:tcPr>
            <w:tcW w:w="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(1,256)</w:t>
            </w:r>
          </w:p>
        </w:tc>
      </w:tr>
      <w:tr>
        <w:trPr>
          <w:trHeight w:val="243"/>
        </w:trPr>
        <w:tc>
          <w:tcPr>
            <w:tcW w:w="8560" w:type="dxa"/>
            <w:vAlign w:val="bottom"/>
          </w:tcPr>
          <w:p>
            <w:pPr>
              <w:ind w:left="500"/>
              <w:spacing w:after="0"/>
              <w:rPr>
                <w:sz w:val="20"/>
                <w:szCs w:val="20"/>
                <w:color w:val="auto"/>
              </w:rPr>
            </w:pPr>
            <w:r>
              <w:rPr>
                <w:rFonts w:ascii="Arial" w:cs="Arial" w:eastAsia="Arial" w:hAnsi="Arial"/>
                <w:sz w:val="18"/>
                <w:szCs w:val="18"/>
                <w:color w:val="auto"/>
              </w:rPr>
              <w:t>Asset impairment charges</w:t>
            </w:r>
          </w:p>
        </w:tc>
        <w:tc>
          <w:tcPr>
            <w:tcW w:w="300" w:type="dxa"/>
            <w:vAlign w:val="bottom"/>
          </w:tcPr>
          <w:p>
            <w:pPr>
              <w:spacing w:after="0"/>
              <w:rPr>
                <w:sz w:val="21"/>
                <w:szCs w:val="21"/>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29,978</w:t>
            </w:r>
          </w:p>
        </w:tc>
      </w:tr>
      <w:tr>
        <w:trPr>
          <w:trHeight w:val="27"/>
        </w:trPr>
        <w:tc>
          <w:tcPr>
            <w:tcW w:w="8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Other, net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463</w:t>
            </w:r>
          </w:p>
        </w:tc>
        <w:tc>
          <w:tcPr>
            <w:tcW w:w="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1,078</w:t>
            </w:r>
          </w:p>
        </w:tc>
      </w:tr>
      <w:tr>
        <w:trPr>
          <w:trHeight w:val="243"/>
        </w:trPr>
        <w:tc>
          <w:tcPr>
            <w:tcW w:w="8560" w:type="dxa"/>
            <w:vAlign w:val="bottom"/>
          </w:tcPr>
          <w:p>
            <w:pPr>
              <w:ind w:left="180"/>
              <w:spacing w:after="0"/>
              <w:rPr>
                <w:sz w:val="20"/>
                <w:szCs w:val="20"/>
                <w:color w:val="auto"/>
              </w:rPr>
            </w:pPr>
            <w:r>
              <w:rPr>
                <w:rFonts w:ascii="Arial" w:cs="Arial" w:eastAsia="Arial" w:hAnsi="Arial"/>
                <w:sz w:val="18"/>
                <w:szCs w:val="18"/>
                <w:color w:val="auto"/>
              </w:rPr>
              <w:t>Changes in assets and liabilities:</w:t>
            </w: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8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Decrease in accounts receivable</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14,682</w:t>
            </w:r>
          </w:p>
        </w:tc>
        <w:tc>
          <w:tcPr>
            <w:tcW w:w="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3,479</w:t>
            </w:r>
          </w:p>
        </w:tc>
      </w:tr>
      <w:tr>
        <w:trPr>
          <w:trHeight w:val="243"/>
        </w:trPr>
        <w:tc>
          <w:tcPr>
            <w:tcW w:w="8560" w:type="dxa"/>
            <w:vAlign w:val="bottom"/>
          </w:tcPr>
          <w:p>
            <w:pPr>
              <w:ind w:left="500"/>
              <w:spacing w:after="0"/>
              <w:rPr>
                <w:sz w:val="20"/>
                <w:szCs w:val="20"/>
                <w:color w:val="auto"/>
              </w:rPr>
            </w:pPr>
            <w:r>
              <w:rPr>
                <w:rFonts w:ascii="Arial" w:cs="Arial" w:eastAsia="Arial" w:hAnsi="Arial"/>
                <w:sz w:val="18"/>
                <w:szCs w:val="18"/>
                <w:color w:val="auto"/>
              </w:rPr>
              <w:t>Increase in inventory</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(8,363)</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(15,522)</w:t>
            </w:r>
          </w:p>
        </w:tc>
      </w:tr>
      <w:tr>
        <w:trPr>
          <w:trHeight w:val="27"/>
        </w:trPr>
        <w:tc>
          <w:tcPr>
            <w:tcW w:w="8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Increase in other current assets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(681)</w:t>
            </w:r>
          </w:p>
        </w:tc>
      </w:tr>
      <w:tr>
        <w:trPr>
          <w:trHeight w:val="243"/>
        </w:trPr>
        <w:tc>
          <w:tcPr>
            <w:tcW w:w="8560" w:type="dxa"/>
            <w:vAlign w:val="bottom"/>
          </w:tcPr>
          <w:p>
            <w:pPr>
              <w:ind w:left="500"/>
              <w:spacing w:after="0"/>
              <w:rPr>
                <w:sz w:val="20"/>
                <w:szCs w:val="20"/>
                <w:color w:val="auto"/>
              </w:rPr>
            </w:pPr>
            <w:r>
              <w:rPr>
                <w:rFonts w:ascii="Arial" w:cs="Arial" w:eastAsia="Arial" w:hAnsi="Arial"/>
                <w:sz w:val="18"/>
                <w:szCs w:val="18"/>
                <w:color w:val="auto"/>
              </w:rPr>
              <w:t>Decrease in accounts payable</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(16,807)</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(2,617)</w:t>
            </w:r>
          </w:p>
        </w:tc>
      </w:tr>
      <w:tr>
        <w:trPr>
          <w:trHeight w:val="27"/>
        </w:trPr>
        <w:tc>
          <w:tcPr>
            <w:tcW w:w="8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Decrease in accrued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(13,673)</w:t>
            </w:r>
          </w:p>
        </w:tc>
        <w:tc>
          <w:tcPr>
            <w:tcW w:w="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(14,716)</w:t>
            </w:r>
          </w:p>
        </w:tc>
      </w:tr>
      <w:tr>
        <w:trPr>
          <w:trHeight w:val="243"/>
        </w:trPr>
        <w:tc>
          <w:tcPr>
            <w:tcW w:w="8560" w:type="dxa"/>
            <w:vAlign w:val="bottom"/>
          </w:tcPr>
          <w:p>
            <w:pPr>
              <w:ind w:left="500"/>
              <w:spacing w:after="0"/>
              <w:rPr>
                <w:sz w:val="20"/>
                <w:szCs w:val="20"/>
                <w:color w:val="auto"/>
              </w:rPr>
            </w:pPr>
            <w:r>
              <w:rPr>
                <w:rFonts w:ascii="Arial" w:cs="Arial" w:eastAsia="Arial" w:hAnsi="Arial"/>
                <w:sz w:val="18"/>
                <w:szCs w:val="18"/>
                <w:color w:val="auto"/>
              </w:rPr>
              <w:t>(Decrease) increase in income taxes payable</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(4,052)</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183</w:t>
            </w:r>
          </w:p>
        </w:tc>
      </w:tr>
      <w:tr>
        <w:trPr>
          <w:trHeight w:val="27"/>
        </w:trPr>
        <w:tc>
          <w:tcPr>
            <w:tcW w:w="8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Increase in deferred pension and postretirement benefits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562</w:t>
            </w:r>
          </w:p>
        </w:tc>
        <w:tc>
          <w:tcPr>
            <w:tcW w:w="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1,567</w:t>
            </w:r>
          </w:p>
        </w:tc>
      </w:tr>
      <w:tr>
        <w:trPr>
          <w:trHeight w:val="243"/>
        </w:trPr>
        <w:tc>
          <w:tcPr>
            <w:tcW w:w="8560" w:type="dxa"/>
            <w:vAlign w:val="bottom"/>
          </w:tcPr>
          <w:p>
            <w:pPr>
              <w:ind w:left="500"/>
              <w:spacing w:after="0"/>
              <w:rPr>
                <w:sz w:val="20"/>
                <w:szCs w:val="20"/>
                <w:color w:val="auto"/>
              </w:rPr>
            </w:pPr>
            <w:r>
              <w:rPr>
                <w:rFonts w:ascii="Arial" w:cs="Arial" w:eastAsia="Arial" w:hAnsi="Arial"/>
                <w:sz w:val="18"/>
                <w:szCs w:val="18"/>
                <w:color w:val="auto"/>
              </w:rPr>
              <w:t>Decrease in other long-term liabilities</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(787)</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7"/>
        </w:trPr>
        <w:tc>
          <w:tcPr>
            <w:tcW w:w="8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85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Other, net</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2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385</w:t>
            </w:r>
          </w:p>
        </w:tc>
      </w:tr>
      <w:tr>
        <w:trPr>
          <w:trHeight w:val="237"/>
        </w:trPr>
        <w:tc>
          <w:tcPr>
            <w:tcW w:w="8560" w:type="dxa"/>
            <w:vAlign w:val="bottom"/>
          </w:tcPr>
          <w:p>
            <w:pPr>
              <w:ind w:left="40"/>
              <w:spacing w:after="0"/>
              <w:rPr>
                <w:sz w:val="20"/>
                <w:szCs w:val="20"/>
                <w:color w:val="auto"/>
              </w:rPr>
            </w:pPr>
            <w:r>
              <w:rPr>
                <w:rFonts w:ascii="Arial" w:cs="Arial" w:eastAsia="Arial" w:hAnsi="Arial"/>
                <w:sz w:val="18"/>
                <w:szCs w:val="18"/>
                <w:color w:val="auto"/>
              </w:rPr>
              <w:t>Cash provided by operating activities</w:t>
            </w: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2,472</w:t>
            </w:r>
          </w:p>
        </w:tc>
        <w:tc>
          <w:tcPr>
            <w:tcW w:w="2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143</w:t>
            </w:r>
          </w:p>
        </w:tc>
      </w:tr>
      <w:tr>
        <w:trPr>
          <w:trHeight w:val="27"/>
        </w:trPr>
        <w:tc>
          <w:tcPr>
            <w:tcW w:w="8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8560" w:type="dxa"/>
            <w:vAlign w:val="bottom"/>
          </w:tcPr>
          <w:p>
            <w:pPr>
              <w:ind w:left="380"/>
              <w:spacing w:after="0"/>
              <w:rPr>
                <w:sz w:val="20"/>
                <w:szCs w:val="20"/>
                <w:color w:val="auto"/>
              </w:rPr>
            </w:pPr>
            <w:r>
              <w:rPr>
                <w:rFonts w:ascii="Arial" w:cs="Arial" w:eastAsia="Arial" w:hAnsi="Arial"/>
                <w:sz w:val="18"/>
                <w:szCs w:val="18"/>
                <w:color w:val="auto"/>
              </w:rPr>
              <w:t>Capital expenditures</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(16,313)</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(13,022)</w:t>
            </w:r>
          </w:p>
        </w:tc>
      </w:tr>
      <w:tr>
        <w:trPr>
          <w:trHeight w:val="27"/>
        </w:trPr>
        <w:tc>
          <w:tcPr>
            <w:tcW w:w="8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8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disposition of capital assets</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w:t>
            </w:r>
          </w:p>
        </w:tc>
        <w:tc>
          <w:tcPr>
            <w:tcW w:w="2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298</w:t>
            </w:r>
          </w:p>
        </w:tc>
      </w:tr>
      <w:tr>
        <w:trPr>
          <w:trHeight w:val="237"/>
        </w:trPr>
        <w:tc>
          <w:tcPr>
            <w:tcW w:w="8560" w:type="dxa"/>
            <w:vAlign w:val="bottom"/>
          </w:tcPr>
          <w:p>
            <w:pPr>
              <w:ind w:left="40"/>
              <w:spacing w:after="0"/>
              <w:rPr>
                <w:sz w:val="20"/>
                <w:szCs w:val="20"/>
                <w:color w:val="auto"/>
              </w:rPr>
            </w:pPr>
            <w:r>
              <w:rPr>
                <w:rFonts w:ascii="Arial" w:cs="Arial" w:eastAsia="Arial" w:hAnsi="Arial"/>
                <w:sz w:val="18"/>
                <w:szCs w:val="18"/>
                <w:color w:val="auto"/>
              </w:rPr>
              <w:t>Cash used for investing activities</w:t>
            </w: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(16,280)</w:t>
            </w:r>
          </w:p>
        </w:tc>
        <w:tc>
          <w:tcPr>
            <w:tcW w:w="2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(12,724)</w:t>
            </w:r>
          </w:p>
        </w:tc>
      </w:tr>
      <w:tr>
        <w:trPr>
          <w:trHeight w:val="27"/>
        </w:trPr>
        <w:tc>
          <w:tcPr>
            <w:tcW w:w="8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8560" w:type="dxa"/>
            <w:vAlign w:val="bottom"/>
          </w:tcPr>
          <w:p>
            <w:pPr>
              <w:ind w:left="380"/>
              <w:spacing w:after="0"/>
              <w:rPr>
                <w:sz w:val="20"/>
                <w:szCs w:val="20"/>
                <w:color w:val="auto"/>
              </w:rPr>
            </w:pPr>
            <w:r>
              <w:rPr>
                <w:rFonts w:ascii="Arial" w:cs="Arial" w:eastAsia="Arial" w:hAnsi="Arial"/>
                <w:sz w:val="18"/>
                <w:szCs w:val="18"/>
                <w:color w:val="auto"/>
              </w:rPr>
              <w:t>Borrowings under credit facilities</w:t>
            </w:r>
          </w:p>
        </w:tc>
        <w:tc>
          <w:tcPr>
            <w:tcW w:w="3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114,500</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57,500</w:t>
            </w:r>
          </w:p>
        </w:tc>
      </w:tr>
      <w:tr>
        <w:trPr>
          <w:trHeight w:val="27"/>
        </w:trPr>
        <w:tc>
          <w:tcPr>
            <w:tcW w:w="8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Repayments of credit facility borrowings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(41,000)</w:t>
            </w:r>
          </w:p>
        </w:tc>
        <w:tc>
          <w:tcPr>
            <w:tcW w:w="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(42,500)</w:t>
            </w:r>
          </w:p>
        </w:tc>
      </w:tr>
      <w:tr>
        <w:trPr>
          <w:trHeight w:val="243"/>
        </w:trPr>
        <w:tc>
          <w:tcPr>
            <w:tcW w:w="8560" w:type="dxa"/>
            <w:vAlign w:val="bottom"/>
          </w:tcPr>
          <w:p>
            <w:pPr>
              <w:ind w:left="380"/>
              <w:spacing w:after="0"/>
              <w:rPr>
                <w:sz w:val="20"/>
                <w:szCs w:val="20"/>
                <w:color w:val="auto"/>
              </w:rPr>
            </w:pPr>
            <w:r>
              <w:rPr>
                <w:rFonts w:ascii="Arial" w:cs="Arial" w:eastAsia="Arial" w:hAnsi="Arial"/>
                <w:sz w:val="18"/>
                <w:szCs w:val="18"/>
                <w:color w:val="auto"/>
              </w:rPr>
              <w:t>Repayments of other long-term debt</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(505)</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(784)</w:t>
            </w:r>
          </w:p>
        </w:tc>
      </w:tr>
      <w:tr>
        <w:trPr>
          <w:trHeight w:val="27"/>
        </w:trPr>
        <w:tc>
          <w:tcPr>
            <w:tcW w:w="8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Common stock dividends paid</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(5,287)</w:t>
            </w:r>
          </w:p>
        </w:tc>
        <w:tc>
          <w:tcPr>
            <w:tcW w:w="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(5,335)</w:t>
            </w:r>
          </w:p>
        </w:tc>
      </w:tr>
      <w:tr>
        <w:trPr>
          <w:trHeight w:val="243"/>
        </w:trPr>
        <w:tc>
          <w:tcPr>
            <w:tcW w:w="8560" w:type="dxa"/>
            <w:vAlign w:val="bottom"/>
          </w:tcPr>
          <w:p>
            <w:pPr>
              <w:ind w:left="380"/>
              <w:spacing w:after="0"/>
              <w:rPr>
                <w:sz w:val="20"/>
                <w:szCs w:val="20"/>
                <w:color w:val="auto"/>
              </w:rPr>
            </w:pPr>
            <w:r>
              <w:rPr>
                <w:rFonts w:ascii="Arial" w:cs="Arial" w:eastAsia="Arial" w:hAnsi="Arial"/>
                <w:sz w:val="18"/>
                <w:szCs w:val="18"/>
                <w:color w:val="auto"/>
              </w:rPr>
              <w:t>Issuance of common stock</w:t>
            </w:r>
          </w:p>
        </w:tc>
        <w:tc>
          <w:tcPr>
            <w:tcW w:w="3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2,954</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27</w:t>
            </w:r>
          </w:p>
        </w:tc>
      </w:tr>
      <w:tr>
        <w:trPr>
          <w:trHeight w:val="27"/>
        </w:trPr>
        <w:tc>
          <w:tcPr>
            <w:tcW w:w="8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Payroll tax paid to settle shares forfeited upon vesting of stock</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w:t>
            </w:r>
          </w:p>
        </w:tc>
      </w:tr>
      <w:tr>
        <w:trPr>
          <w:trHeight w:val="243"/>
        </w:trPr>
        <w:tc>
          <w:tcPr>
            <w:tcW w:w="8560" w:type="dxa"/>
            <w:vAlign w:val="bottom"/>
          </w:tcPr>
          <w:p>
            <w:pPr>
              <w:ind w:left="380"/>
              <w:spacing w:after="0"/>
              <w:rPr>
                <w:sz w:val="20"/>
                <w:szCs w:val="20"/>
                <w:color w:val="auto"/>
              </w:rPr>
            </w:pPr>
            <w:r>
              <w:rPr>
                <w:rFonts w:ascii="Arial" w:cs="Arial" w:eastAsia="Arial" w:hAnsi="Arial"/>
                <w:sz w:val="18"/>
                <w:szCs w:val="18"/>
                <w:color w:val="auto"/>
              </w:rPr>
              <w:t>Purchase of treasury stock</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(6,693)</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(4,702)</w:t>
            </w:r>
          </w:p>
        </w:tc>
      </w:tr>
      <w:tr>
        <w:trPr>
          <w:trHeight w:val="27"/>
        </w:trPr>
        <w:tc>
          <w:tcPr>
            <w:tcW w:w="85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3"/>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provided by 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63,515</w:t>
            </w:r>
          </w:p>
        </w:tc>
        <w:tc>
          <w:tcPr>
            <w:tcW w:w="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3,884</w:t>
            </w:r>
          </w:p>
        </w:tc>
      </w:tr>
      <w:tr>
        <w:trPr>
          <w:trHeight w:val="243"/>
        </w:trPr>
        <w:tc>
          <w:tcPr>
            <w:tcW w:w="8560" w:type="dxa"/>
            <w:vAlign w:val="bottom"/>
          </w:tcPr>
          <w:p>
            <w:pPr>
              <w:ind w:left="380"/>
              <w:spacing w:after="0"/>
              <w:rPr>
                <w:sz w:val="20"/>
                <w:szCs w:val="20"/>
                <w:color w:val="auto"/>
              </w:rPr>
            </w:pPr>
            <w:r>
              <w:rPr>
                <w:rFonts w:ascii="Arial" w:cs="Arial" w:eastAsia="Arial" w:hAnsi="Arial"/>
                <w:sz w:val="18"/>
                <w:szCs w:val="18"/>
                <w:color w:val="auto"/>
              </w:rPr>
              <w:t>Effect of exchange rate changes on cash and cash equivalents</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(323)</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7"/>
        </w:trPr>
        <w:tc>
          <w:tcPr>
            <w:tcW w:w="85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(decrease) in cash and cash equivalents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49,384</w:t>
            </w:r>
          </w:p>
        </w:tc>
        <w:tc>
          <w:tcPr>
            <w:tcW w:w="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(8,741)</w:t>
            </w:r>
          </w:p>
        </w:tc>
      </w:tr>
      <w:tr>
        <w:trPr>
          <w:trHeight w:val="243"/>
        </w:trPr>
        <w:tc>
          <w:tcPr>
            <w:tcW w:w="8560" w:type="dxa"/>
            <w:vAlign w:val="bottom"/>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3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30,868</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29,003</w:t>
            </w:r>
          </w:p>
        </w:tc>
      </w:tr>
      <w:tr>
        <w:trPr>
          <w:trHeight w:val="27"/>
        </w:trPr>
        <w:tc>
          <w:tcPr>
            <w:tcW w:w="85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7"/>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80,252</w:t>
            </w:r>
          </w:p>
        </w:tc>
        <w:tc>
          <w:tcPr>
            <w:tcW w:w="2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20,262</w:t>
            </w:r>
          </w:p>
        </w:tc>
      </w:tr>
      <w:tr>
        <w:trPr>
          <w:trHeight w:val="20"/>
        </w:trPr>
        <w:tc>
          <w:tcPr>
            <w:tcW w:w="8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80" w:right="2200"/>
        <w:spacing w:after="0" w:line="275" w:lineRule="auto"/>
        <w:rPr>
          <w:sz w:val="20"/>
          <w:szCs w:val="20"/>
          <w:color w:val="auto"/>
        </w:rPr>
      </w:pPr>
      <w:r>
        <w:rPr>
          <w:rFonts w:ascii="Arial" w:cs="Arial" w:eastAsia="Arial" w:hAnsi="Arial"/>
          <w:sz w:val="18"/>
          <w:szCs w:val="18"/>
          <w:b w:val="1"/>
          <w:bCs w:val="1"/>
          <w:color w:val="auto"/>
        </w:rPr>
        <w:t>QUANEX BUILDING PRODUCTS CORPORATION CONDENSED CONSOLIDATED STATEMENTS OF STOCKHOLDERS’ EQUITY (Unaudited)</w:t>
      </w:r>
    </w:p>
    <w:p>
      <w:pPr>
        <w:spacing w:after="0" w:line="200" w:lineRule="exact"/>
        <w:rPr>
          <w:sz w:val="20"/>
          <w:szCs w:val="20"/>
          <w:color w:val="auto"/>
        </w:rPr>
      </w:pPr>
    </w:p>
    <w:p>
      <w:pPr>
        <w:spacing w:after="0" w:line="28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Additional</w:t>
            </w:r>
          </w:p>
        </w:tc>
        <w:tc>
          <w:tcPr>
            <w:tcW w:w="104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3"/>
              </w:rPr>
              <w:t>Accumulated</w:t>
            </w:r>
          </w:p>
        </w:tc>
        <w:tc>
          <w:tcPr>
            <w:tcW w:w="1020" w:type="dxa"/>
            <w:vAlign w:val="bottom"/>
          </w:tcPr>
          <w:p>
            <w:pPr>
              <w:spacing w:after="0"/>
              <w:rPr>
                <w:sz w:val="14"/>
                <w:szCs w:val="14"/>
                <w:color w:val="auto"/>
              </w:rPr>
            </w:pPr>
          </w:p>
        </w:tc>
        <w:tc>
          <w:tcPr>
            <w:tcW w:w="1060" w:type="dxa"/>
            <w:vAlign w:val="bottom"/>
            <w:vMerge w:val="restart"/>
          </w:tcPr>
          <w:p>
            <w:pPr>
              <w:jc w:val="center"/>
              <w:ind w:left="14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2300" w:type="dxa"/>
            <w:vAlign w:val="bottom"/>
          </w:tcPr>
          <w:p>
            <w:pPr>
              <w:spacing w:after="0"/>
              <w:rPr>
                <w:sz w:val="12"/>
                <w:szCs w:val="12"/>
                <w:color w:val="auto"/>
              </w:rPr>
            </w:pPr>
          </w:p>
        </w:tc>
        <w:tc>
          <w:tcPr>
            <w:tcW w:w="2920" w:type="dxa"/>
            <w:vAlign w:val="bottom"/>
            <w:vMerge w:val="restart"/>
          </w:tcPr>
          <w:p>
            <w:pPr>
              <w:jc w:val="center"/>
              <w:ind w:left="1768"/>
              <w:spacing w:after="0"/>
              <w:rPr>
                <w:sz w:val="20"/>
                <w:szCs w:val="20"/>
                <w:color w:val="auto"/>
              </w:rPr>
            </w:pPr>
            <w:r>
              <w:rPr>
                <w:rFonts w:ascii="Arial" w:cs="Arial" w:eastAsia="Arial" w:hAnsi="Arial"/>
                <w:sz w:val="14"/>
                <w:szCs w:val="14"/>
                <w:b w:val="1"/>
                <w:bCs w:val="1"/>
                <w:color w:val="auto"/>
                <w:w w:val="92"/>
              </w:rPr>
              <w:t>Common</w:t>
            </w:r>
          </w:p>
        </w:tc>
        <w:tc>
          <w:tcPr>
            <w:tcW w:w="1140" w:type="dxa"/>
            <w:vAlign w:val="bottom"/>
            <w:vMerge w:val="continue"/>
          </w:tcPr>
          <w:p>
            <w:pPr>
              <w:spacing w:after="0"/>
              <w:rPr>
                <w:sz w:val="12"/>
                <w:szCs w:val="12"/>
                <w:color w:val="auto"/>
              </w:rPr>
            </w:pPr>
          </w:p>
        </w:tc>
        <w:tc>
          <w:tcPr>
            <w:tcW w:w="104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Retained</w:t>
            </w: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Other</w:t>
            </w: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Treasury</w:t>
            </w: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vMerge w:val="restart"/>
          </w:tcPr>
          <w:p>
            <w:pPr>
              <w:spacing w:after="0"/>
              <w:rPr>
                <w:sz w:val="20"/>
                <w:szCs w:val="20"/>
                <w:color w:val="auto"/>
              </w:rPr>
            </w:pPr>
            <w:r>
              <w:rPr>
                <w:rFonts w:ascii="Arial" w:cs="Arial" w:eastAsia="Arial" w:hAnsi="Arial"/>
                <w:sz w:val="16"/>
                <w:szCs w:val="16"/>
                <w:b w:val="1"/>
                <w:bCs w:val="1"/>
                <w:color w:val="auto"/>
                <w:w w:val="92"/>
              </w:rPr>
              <w:t>Six Months Ended April 30, 2020</w:t>
            </w:r>
          </w:p>
        </w:tc>
        <w:tc>
          <w:tcPr>
            <w:tcW w:w="2920" w:type="dxa"/>
            <w:vAlign w:val="bottom"/>
            <w:vMerge w:val="continue"/>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Paid-in</w:t>
            </w:r>
          </w:p>
        </w:tc>
        <w:tc>
          <w:tcPr>
            <w:tcW w:w="1040" w:type="dxa"/>
            <w:vAlign w:val="bottom"/>
            <w:vMerge w:val="continue"/>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1020" w:type="dxa"/>
            <w:vAlign w:val="bottom"/>
            <w:vMerge w:val="continue"/>
          </w:tcPr>
          <w:p>
            <w:pPr>
              <w:spacing w:after="0"/>
              <w:rPr>
                <w:sz w:val="12"/>
                <w:szCs w:val="12"/>
                <w:color w:val="auto"/>
              </w:rPr>
            </w:pPr>
          </w:p>
        </w:tc>
        <w:tc>
          <w:tcPr>
            <w:tcW w:w="1060" w:type="dxa"/>
            <w:vAlign w:val="bottom"/>
          </w:tcPr>
          <w:p>
            <w:pPr>
              <w:jc w:val="center"/>
              <w:ind w:left="148"/>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36"/>
        </w:trPr>
        <w:tc>
          <w:tcPr>
            <w:tcW w:w="2300" w:type="dxa"/>
            <w:vAlign w:val="bottom"/>
            <w:tcBorders>
              <w:bottom w:val="single" w:sz="8" w:color="auto"/>
            </w:tcBorders>
            <w:vMerge w:val="continue"/>
          </w:tcPr>
          <w:p>
            <w:pPr>
              <w:spacing w:after="0"/>
              <w:rPr>
                <w:sz w:val="11"/>
                <w:szCs w:val="11"/>
                <w:color w:val="auto"/>
              </w:rPr>
            </w:pPr>
          </w:p>
        </w:tc>
        <w:tc>
          <w:tcPr>
            <w:tcW w:w="2920" w:type="dxa"/>
            <w:vAlign w:val="bottom"/>
          </w:tcPr>
          <w:p>
            <w:pPr>
              <w:jc w:val="center"/>
              <w:ind w:left="1768"/>
              <w:spacing w:after="0" w:line="125" w:lineRule="exact"/>
              <w:rPr>
                <w:sz w:val="20"/>
                <w:szCs w:val="20"/>
                <w:color w:val="auto"/>
              </w:rPr>
            </w:pPr>
            <w:r>
              <w:rPr>
                <w:rFonts w:ascii="Arial" w:cs="Arial" w:eastAsia="Arial" w:hAnsi="Arial"/>
                <w:sz w:val="14"/>
                <w:szCs w:val="14"/>
                <w:b w:val="1"/>
                <w:bCs w:val="1"/>
                <w:color w:val="auto"/>
                <w:w w:val="94"/>
              </w:rPr>
              <w:t>Stock</w:t>
            </w:r>
          </w:p>
        </w:tc>
        <w:tc>
          <w:tcPr>
            <w:tcW w:w="114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98"/>
              </w:rPr>
              <w:t>Capital</w:t>
            </w:r>
          </w:p>
        </w:tc>
        <w:tc>
          <w:tcPr>
            <w:tcW w:w="1040" w:type="dxa"/>
            <w:vAlign w:val="bottom"/>
          </w:tcPr>
          <w:p>
            <w:pPr>
              <w:ind w:left="260"/>
              <w:spacing w:after="0" w:line="125" w:lineRule="exact"/>
              <w:rPr>
                <w:sz w:val="20"/>
                <w:szCs w:val="20"/>
                <w:color w:val="auto"/>
              </w:rPr>
            </w:pPr>
            <w:r>
              <w:rPr>
                <w:rFonts w:ascii="Arial" w:cs="Arial" w:eastAsia="Arial" w:hAnsi="Arial"/>
                <w:sz w:val="14"/>
                <w:szCs w:val="14"/>
                <w:b w:val="1"/>
                <w:bCs w:val="1"/>
                <w:color w:val="auto"/>
              </w:rPr>
              <w:t>Earnings</w:t>
            </w:r>
          </w:p>
        </w:tc>
        <w:tc>
          <w:tcPr>
            <w:tcW w:w="142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85"/>
              </w:rPr>
              <w:t>Loss</w:t>
            </w:r>
          </w:p>
        </w:tc>
        <w:tc>
          <w:tcPr>
            <w:tcW w:w="102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89"/>
              </w:rPr>
              <w:t>Stock</w:t>
            </w:r>
          </w:p>
        </w:tc>
        <w:tc>
          <w:tcPr>
            <w:tcW w:w="1060" w:type="dxa"/>
            <w:vAlign w:val="bottom"/>
          </w:tcPr>
          <w:p>
            <w:pPr>
              <w:jc w:val="center"/>
              <w:ind w:left="168"/>
              <w:spacing w:after="0" w:line="125"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34290</wp:posOffset>
            </wp:positionV>
            <wp:extent cx="43548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354830" cy="8890"/>
                    </a:xfrm>
                    <a:prstGeom prst="rect">
                      <a:avLst/>
                    </a:prstGeom>
                    <a:noFill/>
                  </pic:spPr>
                </pic:pic>
              </a:graphicData>
            </a:graphic>
          </wp:anchor>
        </w:drawing>
      </w:r>
    </w:p>
    <w:p>
      <w:pPr>
        <w:spacing w:after="0" w:line="52" w:lineRule="exact"/>
        <w:rPr>
          <w:sz w:val="20"/>
          <w:szCs w:val="20"/>
          <w:color w:val="auto"/>
        </w:rPr>
      </w:pPr>
    </w:p>
    <w:p>
      <w:pPr>
        <w:ind w:left="5720"/>
        <w:spacing w:after="0"/>
        <w:rPr>
          <w:sz w:val="20"/>
          <w:szCs w:val="20"/>
          <w:color w:val="auto"/>
        </w:rPr>
      </w:pPr>
      <w:r>
        <w:rPr>
          <w:rFonts w:ascii="Arial" w:cs="Arial" w:eastAsia="Arial" w:hAnsi="Arial"/>
          <w:sz w:val="14"/>
          <w:szCs w:val="14"/>
          <w:b w:val="1"/>
          <w:bCs w:val="1"/>
          <w:color w:val="auto"/>
        </w:rPr>
        <w:t>(In thousands, no per share amounts shown except in verbiage)</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4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October 31, 2019</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374</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254,673</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185,703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(33,817)</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(76,746)</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330,187</w:t>
            </w:r>
          </w:p>
        </w:tc>
      </w:tr>
      <w:tr>
        <w:trPr>
          <w:trHeight w:val="243"/>
        </w:trPr>
        <w:tc>
          <w:tcPr>
            <w:tcW w:w="42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Pr>
          <w:p>
            <w:pPr>
              <w:spacing w:after="0"/>
              <w:rPr>
                <w:sz w:val="21"/>
                <w:szCs w:val="21"/>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10</w:t>
            </w:r>
          </w:p>
        </w:tc>
      </w:tr>
      <w:tr>
        <w:trPr>
          <w:trHeight w:val="27"/>
        </w:trPr>
        <w:tc>
          <w:tcPr>
            <w:tcW w:w="4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 adjustment</w:t>
            </w:r>
          </w:p>
        </w:tc>
        <w:tc>
          <w:tcPr>
            <w:tcW w:w="3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2,743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2,743</w:t>
            </w:r>
          </w:p>
        </w:tc>
      </w:tr>
      <w:tr>
        <w:trPr>
          <w:trHeight w:val="243"/>
        </w:trPr>
        <w:tc>
          <w:tcPr>
            <w:tcW w:w="4220" w:type="dxa"/>
            <w:vAlign w:val="bottom"/>
          </w:tcPr>
          <w:p>
            <w:pPr>
              <w:ind w:left="40"/>
              <w:spacing w:after="0"/>
              <w:rPr>
                <w:sz w:val="20"/>
                <w:szCs w:val="20"/>
                <w:color w:val="auto"/>
              </w:rPr>
            </w:pPr>
            <w:r>
              <w:rPr>
                <w:rFonts w:ascii="Arial" w:cs="Arial" w:eastAsia="Arial" w:hAnsi="Arial"/>
                <w:sz w:val="18"/>
                <w:szCs w:val="18"/>
                <w:color w:val="auto"/>
              </w:rPr>
              <w:t>Common dividends ($0.08 per share)</w:t>
            </w:r>
          </w:p>
        </w:tc>
        <w:tc>
          <w:tcPr>
            <w:tcW w:w="360" w:type="dxa"/>
            <w:vAlign w:val="bottom"/>
          </w:tcPr>
          <w:p>
            <w:pPr>
              <w:spacing w:after="0"/>
              <w:rPr>
                <w:sz w:val="21"/>
                <w:szCs w:val="21"/>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(2,659)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(2,659)</w:t>
            </w:r>
          </w:p>
        </w:tc>
      </w:tr>
      <w:tr>
        <w:trPr>
          <w:trHeight w:val="27"/>
        </w:trPr>
        <w:tc>
          <w:tcPr>
            <w:tcW w:w="4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of treasury stock</w:t>
            </w:r>
          </w:p>
        </w:tc>
        <w:tc>
          <w:tcPr>
            <w:tcW w:w="3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(4,639)</w:t>
            </w:r>
          </w:p>
        </w:tc>
      </w:tr>
      <w:tr>
        <w:trPr>
          <w:trHeight w:val="229"/>
        </w:trPr>
        <w:tc>
          <w:tcPr>
            <w:tcW w:w="4220" w:type="dxa"/>
            <w:vAlign w:val="bottom"/>
          </w:tcPr>
          <w:p>
            <w:pPr>
              <w:ind w:left="40"/>
              <w:spacing w:after="0"/>
              <w:rPr>
                <w:sz w:val="20"/>
                <w:szCs w:val="20"/>
                <w:color w:val="auto"/>
              </w:rPr>
            </w:pPr>
            <w:r>
              <w:rPr>
                <w:rFonts w:ascii="Arial" w:cs="Arial" w:eastAsia="Arial" w:hAnsi="Arial"/>
                <w:sz w:val="18"/>
                <w:szCs w:val="18"/>
                <w:color w:val="auto"/>
                <w:w w:val="92"/>
              </w:rPr>
              <w:t>Change in pension from net unamortized gain (net of tax</w:t>
            </w:r>
          </w:p>
        </w:tc>
        <w:tc>
          <w:tcPr>
            <w:tcW w:w="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4220" w:type="dxa"/>
            <w:vAlign w:val="bottom"/>
          </w:tcPr>
          <w:p>
            <w:pPr>
              <w:ind w:left="40"/>
              <w:spacing w:after="0"/>
              <w:rPr>
                <w:sz w:val="20"/>
                <w:szCs w:val="20"/>
                <w:color w:val="auto"/>
              </w:rPr>
            </w:pPr>
            <w:r>
              <w:rPr>
                <w:rFonts w:ascii="Arial" w:cs="Arial" w:eastAsia="Arial" w:hAnsi="Arial"/>
                <w:sz w:val="18"/>
                <w:szCs w:val="18"/>
                <w:color w:val="auto"/>
              </w:rPr>
              <w:t>expense of $609)</w:t>
            </w:r>
          </w:p>
        </w:tc>
        <w:tc>
          <w:tcPr>
            <w:tcW w:w="360" w:type="dxa"/>
            <w:vAlign w:val="bottom"/>
          </w:tcPr>
          <w:p>
            <w:pPr>
              <w:spacing w:after="0"/>
              <w:rPr>
                <w:sz w:val="20"/>
                <w:szCs w:val="20"/>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1,910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1,910</w:t>
            </w:r>
          </w:p>
        </w:tc>
      </w:tr>
      <w:tr>
        <w:trPr>
          <w:trHeight w:val="27"/>
        </w:trPr>
        <w:tc>
          <w:tcPr>
            <w:tcW w:w="4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Stock-based compensation activity:</w:t>
            </w:r>
          </w:p>
        </w:tc>
        <w:tc>
          <w:tcPr>
            <w:tcW w:w="3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4220" w:type="dxa"/>
            <w:vAlign w:val="bottom"/>
          </w:tcPr>
          <w:p>
            <w:pPr>
              <w:ind w:left="180"/>
              <w:spacing w:after="0"/>
              <w:rPr>
                <w:sz w:val="20"/>
                <w:szCs w:val="20"/>
                <w:color w:val="auto"/>
              </w:rPr>
            </w:pPr>
            <w:r>
              <w:rPr>
                <w:rFonts w:ascii="Arial" w:cs="Arial" w:eastAsia="Arial" w:hAnsi="Arial"/>
                <w:sz w:val="18"/>
                <w:szCs w:val="18"/>
                <w:color w:val="auto"/>
              </w:rPr>
              <w:t>Stock-based compensation benefit</w:t>
            </w:r>
          </w:p>
        </w:tc>
        <w:tc>
          <w:tcPr>
            <w:tcW w:w="360" w:type="dxa"/>
            <w:vAlign w:val="bottom"/>
          </w:tcPr>
          <w:p>
            <w:pPr>
              <w:spacing w:after="0"/>
              <w:rPr>
                <w:sz w:val="21"/>
                <w:szCs w:val="21"/>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(239)</w:t>
            </w:r>
          </w:p>
        </w:tc>
      </w:tr>
      <w:tr>
        <w:trPr>
          <w:trHeight w:val="27"/>
        </w:trPr>
        <w:tc>
          <w:tcPr>
            <w:tcW w:w="4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 options exercised</w:t>
            </w:r>
          </w:p>
        </w:tc>
        <w:tc>
          <w:tcPr>
            <w:tcW w:w="3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3,142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3,075</w:t>
            </w:r>
          </w:p>
        </w:tc>
      </w:tr>
      <w:tr>
        <w:trPr>
          <w:trHeight w:val="243"/>
        </w:trPr>
        <w:tc>
          <w:tcPr>
            <w:tcW w:w="4220" w:type="dxa"/>
            <w:vAlign w:val="bottom"/>
          </w:tcPr>
          <w:p>
            <w:pPr>
              <w:ind w:left="180"/>
              <w:spacing w:after="0"/>
              <w:rPr>
                <w:sz w:val="20"/>
                <w:szCs w:val="20"/>
                <w:color w:val="auto"/>
              </w:rPr>
            </w:pPr>
            <w:r>
              <w:rPr>
                <w:rFonts w:ascii="Arial" w:cs="Arial" w:eastAsia="Arial" w:hAnsi="Arial"/>
                <w:sz w:val="18"/>
                <w:szCs w:val="18"/>
                <w:color w:val="auto"/>
              </w:rPr>
              <w:t>Restricted stock awards granted</w:t>
            </w:r>
          </w:p>
        </w:tc>
        <w:tc>
          <w:tcPr>
            <w:tcW w:w="360" w:type="dxa"/>
            <w:vAlign w:val="bottom"/>
          </w:tcPr>
          <w:p>
            <w:pPr>
              <w:spacing w:after="0"/>
              <w:rPr>
                <w:sz w:val="21"/>
                <w:szCs w:val="21"/>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(1,082)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988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Performance share awards vested</w:t>
            </w:r>
          </w:p>
        </w:tc>
        <w:tc>
          <w:tcPr>
            <w:tcW w:w="3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220" w:type="dxa"/>
            <w:vAlign w:val="bottom"/>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(455)</w:t>
            </w:r>
          </w:p>
        </w:tc>
      </w:tr>
      <w:tr>
        <w:trPr>
          <w:trHeight w:val="27"/>
        </w:trPr>
        <w:tc>
          <w:tcPr>
            <w:tcW w:w="4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31, 2020</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252,495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182,989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(29,164)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(76,760)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329,933</w:t>
            </w:r>
          </w:p>
        </w:tc>
      </w:tr>
      <w:tr>
        <w:trPr>
          <w:trHeight w:val="243"/>
        </w:trPr>
        <w:tc>
          <w:tcPr>
            <w:tcW w:w="42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Pr>
          <w:p>
            <w:pPr>
              <w:spacing w:after="0"/>
              <w:rPr>
                <w:sz w:val="21"/>
                <w:szCs w:val="21"/>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5,501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5,501</w:t>
            </w:r>
          </w:p>
        </w:tc>
      </w:tr>
      <w:tr>
        <w:trPr>
          <w:trHeight w:val="27"/>
        </w:trPr>
        <w:tc>
          <w:tcPr>
            <w:tcW w:w="4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 adjustment</w:t>
            </w:r>
          </w:p>
        </w:tc>
        <w:tc>
          <w:tcPr>
            <w:tcW w:w="3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(6,999)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(6,999)</w:t>
            </w:r>
          </w:p>
        </w:tc>
      </w:tr>
      <w:tr>
        <w:trPr>
          <w:trHeight w:val="243"/>
        </w:trPr>
        <w:tc>
          <w:tcPr>
            <w:tcW w:w="4220" w:type="dxa"/>
            <w:vAlign w:val="bottom"/>
          </w:tcPr>
          <w:p>
            <w:pPr>
              <w:ind w:left="40"/>
              <w:spacing w:after="0"/>
              <w:rPr>
                <w:sz w:val="20"/>
                <w:szCs w:val="20"/>
                <w:color w:val="auto"/>
              </w:rPr>
            </w:pPr>
            <w:r>
              <w:rPr>
                <w:rFonts w:ascii="Arial" w:cs="Arial" w:eastAsia="Arial" w:hAnsi="Arial"/>
                <w:sz w:val="18"/>
                <w:szCs w:val="18"/>
                <w:color w:val="auto"/>
              </w:rPr>
              <w:t>Common dividends ($0.08 per share)</w:t>
            </w:r>
          </w:p>
        </w:tc>
        <w:tc>
          <w:tcPr>
            <w:tcW w:w="360" w:type="dxa"/>
            <w:vAlign w:val="bottom"/>
          </w:tcPr>
          <w:p>
            <w:pPr>
              <w:spacing w:after="0"/>
              <w:rPr>
                <w:sz w:val="21"/>
                <w:szCs w:val="21"/>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(2,628)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(2,628)</w:t>
            </w:r>
          </w:p>
        </w:tc>
      </w:tr>
      <w:tr>
        <w:trPr>
          <w:trHeight w:val="27"/>
        </w:trPr>
        <w:tc>
          <w:tcPr>
            <w:tcW w:w="4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of treasury stock</w:t>
            </w:r>
          </w:p>
        </w:tc>
        <w:tc>
          <w:tcPr>
            <w:tcW w:w="3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(2,054)</w:t>
            </w:r>
          </w:p>
        </w:tc>
      </w:tr>
      <w:tr>
        <w:trPr>
          <w:trHeight w:val="243"/>
        </w:trPr>
        <w:tc>
          <w:tcPr>
            <w:tcW w:w="4220" w:type="dxa"/>
            <w:vAlign w:val="bottom"/>
          </w:tcPr>
          <w:p>
            <w:pPr>
              <w:ind w:left="40"/>
              <w:spacing w:after="0"/>
              <w:rPr>
                <w:sz w:val="20"/>
                <w:szCs w:val="20"/>
                <w:color w:val="auto"/>
              </w:rPr>
            </w:pPr>
            <w:r>
              <w:rPr>
                <w:rFonts w:ascii="Arial" w:cs="Arial" w:eastAsia="Arial" w:hAnsi="Arial"/>
                <w:sz w:val="18"/>
                <w:szCs w:val="18"/>
                <w:i w:val="1"/>
                <w:iCs w:val="1"/>
                <w:color w:val="auto"/>
              </w:rPr>
              <w:t>Stock-based compensation activity:</w:t>
            </w:r>
          </w:p>
        </w:tc>
        <w:tc>
          <w:tcPr>
            <w:tcW w:w="3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4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Expense related to stock-based compensation</w:t>
            </w:r>
          </w:p>
        </w:tc>
        <w:tc>
          <w:tcPr>
            <w:tcW w:w="3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325</w:t>
            </w:r>
          </w:p>
        </w:tc>
      </w:tr>
      <w:tr>
        <w:trPr>
          <w:trHeight w:val="243"/>
        </w:trPr>
        <w:tc>
          <w:tcPr>
            <w:tcW w:w="4220" w:type="dxa"/>
            <w:vAlign w:val="bottom"/>
          </w:tcPr>
          <w:p>
            <w:pPr>
              <w:ind w:left="180"/>
              <w:spacing w:after="0"/>
              <w:rPr>
                <w:sz w:val="20"/>
                <w:szCs w:val="20"/>
                <w:color w:val="auto"/>
              </w:rPr>
            </w:pPr>
            <w:r>
              <w:rPr>
                <w:rFonts w:ascii="Arial" w:cs="Arial" w:eastAsia="Arial" w:hAnsi="Arial"/>
                <w:sz w:val="18"/>
                <w:szCs w:val="18"/>
                <w:color w:val="auto"/>
              </w:rPr>
              <w:t>Stock options exercised</w:t>
            </w:r>
          </w:p>
        </w:tc>
        <w:tc>
          <w:tcPr>
            <w:tcW w:w="360" w:type="dxa"/>
            <w:vAlign w:val="bottom"/>
          </w:tcPr>
          <w:p>
            <w:pPr>
              <w:spacing w:after="0"/>
              <w:rPr>
                <w:sz w:val="21"/>
                <w:szCs w:val="21"/>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7"/>
        </w:trPr>
        <w:tc>
          <w:tcPr>
            <w:tcW w:w="4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4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Restricted stock awards granted</w:t>
            </w:r>
          </w:p>
        </w:tc>
        <w:tc>
          <w:tcPr>
            <w:tcW w:w="3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4220" w:type="dxa"/>
            <w:vAlign w:val="bottom"/>
          </w:tcPr>
          <w:p>
            <w:pPr>
              <w:ind w:left="40"/>
              <w:spacing w:after="0"/>
              <w:rPr>
                <w:sz w:val="20"/>
                <w:szCs w:val="20"/>
                <w:color w:val="auto"/>
              </w:rPr>
            </w:pPr>
            <w:r>
              <w:rPr>
                <w:rFonts w:ascii="Arial" w:cs="Arial" w:eastAsia="Arial" w:hAnsi="Arial"/>
                <w:sz w:val="18"/>
                <w:szCs w:val="18"/>
                <w:color w:val="auto"/>
              </w:rPr>
              <w:t>Balance at April 30, 2020</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373</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252,717</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185,779</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(36,163)</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(78,749)</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323,957</w:t>
            </w:r>
          </w:p>
        </w:tc>
      </w:tr>
      <w:tr>
        <w:trPr>
          <w:trHeight w:val="27"/>
        </w:trPr>
        <w:tc>
          <w:tcPr>
            <w:tcW w:w="42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
        </w:trPr>
        <w:tc>
          <w:tcPr>
            <w:tcW w:w="4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629"/>
        </w:trPr>
        <w:tc>
          <w:tcPr>
            <w:tcW w:w="4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ind w:right="57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ectPr>
          <w:pgSz w:w="11900" w:h="16838" w:orient="portrait"/>
          <w:cols w:equalWidth="0" w:num="1">
            <w:col w:w="11080"/>
          </w:cols>
          <w:pgMar w:left="320" w:top="125" w:right="49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Additional</w:t>
            </w:r>
          </w:p>
        </w:tc>
        <w:tc>
          <w:tcPr>
            <w:tcW w:w="104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3"/>
              </w:rPr>
              <w:t>Accumulated</w:t>
            </w:r>
          </w:p>
        </w:tc>
        <w:tc>
          <w:tcPr>
            <w:tcW w:w="1020" w:type="dxa"/>
            <w:vAlign w:val="bottom"/>
          </w:tcPr>
          <w:p>
            <w:pPr>
              <w:spacing w:after="0"/>
              <w:rPr>
                <w:sz w:val="14"/>
                <w:szCs w:val="14"/>
                <w:color w:val="auto"/>
              </w:rPr>
            </w:pPr>
          </w:p>
        </w:tc>
        <w:tc>
          <w:tcPr>
            <w:tcW w:w="1060" w:type="dxa"/>
            <w:vAlign w:val="bottom"/>
            <w:vMerge w:val="restart"/>
          </w:tcPr>
          <w:p>
            <w:pPr>
              <w:jc w:val="center"/>
              <w:ind w:left="14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2920" w:type="dxa"/>
            <w:vAlign w:val="bottom"/>
            <w:vMerge w:val="restart"/>
          </w:tcPr>
          <w:p>
            <w:pPr>
              <w:jc w:val="center"/>
              <w:ind w:left="1768"/>
              <w:spacing w:after="0"/>
              <w:rPr>
                <w:sz w:val="20"/>
                <w:szCs w:val="20"/>
                <w:color w:val="auto"/>
              </w:rPr>
            </w:pPr>
            <w:r>
              <w:rPr>
                <w:rFonts w:ascii="Arial" w:cs="Arial" w:eastAsia="Arial" w:hAnsi="Arial"/>
                <w:sz w:val="14"/>
                <w:szCs w:val="14"/>
                <w:b w:val="1"/>
                <w:bCs w:val="1"/>
                <w:color w:val="auto"/>
                <w:w w:val="92"/>
              </w:rPr>
              <w:t>Common</w:t>
            </w:r>
          </w:p>
        </w:tc>
        <w:tc>
          <w:tcPr>
            <w:tcW w:w="1140" w:type="dxa"/>
            <w:vAlign w:val="bottom"/>
            <w:vMerge w:val="continue"/>
          </w:tcPr>
          <w:p>
            <w:pPr>
              <w:spacing w:after="0"/>
              <w:rPr>
                <w:sz w:val="12"/>
                <w:szCs w:val="12"/>
                <w:color w:val="auto"/>
              </w:rPr>
            </w:pPr>
          </w:p>
        </w:tc>
        <w:tc>
          <w:tcPr>
            <w:tcW w:w="104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Retained</w:t>
            </w: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Other</w:t>
            </w: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Treasury</w:t>
            </w: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00" w:type="dxa"/>
            <w:vAlign w:val="bottom"/>
            <w:vMerge w:val="restart"/>
          </w:tcPr>
          <w:p>
            <w:pPr>
              <w:spacing w:after="0"/>
              <w:rPr>
                <w:sz w:val="20"/>
                <w:szCs w:val="20"/>
                <w:color w:val="auto"/>
              </w:rPr>
            </w:pPr>
            <w:r>
              <w:rPr>
                <w:rFonts w:ascii="Arial" w:cs="Arial" w:eastAsia="Arial" w:hAnsi="Arial"/>
                <w:sz w:val="16"/>
                <w:szCs w:val="16"/>
                <w:b w:val="1"/>
                <w:bCs w:val="1"/>
                <w:color w:val="auto"/>
                <w:w w:val="92"/>
              </w:rPr>
              <w:t>Six Months Ended April 30, 2019</w:t>
            </w:r>
          </w:p>
        </w:tc>
        <w:tc>
          <w:tcPr>
            <w:tcW w:w="2920" w:type="dxa"/>
            <w:vAlign w:val="bottom"/>
            <w:vMerge w:val="continue"/>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Paid-in</w:t>
            </w:r>
          </w:p>
        </w:tc>
        <w:tc>
          <w:tcPr>
            <w:tcW w:w="1040" w:type="dxa"/>
            <w:vAlign w:val="bottom"/>
            <w:vMerge w:val="continue"/>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1020" w:type="dxa"/>
            <w:vAlign w:val="bottom"/>
            <w:vMerge w:val="continue"/>
          </w:tcPr>
          <w:p>
            <w:pPr>
              <w:spacing w:after="0"/>
              <w:rPr>
                <w:sz w:val="12"/>
                <w:szCs w:val="12"/>
                <w:color w:val="auto"/>
              </w:rPr>
            </w:pPr>
          </w:p>
        </w:tc>
        <w:tc>
          <w:tcPr>
            <w:tcW w:w="1060" w:type="dxa"/>
            <w:vAlign w:val="bottom"/>
          </w:tcPr>
          <w:p>
            <w:pPr>
              <w:jc w:val="center"/>
              <w:ind w:left="148"/>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36"/>
        </w:trPr>
        <w:tc>
          <w:tcPr>
            <w:tcW w:w="2300" w:type="dxa"/>
            <w:vAlign w:val="bottom"/>
            <w:tcBorders>
              <w:bottom w:val="single" w:sz="8" w:color="auto"/>
            </w:tcBorders>
            <w:vMerge w:val="continue"/>
          </w:tcPr>
          <w:p>
            <w:pPr>
              <w:spacing w:after="0"/>
              <w:rPr>
                <w:sz w:val="11"/>
                <w:szCs w:val="11"/>
                <w:color w:val="auto"/>
              </w:rPr>
            </w:pPr>
          </w:p>
        </w:tc>
        <w:tc>
          <w:tcPr>
            <w:tcW w:w="2920" w:type="dxa"/>
            <w:vAlign w:val="bottom"/>
          </w:tcPr>
          <w:p>
            <w:pPr>
              <w:jc w:val="center"/>
              <w:ind w:left="1768"/>
              <w:spacing w:after="0" w:line="125" w:lineRule="exact"/>
              <w:rPr>
                <w:sz w:val="20"/>
                <w:szCs w:val="20"/>
                <w:color w:val="auto"/>
              </w:rPr>
            </w:pPr>
            <w:r>
              <w:rPr>
                <w:rFonts w:ascii="Arial" w:cs="Arial" w:eastAsia="Arial" w:hAnsi="Arial"/>
                <w:sz w:val="14"/>
                <w:szCs w:val="14"/>
                <w:b w:val="1"/>
                <w:bCs w:val="1"/>
                <w:color w:val="auto"/>
                <w:w w:val="94"/>
              </w:rPr>
              <w:t>Stock</w:t>
            </w:r>
          </w:p>
        </w:tc>
        <w:tc>
          <w:tcPr>
            <w:tcW w:w="114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98"/>
              </w:rPr>
              <w:t>Capital</w:t>
            </w:r>
          </w:p>
        </w:tc>
        <w:tc>
          <w:tcPr>
            <w:tcW w:w="1040" w:type="dxa"/>
            <w:vAlign w:val="bottom"/>
          </w:tcPr>
          <w:p>
            <w:pPr>
              <w:ind w:left="260"/>
              <w:spacing w:after="0" w:line="125" w:lineRule="exact"/>
              <w:rPr>
                <w:sz w:val="20"/>
                <w:szCs w:val="20"/>
                <w:color w:val="auto"/>
              </w:rPr>
            </w:pPr>
            <w:r>
              <w:rPr>
                <w:rFonts w:ascii="Arial" w:cs="Arial" w:eastAsia="Arial" w:hAnsi="Arial"/>
                <w:sz w:val="14"/>
                <w:szCs w:val="14"/>
                <w:b w:val="1"/>
                <w:bCs w:val="1"/>
                <w:color w:val="auto"/>
              </w:rPr>
              <w:t>Earnings</w:t>
            </w:r>
          </w:p>
        </w:tc>
        <w:tc>
          <w:tcPr>
            <w:tcW w:w="142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85"/>
              </w:rPr>
              <w:t>Loss</w:t>
            </w:r>
          </w:p>
        </w:tc>
        <w:tc>
          <w:tcPr>
            <w:tcW w:w="102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89"/>
              </w:rPr>
              <w:t>Stock</w:t>
            </w:r>
          </w:p>
        </w:tc>
        <w:tc>
          <w:tcPr>
            <w:tcW w:w="1060" w:type="dxa"/>
            <w:vAlign w:val="bottom"/>
          </w:tcPr>
          <w:p>
            <w:pPr>
              <w:jc w:val="center"/>
              <w:ind w:left="168"/>
              <w:spacing w:after="0" w:line="125"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2731135</wp:posOffset>
            </wp:positionH>
            <wp:positionV relativeFrom="paragraph">
              <wp:posOffset>34290</wp:posOffset>
            </wp:positionV>
            <wp:extent cx="43548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354830" cy="8890"/>
                    </a:xfrm>
                    <a:prstGeom prst="rect">
                      <a:avLst/>
                    </a:prstGeom>
                    <a:noFill/>
                  </pic:spPr>
                </pic:pic>
              </a:graphicData>
            </a:graphic>
          </wp:anchor>
        </w:drawing>
      </w:r>
    </w:p>
    <w:p>
      <w:pPr>
        <w:spacing w:after="0" w:line="52" w:lineRule="exact"/>
        <w:rPr>
          <w:sz w:val="20"/>
          <w:szCs w:val="20"/>
          <w:color w:val="auto"/>
        </w:rPr>
      </w:pPr>
    </w:p>
    <w:p>
      <w:pPr>
        <w:ind w:left="5820"/>
        <w:spacing w:after="0"/>
        <w:rPr>
          <w:sz w:val="20"/>
          <w:szCs w:val="20"/>
          <w:color w:val="auto"/>
        </w:rPr>
      </w:pPr>
      <w:r>
        <w:rPr>
          <w:rFonts w:ascii="Arial" w:cs="Arial" w:eastAsia="Arial" w:hAnsi="Arial"/>
          <w:sz w:val="14"/>
          <w:szCs w:val="14"/>
          <w:b w:val="1"/>
          <w:bCs w:val="1"/>
          <w:color w:val="auto"/>
        </w:rPr>
        <w:t>(In thousands, no per share amounts shown except in verbiage)</w:t>
      </w:r>
    </w:p>
    <w:p>
      <w:pPr>
        <w:spacing w:after="0" w:line="45" w:lineRule="exact"/>
        <w:rPr>
          <w:sz w:val="20"/>
          <w:szCs w:val="20"/>
          <w:color w:val="auto"/>
        </w:rPr>
      </w:pPr>
    </w:p>
    <w:tbl>
      <w:tblPr>
        <w:tblLayout w:type="fixed"/>
        <w:tblInd w:w="80" w:type="dxa"/>
        <w:tblCellMar>
          <w:top w:w="0" w:type="dxa"/>
          <w:left w:w="0" w:type="dxa"/>
          <w:bottom w:w="0" w:type="dxa"/>
          <w:right w:w="0" w:type="dxa"/>
        </w:tblCellMar>
      </w:tblPr>
      <w:tr>
        <w:trPr>
          <w:trHeight w:val="262"/>
        </w:trPr>
        <w:tc>
          <w:tcPr>
            <w:tcW w:w="4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October 31, 2018</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254,678</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243,904</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(30,705)</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(73,029)</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395,222</w:t>
            </w:r>
          </w:p>
        </w:tc>
      </w:tr>
      <w:tr>
        <w:trPr>
          <w:trHeight w:val="243"/>
        </w:trPr>
        <w:tc>
          <w:tcPr>
            <w:tcW w:w="4220" w:type="dxa"/>
            <w:vAlign w:val="bottom"/>
          </w:tcPr>
          <w:p>
            <w:pPr>
              <w:ind w:left="40"/>
              <w:spacing w:after="0"/>
              <w:rPr>
                <w:sz w:val="20"/>
                <w:szCs w:val="20"/>
                <w:color w:val="auto"/>
              </w:rPr>
            </w:pPr>
            <w:r>
              <w:rPr>
                <w:rFonts w:ascii="Arial" w:cs="Arial" w:eastAsia="Arial" w:hAnsi="Arial"/>
                <w:sz w:val="18"/>
                <w:szCs w:val="18"/>
                <w:color w:val="auto"/>
              </w:rPr>
              <w:t>Net loss</w:t>
            </w:r>
          </w:p>
        </w:tc>
        <w:tc>
          <w:tcPr>
            <w:tcW w:w="380" w:type="dxa"/>
            <w:vAlign w:val="bottom"/>
          </w:tcPr>
          <w:p>
            <w:pPr>
              <w:spacing w:after="0"/>
              <w:rPr>
                <w:sz w:val="21"/>
                <w:szCs w:val="21"/>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(3,649)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(3,649)</w:t>
            </w:r>
          </w:p>
        </w:tc>
      </w:tr>
      <w:tr>
        <w:trPr>
          <w:trHeight w:val="27"/>
        </w:trPr>
        <w:tc>
          <w:tcPr>
            <w:tcW w:w="4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 adjustment</w:t>
            </w:r>
          </w:p>
        </w:tc>
        <w:tc>
          <w:tcPr>
            <w:tcW w:w="3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4,066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4,066</w:t>
            </w:r>
          </w:p>
        </w:tc>
      </w:tr>
      <w:tr>
        <w:trPr>
          <w:trHeight w:val="243"/>
        </w:trPr>
        <w:tc>
          <w:tcPr>
            <w:tcW w:w="4220" w:type="dxa"/>
            <w:vAlign w:val="bottom"/>
          </w:tcPr>
          <w:p>
            <w:pPr>
              <w:ind w:left="40"/>
              <w:spacing w:after="0"/>
              <w:rPr>
                <w:sz w:val="20"/>
                <w:szCs w:val="20"/>
                <w:color w:val="auto"/>
              </w:rPr>
            </w:pPr>
            <w:r>
              <w:rPr>
                <w:rFonts w:ascii="Arial" w:cs="Arial" w:eastAsia="Arial" w:hAnsi="Arial"/>
                <w:sz w:val="18"/>
                <w:szCs w:val="18"/>
                <w:color w:val="auto"/>
              </w:rPr>
              <w:t>Common dividends ($0.08 per share)</w:t>
            </w:r>
          </w:p>
        </w:tc>
        <w:tc>
          <w:tcPr>
            <w:tcW w:w="380" w:type="dxa"/>
            <w:vAlign w:val="bottom"/>
          </w:tcPr>
          <w:p>
            <w:pPr>
              <w:spacing w:after="0"/>
              <w:rPr>
                <w:sz w:val="21"/>
                <w:szCs w:val="21"/>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(2,675)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(2,675)</w:t>
            </w:r>
          </w:p>
        </w:tc>
      </w:tr>
      <w:tr>
        <w:trPr>
          <w:trHeight w:val="27"/>
        </w:trPr>
        <w:tc>
          <w:tcPr>
            <w:tcW w:w="4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of treasury stock</w:t>
            </w:r>
          </w:p>
        </w:tc>
        <w:tc>
          <w:tcPr>
            <w:tcW w:w="3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(2,016)</w:t>
            </w:r>
          </w:p>
        </w:tc>
      </w:tr>
      <w:tr>
        <w:trPr>
          <w:trHeight w:val="243"/>
        </w:trPr>
        <w:tc>
          <w:tcPr>
            <w:tcW w:w="4220" w:type="dxa"/>
            <w:vAlign w:val="bottom"/>
          </w:tcPr>
          <w:p>
            <w:pPr>
              <w:ind w:left="40"/>
              <w:spacing w:after="0"/>
              <w:rPr>
                <w:sz w:val="20"/>
                <w:szCs w:val="20"/>
                <w:color w:val="auto"/>
              </w:rPr>
            </w:pPr>
            <w:r>
              <w:rPr>
                <w:rFonts w:ascii="Arial" w:cs="Arial" w:eastAsia="Arial" w:hAnsi="Arial"/>
                <w:sz w:val="18"/>
                <w:szCs w:val="18"/>
                <w:i w:val="1"/>
                <w:iCs w:val="1"/>
                <w:color w:val="auto"/>
              </w:rPr>
              <w:t>Stock-based compensation activity:</w:t>
            </w:r>
          </w:p>
        </w:tc>
        <w:tc>
          <w:tcPr>
            <w:tcW w:w="3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4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Expense related to stock-based compensation</w:t>
            </w:r>
          </w:p>
        </w:tc>
        <w:tc>
          <w:tcPr>
            <w:tcW w:w="3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224</w:t>
            </w:r>
          </w:p>
        </w:tc>
      </w:tr>
      <w:tr>
        <w:trPr>
          <w:trHeight w:val="243"/>
        </w:trPr>
        <w:tc>
          <w:tcPr>
            <w:tcW w:w="4220" w:type="dxa"/>
            <w:vAlign w:val="bottom"/>
          </w:tcPr>
          <w:p>
            <w:pPr>
              <w:ind w:left="180"/>
              <w:spacing w:after="0"/>
              <w:rPr>
                <w:sz w:val="20"/>
                <w:szCs w:val="20"/>
                <w:color w:val="auto"/>
              </w:rPr>
            </w:pPr>
            <w:r>
              <w:rPr>
                <w:rFonts w:ascii="Arial" w:cs="Arial" w:eastAsia="Arial" w:hAnsi="Arial"/>
                <w:sz w:val="18"/>
                <w:szCs w:val="18"/>
                <w:color w:val="auto"/>
              </w:rPr>
              <w:t>Stock options exercised</w:t>
            </w:r>
          </w:p>
        </w:tc>
        <w:tc>
          <w:tcPr>
            <w:tcW w:w="380" w:type="dxa"/>
            <w:vAlign w:val="bottom"/>
          </w:tcPr>
          <w:p>
            <w:pPr>
              <w:spacing w:after="0"/>
              <w:rPr>
                <w:sz w:val="21"/>
                <w:szCs w:val="21"/>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27</w:t>
            </w:r>
          </w:p>
        </w:tc>
      </w:tr>
      <w:tr>
        <w:trPr>
          <w:trHeight w:val="27"/>
        </w:trPr>
        <w:tc>
          <w:tcPr>
            <w:tcW w:w="4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Restricted stock awards granted</w:t>
            </w:r>
          </w:p>
        </w:tc>
        <w:tc>
          <w:tcPr>
            <w:tcW w:w="3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220" w:type="dxa"/>
            <w:vAlign w:val="bottom"/>
          </w:tcPr>
          <w:p>
            <w:pPr>
              <w:ind w:left="40"/>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21"/>
                <w:szCs w:val="21"/>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(326)</w:t>
            </w:r>
          </w:p>
        </w:tc>
      </w:tr>
      <w:tr>
        <w:trPr>
          <w:trHeight w:val="27"/>
        </w:trPr>
        <w:tc>
          <w:tcPr>
            <w:tcW w:w="4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31, 2019</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252,931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237,049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(26,643)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(72,838)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390,873</w:t>
            </w:r>
          </w:p>
        </w:tc>
      </w:tr>
      <w:tr>
        <w:trPr>
          <w:trHeight w:val="243"/>
        </w:trPr>
        <w:tc>
          <w:tcPr>
            <w:tcW w:w="42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80" w:type="dxa"/>
            <w:vAlign w:val="bottom"/>
          </w:tcPr>
          <w:p>
            <w:pPr>
              <w:spacing w:after="0"/>
              <w:rPr>
                <w:sz w:val="21"/>
                <w:szCs w:val="21"/>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(23,974)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(23,974)</w:t>
            </w:r>
          </w:p>
        </w:tc>
      </w:tr>
      <w:tr>
        <w:trPr>
          <w:trHeight w:val="27"/>
        </w:trPr>
        <w:tc>
          <w:tcPr>
            <w:tcW w:w="4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 adjustment</w:t>
            </w:r>
          </w:p>
        </w:tc>
        <w:tc>
          <w:tcPr>
            <w:tcW w:w="3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(1,484)</w:t>
            </w:r>
          </w:p>
        </w:tc>
      </w:tr>
      <w:tr>
        <w:trPr>
          <w:trHeight w:val="243"/>
        </w:trPr>
        <w:tc>
          <w:tcPr>
            <w:tcW w:w="4220" w:type="dxa"/>
            <w:vAlign w:val="bottom"/>
          </w:tcPr>
          <w:p>
            <w:pPr>
              <w:ind w:left="40"/>
              <w:spacing w:after="0"/>
              <w:rPr>
                <w:sz w:val="20"/>
                <w:szCs w:val="20"/>
                <w:color w:val="auto"/>
              </w:rPr>
            </w:pPr>
            <w:r>
              <w:rPr>
                <w:rFonts w:ascii="Arial" w:cs="Arial" w:eastAsia="Arial" w:hAnsi="Arial"/>
                <w:sz w:val="18"/>
                <w:szCs w:val="18"/>
                <w:color w:val="auto"/>
              </w:rPr>
              <w:t>Common dividends ($0.08 per share)</w:t>
            </w:r>
          </w:p>
        </w:tc>
        <w:tc>
          <w:tcPr>
            <w:tcW w:w="380" w:type="dxa"/>
            <w:vAlign w:val="bottom"/>
          </w:tcPr>
          <w:p>
            <w:pPr>
              <w:spacing w:after="0"/>
              <w:rPr>
                <w:sz w:val="21"/>
                <w:szCs w:val="21"/>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(2,660)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(2,660)</w:t>
            </w:r>
          </w:p>
        </w:tc>
      </w:tr>
      <w:tr>
        <w:trPr>
          <w:trHeight w:val="27"/>
        </w:trPr>
        <w:tc>
          <w:tcPr>
            <w:tcW w:w="4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of treasury stock</w:t>
            </w:r>
          </w:p>
        </w:tc>
        <w:tc>
          <w:tcPr>
            <w:tcW w:w="3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(2,686)</w:t>
            </w:r>
          </w:p>
        </w:tc>
      </w:tr>
      <w:tr>
        <w:trPr>
          <w:trHeight w:val="243"/>
        </w:trPr>
        <w:tc>
          <w:tcPr>
            <w:tcW w:w="4220" w:type="dxa"/>
            <w:vAlign w:val="bottom"/>
          </w:tcPr>
          <w:p>
            <w:pPr>
              <w:ind w:left="40"/>
              <w:spacing w:after="0"/>
              <w:rPr>
                <w:sz w:val="20"/>
                <w:szCs w:val="20"/>
                <w:color w:val="auto"/>
              </w:rPr>
            </w:pPr>
            <w:r>
              <w:rPr>
                <w:rFonts w:ascii="Arial" w:cs="Arial" w:eastAsia="Arial" w:hAnsi="Arial"/>
                <w:sz w:val="18"/>
                <w:szCs w:val="18"/>
                <w:i w:val="1"/>
                <w:iCs w:val="1"/>
                <w:color w:val="auto"/>
              </w:rPr>
              <w:t>Stock-based compensation activity:</w:t>
            </w:r>
          </w:p>
        </w:tc>
        <w:tc>
          <w:tcPr>
            <w:tcW w:w="3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4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Expense related to stock-based compensation</w:t>
            </w:r>
          </w:p>
        </w:tc>
        <w:tc>
          <w:tcPr>
            <w:tcW w:w="3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819</w:t>
            </w:r>
          </w:p>
        </w:tc>
      </w:tr>
      <w:tr>
        <w:trPr>
          <w:trHeight w:val="243"/>
        </w:trPr>
        <w:tc>
          <w:tcPr>
            <w:tcW w:w="4220" w:type="dxa"/>
            <w:vAlign w:val="bottom"/>
          </w:tcPr>
          <w:p>
            <w:pPr>
              <w:ind w:left="180"/>
              <w:spacing w:after="0"/>
              <w:rPr>
                <w:sz w:val="20"/>
                <w:szCs w:val="20"/>
                <w:color w:val="auto"/>
              </w:rPr>
            </w:pPr>
            <w:r>
              <w:rPr>
                <w:rFonts w:ascii="Arial" w:cs="Arial" w:eastAsia="Arial" w:hAnsi="Arial"/>
                <w:sz w:val="18"/>
                <w:szCs w:val="18"/>
                <w:color w:val="auto"/>
              </w:rPr>
              <w:t>Restricted stock awards granted</w:t>
            </w:r>
          </w:p>
        </w:tc>
        <w:tc>
          <w:tcPr>
            <w:tcW w:w="380" w:type="dxa"/>
            <w:vAlign w:val="bottom"/>
          </w:tcPr>
          <w:p>
            <w:pPr>
              <w:spacing w:after="0"/>
              <w:rPr>
                <w:sz w:val="21"/>
                <w:szCs w:val="21"/>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9"/>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April 30, 2019</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253,679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210,406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(28,127)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(75,444)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360,888</w:t>
            </w: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60"/>
          </w:cols>
          <w:pgMar w:left="320" w:top="125" w:right="41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Operations and Basis of Presentation</w:t>
      </w:r>
    </w:p>
    <w:p>
      <w:pPr>
        <w:spacing w:after="0" w:line="175"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Quanex Building Products Corporation is a component supplier to original equipment manufacturers (OEMs) in the building products industry. These components can be categorized as window and door (fenestration) components and kitchen and bath cabinet components. Examples of fenestration components include: (1) energy-efficient flexible insulating glass spacers, (2) extruded vinyl profiles, (3) window and door screens, and (4) precision-formed metal and wood products. We also manufacture cabinet doors and other components for OEMs in the kitchen and bathroom cabinet industry. In addition, we provide certain other non-fenestration components and products, which include solar panel sealants, trim moldings, vinyl decking, fencing, water retention barriers, and conservatory roof components. We have organized our business into three reportable business segments. For additional discussion of our reportable business segments, see Note 12, "Segment Information." We use low-cost, short lead-time production processes and engineering expertise to provide our customers with specialized products for their specific window, door, and cabinet applications. We believe these capabilities provide us with unique competitive advantages. We serve a primary customer base in North America and the United Kingdom (U.K.), and also serve customers in international markets through our operating plants in the U.K. and Germany, as well as through sales and marketing efforts in other countries.</w:t>
      </w:r>
    </w:p>
    <w:p>
      <w:pPr>
        <w:spacing w:after="0" w:line="13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i w:val="1"/>
          <w:iCs w:val="1"/>
          <w:color w:val="auto"/>
        </w:rPr>
        <w:t>Unless the context indicates otherwise, references to "Quanex", the "Company", "we", "us" and "our" refer to the consolidated business operations of Quanex Building Products Corporation and its subsidiaries.</w:t>
      </w:r>
    </w:p>
    <w:p>
      <w:pPr>
        <w:spacing w:after="0" w:line="116" w:lineRule="exact"/>
        <w:rPr>
          <w:sz w:val="20"/>
          <w:szCs w:val="20"/>
          <w:color w:val="auto"/>
        </w:rPr>
      </w:pPr>
    </w:p>
    <w:p>
      <w:pPr>
        <w:jc w:val="both"/>
        <w:ind w:firstLine="432"/>
        <w:spacing w:after="0" w:line="288" w:lineRule="auto"/>
        <w:rPr>
          <w:sz w:val="20"/>
          <w:szCs w:val="20"/>
          <w:color w:val="auto"/>
        </w:rPr>
      </w:pPr>
      <w:r>
        <w:rPr>
          <w:rFonts w:ascii="Arial" w:cs="Arial" w:eastAsia="Arial" w:hAnsi="Arial"/>
          <w:sz w:val="16"/>
          <w:szCs w:val="16"/>
          <w:color w:val="auto"/>
        </w:rPr>
        <w:t>The accompanying interim condensed consolidated financial statements include the accounts of Quanex Building Products Corporation. All intercompany accounts and transactions have been eliminated in consolidation. These financial statements have been prepared by us, without audit, pursuant to the rules and regulations of the Securities and Exchange Commission (SEC). Certain information and footnote disclosures normally included in financial statements prepared in accordance with accounting principles generally accepted in the United States of America (U.S. GAAP) have been condensed or omitted pursuant to such rules and regulations. The condensed consolidated balance sheet as of October 31, 2019 was derived from audited financial information, but does not include all disclosures required by U.S. GAAP. The accompanying financial statements should be read in conjunction with the audited consolidated financial statements and the notes thereto, included in our Annual Report on Form 10-K for the fiscal year ended October 31, 2019. In our opinion, the accompanying financial statements contain all adjustments (which consist of normal recurring adjustments, except as disclosed herein) necessary to fairly present our financial position, results of operations and cash flows for the interim periods. The results of operations for the periods presented are not necessarily indicative of the results to be expected for the full year or for any future periods.</w:t>
      </w:r>
    </w:p>
    <w:p>
      <w:pPr>
        <w:spacing w:after="0" w:line="11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 preparing financial statements, we make informed judgments and estimates that affect the reported amounts of assets and liabilities as of the date of the financial statements and affect the reported amounts of revenues and expenses during the reporting period. We review our estimates on an on-going basis, including those related to impairment of long lived assets and goodwill, contingencies and income taxes. Changes in facts and circumstances may result in revised estimates and actual results may differ from these estimates.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from Contracts with Customers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7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recognize revenue that reflects only the consideration we expect to receive for product sales upon transfer to customers. Revenue for product sales is recognized when control of the promised products is actually transferred to our customers, and we expect to be entitled to consideration in exchange for such transfer. We account for a contract when a customer provides us with a firm purchase order that identifies the products to be provided, the payment terms for those services, and when collectability of the consideration due is probable.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obligations</w:t>
      </w:r>
    </w:p>
    <w:p>
      <w:pPr>
        <w:spacing w:after="0" w:line="171"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A performance obligation is a promise to provide the customer with a good or service. Our performance obligations include product sales, with each product included in a customer contract being recognized as a separate performance obligation. For contracts with multiple performance obligations, the standalone selling price of each product is generally readily observable.</w:t>
      </w:r>
    </w:p>
    <w:p>
      <w:pPr>
        <w:spacing w:after="0" w:line="130"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Revenue from product sales is recognized at a point in time when the product is transferred to the customer, in accordance with the shipping terms, which is generally upon shipment. We estimate a provision for sales returns and warranty allowances to account for product returns related to general returns and product nonconformance.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NOTES TO UNAUDITED CONDENSED CONSOLIDATED FINANCIAL STATEMENTS </w:t>
      </w:r>
      <w:r>
        <w:rPr>
          <w:rFonts w:ascii="Arial" w:cs="Arial" w:eastAsia="Arial" w:hAnsi="Arial"/>
          <w:sz w:val="18"/>
          <w:szCs w:val="18"/>
          <w:color w:val="auto"/>
        </w:rPr>
        <w:t>(continued)</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Pricing and sales incentives</w:t>
      </w:r>
    </w:p>
    <w:p>
      <w:pPr>
        <w:spacing w:after="0" w:line="17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Pricing is established at or prior to the time of sale with our customers and we record sales at the agreed-upon net selling price, reflective of current and prospective discounts.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Practical expedients and exemptions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We generally expense incremental costs of obtaining a contract when incurred because the amortization period would be less than one year.</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Additionally, we do not disclose the value of unsatisfied performance obligations for contracts with an original expected length of one year or less.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Shipping and handling costs</w:t>
      </w:r>
    </w:p>
    <w:p>
      <w:pPr>
        <w:spacing w:after="0" w:line="17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account for shipping and handling services as fulfillment services; accordingly, freight revenue is combined with the product deliverable rather than being accounted for as a distinct performance obligation within the terms of the agreement. Shipping and handling costs incurred by us for the delivery of goods to customers are considered a cost to fulfill the contract and are included in Cost of sales in the accompanying Condensed Consolidated Statements of Income.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assets and liabilities</w:t>
      </w:r>
    </w:p>
    <w:p>
      <w:pPr>
        <w:spacing w:after="0" w:line="17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Deferred revenue, which is not significant, is recorded when we have remaining unsatisfied performance obligations for which we have received consideration.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produce a wide variety of products that are used in the fenestration industry, including window spacer systems; extruded vinyl products; metal fabricated products; and astragals, thresholds and screens. In addition, we produce certain non-fenestration products, including kitchen and bath cabinet doors and components, flooring and trim moldings, solar edge tape, plastic decking, fencing, water retention barriers, conservatory roof components, and other products.</w:t>
      </w:r>
    </w:p>
    <w:p>
      <w:pPr>
        <w:spacing w:after="0" w:line="308"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The following table summarizes our product sales for the three and six months ended April 30, 2020 and 2019 into groupings by segment which we believe depicts how the nature, amount, timing and uncertainty of our revenues and cash flows are affected by economic factors. For further details regarding our results by segment, refer to Note 12, “Segment Information”.</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UNAUDITED CONDENSED CONSOLIDATED FINANCIAL STATEMENTS </w:t>
      </w:r>
      <w:r>
        <w:rPr>
          <w:rFonts w:ascii="Arial" w:cs="Arial" w:eastAsia="Arial" w:hAnsi="Arial"/>
          <w:sz w:val="18"/>
          <w:szCs w:val="18"/>
          <w:color w:val="auto"/>
        </w:rPr>
        <w:t>(continued)</w:t>
      </w: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2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6"/>
                <w:szCs w:val="16"/>
                <w:color w:val="auto"/>
              </w:rPr>
            </w:pPr>
          </w:p>
        </w:tc>
        <w:tc>
          <w:tcPr>
            <w:tcW w:w="1920" w:type="dxa"/>
            <w:vAlign w:val="bottom"/>
            <w:gridSpan w:val="4"/>
          </w:tcPr>
          <w:p>
            <w:pPr>
              <w:jc w:val="right"/>
              <w:ind w:right="391"/>
              <w:spacing w:after="0"/>
              <w:rPr>
                <w:sz w:val="20"/>
                <w:szCs w:val="20"/>
                <w:color w:val="auto"/>
              </w:rPr>
            </w:pPr>
            <w:r>
              <w:rPr>
                <w:rFonts w:ascii="Arial" w:cs="Arial" w:eastAsia="Arial" w:hAnsi="Arial"/>
                <w:sz w:val="14"/>
                <w:szCs w:val="14"/>
                <w:b w:val="1"/>
                <w:bCs w:val="1"/>
                <w:color w:val="auto"/>
              </w:rPr>
              <w:t>Six Months Ended</w:t>
            </w:r>
          </w:p>
        </w:tc>
      </w:tr>
      <w:tr>
        <w:trPr>
          <w:trHeight w:val="276"/>
        </w:trPr>
        <w:tc>
          <w:tcPr>
            <w:tcW w:w="68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April 30,</w:t>
            </w: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April 30,</w:t>
            </w:r>
          </w:p>
        </w:tc>
        <w:tc>
          <w:tcPr>
            <w:tcW w:w="740" w:type="dxa"/>
            <w:vAlign w:val="bottom"/>
            <w:tcBorders>
              <w:bottom w:val="single" w:sz="8" w:color="auto"/>
            </w:tcBorders>
          </w:tcPr>
          <w:p>
            <w:pPr>
              <w:spacing w:after="0"/>
              <w:rPr>
                <w:sz w:val="24"/>
                <w:szCs w:val="24"/>
                <w:color w:val="auto"/>
              </w:rPr>
            </w:pPr>
          </w:p>
        </w:tc>
      </w:tr>
      <w:tr>
        <w:trPr>
          <w:trHeight w:val="264"/>
        </w:trPr>
        <w:tc>
          <w:tcPr>
            <w:tcW w:w="68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2019</w:t>
            </w:r>
          </w:p>
        </w:tc>
      </w:tr>
      <w:tr>
        <w:trPr>
          <w:trHeight w:val="250"/>
        </w:trPr>
        <w:tc>
          <w:tcPr>
            <w:tcW w:w="6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960" w:type="dxa"/>
            <w:vAlign w:val="bottom"/>
            <w:gridSpan w:val="5"/>
          </w:tcPr>
          <w:p>
            <w:pPr>
              <w:ind w:left="36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56"/>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North American Fenestration:</w:t>
            </w: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United States - fenestration</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95,791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99,144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192,638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1"/>
              <w:spacing w:after="0"/>
              <w:rPr>
                <w:sz w:val="20"/>
                <w:szCs w:val="20"/>
                <w:color w:val="auto"/>
              </w:rPr>
            </w:pPr>
            <w:r>
              <w:rPr>
                <w:rFonts w:ascii="Arial" w:cs="Arial" w:eastAsia="Arial" w:hAnsi="Arial"/>
                <w:sz w:val="18"/>
                <w:szCs w:val="18"/>
                <w:color w:val="auto"/>
                <w:w w:val="95"/>
              </w:rPr>
              <w:t>193,029</w:t>
            </w:r>
          </w:p>
        </w:tc>
      </w:tr>
      <w:tr>
        <w:trPr>
          <w:trHeight w:val="27"/>
        </w:trPr>
        <w:tc>
          <w:tcPr>
            <w:tcW w:w="6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International - fenestration</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6,153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8,096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12,587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16,302</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United States - non-fenestration</w:t>
            </w:r>
          </w:p>
        </w:tc>
        <w:tc>
          <w:tcPr>
            <w:tcW w:w="22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4,372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4,803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8,935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8,308</w:t>
            </w:r>
          </w:p>
        </w:tc>
      </w:tr>
      <w:tr>
        <w:trPr>
          <w:trHeight w:val="27"/>
        </w:trPr>
        <w:tc>
          <w:tcPr>
            <w:tcW w:w="6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International - non-fenestration</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2,277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3,303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4,885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6,756</w:t>
            </w:r>
          </w:p>
        </w:tc>
      </w:tr>
      <w:tr>
        <w:trPr>
          <w:trHeight w:val="237"/>
        </w:trPr>
        <w:tc>
          <w:tcPr>
            <w:tcW w:w="686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108,593</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w w:val="95"/>
              </w:rPr>
              <w:t>115,346</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219,045</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5"/>
              </w:rPr>
              <w:t>224,395</w:t>
            </w:r>
          </w:p>
        </w:tc>
      </w:tr>
      <w:tr>
        <w:trPr>
          <w:trHeight w:val="27"/>
        </w:trPr>
        <w:tc>
          <w:tcPr>
            <w:tcW w:w="6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European Fenestration:</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International - fenestration</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24,865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34,973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55,829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65,696</w:t>
            </w:r>
          </w:p>
        </w:tc>
      </w:tr>
      <w:tr>
        <w:trPr>
          <w:trHeight w:val="27"/>
        </w:trPr>
        <w:tc>
          <w:tcPr>
            <w:tcW w:w="6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International - non-fenestration</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4,335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6,650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10,137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11,181</w:t>
            </w:r>
          </w:p>
        </w:tc>
      </w:tr>
      <w:tr>
        <w:trPr>
          <w:trHeight w:val="237"/>
        </w:trPr>
        <w:tc>
          <w:tcPr>
            <w:tcW w:w="686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29,200</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41,623</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65,966</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76,877</w:t>
            </w:r>
          </w:p>
        </w:tc>
      </w:tr>
      <w:tr>
        <w:trPr>
          <w:trHeight w:val="27"/>
        </w:trPr>
        <w:tc>
          <w:tcPr>
            <w:tcW w:w="6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North American Cabinet Components: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United States - fenestration</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2,647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2,997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5,795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6,349</w:t>
            </w:r>
          </w:p>
        </w:tc>
      </w:tr>
      <w:tr>
        <w:trPr>
          <w:trHeight w:val="27"/>
        </w:trPr>
        <w:tc>
          <w:tcPr>
            <w:tcW w:w="6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 - non-fenestration</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47,540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59,220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93,989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5"/>
              </w:rPr>
              <w:t>109,181</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International - non-fenestration</w:t>
            </w:r>
          </w:p>
        </w:tc>
        <w:tc>
          <w:tcPr>
            <w:tcW w:w="22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477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619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924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1,158</w:t>
            </w:r>
          </w:p>
        </w:tc>
      </w:tr>
      <w:tr>
        <w:trPr>
          <w:trHeight w:val="27"/>
        </w:trPr>
        <w:tc>
          <w:tcPr>
            <w:tcW w:w="6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3"/>
        </w:trPr>
        <w:tc>
          <w:tcPr>
            <w:tcW w:w="68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50,664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62,836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100,708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5"/>
              </w:rPr>
              <w:t>116,688</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b w:val="1"/>
                <w:bCs w:val="1"/>
                <w:color w:val="auto"/>
              </w:rPr>
              <w:t>Unallocated Corporate &amp; Other</w:t>
            </w: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7"/>
        </w:trPr>
        <w:tc>
          <w:tcPr>
            <w:tcW w:w="6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Eliminations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(2,949)</w:t>
            </w:r>
          </w:p>
        </w:tc>
      </w:tr>
      <w:tr>
        <w:trPr>
          <w:trHeight w:val="237"/>
        </w:trPr>
        <w:tc>
          <w:tcPr>
            <w:tcW w:w="686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(982)</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(1,602)</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(1,647)</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(2,949)</w:t>
            </w:r>
          </w:p>
        </w:tc>
      </w:tr>
      <w:tr>
        <w:trPr>
          <w:trHeight w:val="27"/>
        </w:trPr>
        <w:tc>
          <w:tcPr>
            <w:tcW w:w="6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57"/>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187,475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5"/>
              </w:rPr>
              <w:t>218,203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384,072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5"/>
              </w:rPr>
              <w:t>415,011</w:t>
            </w:r>
          </w:p>
        </w:tc>
      </w:tr>
      <w:tr>
        <w:trPr>
          <w:trHeight w:val="20"/>
        </w:trPr>
        <w:tc>
          <w:tcPr>
            <w:tcW w:w="6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w:t>
      </w:r>
    </w:p>
    <w:p>
      <w:pPr>
        <w:spacing w:after="0" w:line="171"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We accrue one-time severance costs pursuant to an approved plan of restructuring at the communication date, when affected employees have been notified of the potential severance and sufficient information has been provided for the employee to calculate severance benefits, in the event the employee is involuntarily terminated. In addition, we accrue costs associated with the termination of contractual commitments including operating leases at the time the lease is terminated pursuant to the lease provisions or in accordance with another agreement with the landlord. Otherwise, we continue to recognize operating lease expense through the cease-use date. After the cease-use date, we determine if our operating lease payments are at market. We assume sublet of the facility at the market rate. To the extent our lease obligations exceed the fair value rentals, we discount to arrive at the present value and record a liability. If the facility is not sublet, we expense the amount of the rental in the current period. For other costs directly related to the restructuring effort, such as equipment moving costs, we expense in the period incurred.</w:t>
      </w:r>
    </w:p>
    <w:p>
      <w:pPr>
        <w:spacing w:after="0" w:line="12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During the year ended October 31, 2019, our North American Cabinet Components segment experienced declines in current and forecasted demand as a result of an industry-wide shift from semi-custom cabinets to stock cabinets, and received notice about a change in strategy at one of our large customers that may result in lower sales volumes in the future. As a result, during the first quarter of fiscal 2020, we began to restructure our operations within that segment by announcing the closure of one of our plants. We incurred expenses for severance, equipment moves, and other exit activities of $0.1 million and $0.3 million related to this plant closure during the three and six months ended April 30, 2020 and we may incur costs related to additional restructuring activities in future periods.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Impact</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On March 11, 2020, the World Health Organization (WHO) declared the outbreak of COVID-19 as a global pandemic and advised aggressive containment action. In response to this declaration and the rapid global spread of COVID-19, national, state, and local governments have taken extraordinary and continuously evolving measures to limit the outbreak and spread of the virus, including travel bans, quarantines, "stay-at-home" orders and similar mandates imposing varying degrees of restrictions on social and non-essential commercial activity to promote social distancing. Measures providing for business shutdowns generally exclude certain essential services such as construction, and those essential services commonly include critical infrastructure and the</w:t>
      </w:r>
    </w:p>
    <w:p>
      <w:pPr>
        <w:sectPr>
          <w:pgSz w:w="11900" w:h="16838" w:orient="portrait"/>
          <w:cols w:equalWidth="0" w:num="1">
            <w:col w:w="11240"/>
          </w:cols>
          <w:pgMar w:left="320" w:top="125" w:right="339" w:bottom="1440" w:gutter="0" w:footer="0" w:header="0"/>
        </w:sectPr>
      </w:pP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11240"/>
          </w:cols>
          <w:pgMar w:left="320" w:top="125" w:right="33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UNAUDITED CONDENSED CONSOLIDATED FINANCIAL STATEMENTS </w:t>
      </w:r>
      <w:r>
        <w:rPr>
          <w:rFonts w:ascii="Arial" w:cs="Arial" w:eastAsia="Arial" w:hAnsi="Arial"/>
          <w:sz w:val="18"/>
          <w:szCs w:val="18"/>
          <w:color w:val="auto"/>
        </w:rPr>
        <w:t>(continued)</w:t>
      </w:r>
    </w:p>
    <w:p>
      <w:pPr>
        <w:spacing w:after="0" w:line="3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businesses that support that critical infrastructure. To date, we have not experienced significant challenges or expenses implementing crisis management plans intended to meet government requirements for social distancing.</w:t>
      </w:r>
    </w:p>
    <w:p>
      <w:pPr>
        <w:spacing w:after="0" w:line="116"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We believe that we incurred a reduction to net sales of $20 million to $25 million related to the pandemic and the resulting containment for the three and six months ended April 30, 2020. The COVID-19 pandemic and actions taken in response thereto are continuing to have an adverse effect on many sectors of the economy. Given our short-lead time products and the role of our products within the supply chain for new home building and repair and remodel service providers and other customers within our segments, we reduced operating schedules and implemented furloughs to balance production and demand. Additionally, government shutdown orders in the United Kingdom forced us to close both U.K. plants for a number of weeks, though those plants have now been reopened. While this reduction in production is currently expected to be temporary, the duration of the COVID-19 pandemic, the actions to contain the pandemic and treat its impacts, and the effects on our operations are highly uncertain and cannot be predicted at this time. Therefore, while we expect the reduced production to negatively impact our business, results of operations, cash flows and financial position, the related financial impact cannot be reasonably estimated at this time.</w:t>
      </w:r>
    </w:p>
    <w:p>
      <w:pPr>
        <w:spacing w:after="0" w:line="12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March 2020, we borrowed $50 million under our revolving credit facility as a precautionary measure to ensure funds are available to meet our obligations for a substantial period of time in response to the COVID-19 pandemic. As of April 30, 2020, we had $80.3 million of cash and cash equivalents. Additionally, in response to the current business environment as impacted by COVID-19, we are reducing capital expenditures and discretionary spending as well as closely monitoring our working capital needs.</w:t>
      </w:r>
    </w:p>
    <w:p>
      <w:pPr>
        <w:spacing w:after="0" w:line="133"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As a result of the economic and business impact of COVID-19, we may be required to revise certain accounting estimates and judgments such as, but not limited to, those related to the valuation of goodwill, intangibles, right-of-use assets, long-lived assets, accounts receivable (including allowances for credit losses), and inventory, which could have a material adverse effect on our financial position and results of operations.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Leases</w:t>
      </w:r>
    </w:p>
    <w:p>
      <w:pPr>
        <w:spacing w:after="0" w:line="175" w:lineRule="exact"/>
        <w:rPr>
          <w:sz w:val="20"/>
          <w:szCs w:val="20"/>
          <w:color w:val="auto"/>
        </w:rPr>
      </w:pPr>
    </w:p>
    <w:p>
      <w:pPr>
        <w:jc w:val="both"/>
        <w:ind w:firstLine="432"/>
        <w:spacing w:after="0" w:line="296" w:lineRule="auto"/>
        <w:rPr>
          <w:sz w:val="20"/>
          <w:szCs w:val="20"/>
          <w:color w:val="auto"/>
        </w:rPr>
      </w:pPr>
      <w:r>
        <w:rPr>
          <w:rFonts w:ascii="Arial" w:cs="Arial" w:eastAsia="Arial" w:hAnsi="Arial"/>
          <w:sz w:val="16"/>
          <w:szCs w:val="16"/>
          <w:color w:val="auto"/>
        </w:rPr>
        <w:t>Effective November 1, 2019, we adopted Accounting Standards Codification Topic 842, "Leases" (ASC Topic 842), which requires leases to be recognized on the balance sheet. We recognize a right-of-use (ROU) asset and lease liability for each operating and finance lease with a contractual term greater than 12 months at the time of lease inception. We include ROU assets and lease liabilities for leases that exist within other contracts. Leases with an original term of 12 months or less are not recognized on the balance sheet, and the rent expense related to those short-term leases is recognized over the lease term. We do not account for lease and non-lease (e.g. common area maintenance) components of contracts separately for any underlying asset class.</w:t>
      </w:r>
    </w:p>
    <w:p>
      <w:pPr>
        <w:spacing w:after="0" w:line="107" w:lineRule="exact"/>
        <w:rPr>
          <w:sz w:val="20"/>
          <w:szCs w:val="20"/>
          <w:color w:val="auto"/>
        </w:rPr>
      </w:pPr>
    </w:p>
    <w:p>
      <w:pPr>
        <w:jc w:val="both"/>
        <w:ind w:firstLine="432"/>
        <w:spacing w:after="0" w:line="296" w:lineRule="auto"/>
        <w:rPr>
          <w:sz w:val="20"/>
          <w:szCs w:val="20"/>
          <w:color w:val="auto"/>
        </w:rPr>
      </w:pPr>
      <w:r>
        <w:rPr>
          <w:rFonts w:ascii="Arial" w:cs="Arial" w:eastAsia="Arial" w:hAnsi="Arial"/>
          <w:sz w:val="16"/>
          <w:szCs w:val="16"/>
          <w:color w:val="auto"/>
        </w:rPr>
        <w:t>We lease certain manufacturing plants, warehouses, office space, vehicles and equipment under finance and operating leases. Lease commencement occurs on the date we take possession or control of the property or equipment. Original terms for our real estate-related leases are generally between five and twenty years. Original terms for equipment-related leases, primarily manufacturing equipment and vehicles, are generally between one and ten years. Some of our leases also include rental escalation clauses. Renewal options are included in the determination of lease payments when management determines the options are reasonably certain of exercise, considering financial performance, strategic importance and/or invested capital.</w:t>
      </w:r>
    </w:p>
    <w:p>
      <w:pPr>
        <w:spacing w:after="0" w:line="107"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If readily determinable, the rate implicit in the lease is used to discount lease payments to present value; however, substantially all of our leases do not provide a readily determinable implicit rate. When the implicit rate is not determinable, our estimated incremental borrowing rate is utilized, determined on a collateralized basis, to discount lease payments based on information available at lease commencement.</w:t>
      </w:r>
    </w:p>
    <w:p>
      <w:pPr>
        <w:spacing w:after="0" w:line="13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Total lease costs recorded include fixed operating lease costs and variable lease costs. Most of our real estate leases require we pay certain expenses, such as common area mainenance costs, of which the fixed portion is included in operating lease costs. We recognize operating lease costs on a straight-line basis over the lease term. In addition to the above costs, variable lease costs are recognized when probable and are not included in determining the present value of our lease liability.</w:t>
      </w:r>
    </w:p>
    <w:p>
      <w:pPr>
        <w:spacing w:after="0" w:line="133"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The ROU asset is measured at the initial amount of the lease liability adjusted for lease payments made at or before the lease commencement date and initial direct costs. For operating leases, ROU assets are reduced over the lease term by the recognized straight-line lease expense less the amount of accretion of the lease liability determined using the effective interest method. For finance leases, ROU assets are amortized on a straight-line basis over the shorter of the useful life of the leased asset or the lease term. Interest expense on each finance lease liability is recognized utilizing the effective interest method. ROU assets are tested for impairment in the same manner as long-lived assets. Additionally, we monitor for events or changes in circumstances that may require a reassessment of one of our leases and determine if a remeasurement is required.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UNAUDITED CONDENSED CONSOLIDATED FINANCIAL STATEMENTS </w:t>
      </w:r>
      <w:r>
        <w:rPr>
          <w:rFonts w:ascii="Arial" w:cs="Arial" w:eastAsia="Arial" w:hAnsi="Arial"/>
          <w:sz w:val="18"/>
          <w:szCs w:val="18"/>
          <w:color w:val="auto"/>
        </w:rPr>
        <w:t>(continued)</w:t>
      </w:r>
    </w:p>
    <w:p>
      <w:pPr>
        <w:spacing w:after="0" w:line="3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table below presents the lease-related assets and liabilities recorded on the balance sheet at April 30, 2020 (in thousands):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Leases</w:t>
            </w:r>
          </w:p>
        </w:tc>
        <w:tc>
          <w:tcPr>
            <w:tcW w:w="120" w:type="dxa"/>
            <w:vAlign w:val="bottom"/>
            <w:tcBorders>
              <w:bottom w:val="single" w:sz="8" w:color="CCEEFF"/>
            </w:tcBorders>
          </w:tcPr>
          <w:p>
            <w:pPr>
              <w:spacing w:after="0"/>
              <w:rPr>
                <w:sz w:val="16"/>
                <w:szCs w:val="16"/>
                <w:color w:val="auto"/>
              </w:rPr>
            </w:pPr>
          </w:p>
        </w:tc>
        <w:tc>
          <w:tcPr>
            <w:tcW w:w="69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Classification</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April 30, 2020</w:t>
            </w:r>
          </w:p>
        </w:tc>
      </w:tr>
      <w:tr>
        <w:trPr>
          <w:trHeight w:val="249"/>
        </w:trPr>
        <w:tc>
          <w:tcPr>
            <w:tcW w:w="2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6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2380" w:type="dxa"/>
            <w:vAlign w:val="bottom"/>
            <w:gridSpan w:val="2"/>
          </w:tcPr>
          <w:p>
            <w:pPr>
              <w:ind w:left="180"/>
              <w:spacing w:after="0"/>
              <w:rPr>
                <w:sz w:val="20"/>
                <w:szCs w:val="20"/>
                <w:color w:val="auto"/>
              </w:rPr>
            </w:pPr>
            <w:r>
              <w:rPr>
                <w:rFonts w:ascii="Arial" w:cs="Arial" w:eastAsia="Arial" w:hAnsi="Arial"/>
                <w:sz w:val="18"/>
                <w:szCs w:val="18"/>
                <w:color w:val="auto"/>
              </w:rPr>
              <w:t>Operating lease assets</w:t>
            </w:r>
          </w:p>
        </w:tc>
        <w:tc>
          <w:tcPr>
            <w:tcW w:w="7060" w:type="dxa"/>
            <w:vAlign w:val="bottom"/>
            <w:gridSpan w:val="2"/>
          </w:tcPr>
          <w:p>
            <w:pPr>
              <w:ind w:left="40"/>
              <w:spacing w:after="0"/>
              <w:rPr>
                <w:sz w:val="20"/>
                <w:szCs w:val="20"/>
                <w:color w:val="auto"/>
              </w:rPr>
            </w:pPr>
            <w:r>
              <w:rPr>
                <w:rFonts w:ascii="Arial" w:cs="Arial" w:eastAsia="Arial" w:hAnsi="Arial"/>
                <w:sz w:val="18"/>
                <w:szCs w:val="18"/>
                <w:color w:val="auto"/>
              </w:rPr>
              <w:t>Operating lease right-of-use assets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41,763</w:t>
            </w:r>
          </w:p>
        </w:tc>
      </w:tr>
      <w:tr>
        <w:trPr>
          <w:trHeight w:val="27"/>
        </w:trPr>
        <w:tc>
          <w:tcPr>
            <w:tcW w:w="2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23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Finance lease assets</w:t>
            </w:r>
          </w:p>
        </w:tc>
        <w:tc>
          <w:tcPr>
            <w:tcW w:w="7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Property, plant and equipment (less accumulated depreciation of $597)</w:t>
            </w:r>
          </w:p>
        </w:tc>
        <w:tc>
          <w:tcPr>
            <w:tcW w:w="3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15,669</w:t>
            </w:r>
          </w:p>
        </w:tc>
      </w:tr>
      <w:tr>
        <w:trPr>
          <w:trHeight w:val="297"/>
        </w:trPr>
        <w:tc>
          <w:tcPr>
            <w:tcW w:w="238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b w:val="1"/>
                <w:bCs w:val="1"/>
                <w:color w:val="auto"/>
              </w:rPr>
              <w:t>Total lease assets</w:t>
            </w:r>
          </w:p>
        </w:tc>
        <w:tc>
          <w:tcPr>
            <w:tcW w:w="69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57,432</w:t>
            </w:r>
          </w:p>
        </w:tc>
      </w:tr>
      <w:tr>
        <w:trPr>
          <w:trHeight w:val="311"/>
        </w:trPr>
        <w:tc>
          <w:tcPr>
            <w:tcW w:w="2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r>
      <w:tr>
        <w:trPr>
          <w:trHeight w:val="243"/>
        </w:trPr>
        <w:tc>
          <w:tcPr>
            <w:tcW w:w="2380" w:type="dxa"/>
            <w:vAlign w:val="bottom"/>
            <w:gridSpan w:val="2"/>
          </w:tcPr>
          <w:p>
            <w:pPr>
              <w:ind w:left="40"/>
              <w:spacing w:after="0"/>
              <w:rPr>
                <w:sz w:val="20"/>
                <w:szCs w:val="20"/>
                <w:color w:val="auto"/>
              </w:rPr>
            </w:pPr>
            <w:r>
              <w:rPr>
                <w:rFonts w:ascii="Arial" w:cs="Arial" w:eastAsia="Arial" w:hAnsi="Arial"/>
                <w:sz w:val="18"/>
                <w:szCs w:val="18"/>
                <w:b w:val="1"/>
                <w:bCs w:val="1"/>
                <w:color w:val="auto"/>
              </w:rPr>
              <w:t>Liabilities</w:t>
            </w:r>
          </w:p>
        </w:tc>
        <w:tc>
          <w:tcPr>
            <w:tcW w:w="6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2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23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Current</w:t>
            </w:r>
          </w:p>
        </w:tc>
        <w:tc>
          <w:tcPr>
            <w:tcW w:w="6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2380" w:type="dxa"/>
            <w:vAlign w:val="bottom"/>
            <w:gridSpan w:val="2"/>
          </w:tcPr>
          <w:p>
            <w:pPr>
              <w:ind w:left="280"/>
              <w:spacing w:after="0"/>
              <w:rPr>
                <w:sz w:val="20"/>
                <w:szCs w:val="20"/>
                <w:color w:val="auto"/>
              </w:rPr>
            </w:pPr>
            <w:r>
              <w:rPr>
                <w:rFonts w:ascii="Arial" w:cs="Arial" w:eastAsia="Arial" w:hAnsi="Arial"/>
                <w:sz w:val="18"/>
                <w:szCs w:val="18"/>
                <w:color w:val="auto"/>
              </w:rPr>
              <w:t>Operating</w:t>
            </w:r>
          </w:p>
        </w:tc>
        <w:tc>
          <w:tcPr>
            <w:tcW w:w="7060" w:type="dxa"/>
            <w:vAlign w:val="bottom"/>
            <w:gridSpan w:val="2"/>
          </w:tcPr>
          <w:p>
            <w:pPr>
              <w:ind w:left="40"/>
              <w:spacing w:after="0"/>
              <w:rPr>
                <w:sz w:val="20"/>
                <w:szCs w:val="20"/>
                <w:color w:val="auto"/>
              </w:rPr>
            </w:pPr>
            <w:r>
              <w:rPr>
                <w:rFonts w:ascii="Arial" w:cs="Arial" w:eastAsia="Arial" w:hAnsi="Arial"/>
                <w:sz w:val="18"/>
                <w:szCs w:val="18"/>
                <w:color w:val="auto"/>
              </w:rPr>
              <w:t>Current operating lease liabilities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6,687</w:t>
            </w:r>
          </w:p>
        </w:tc>
      </w:tr>
      <w:tr>
        <w:trPr>
          <w:trHeight w:val="27"/>
        </w:trPr>
        <w:tc>
          <w:tcPr>
            <w:tcW w:w="2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23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Finance</w:t>
            </w:r>
          </w:p>
        </w:tc>
        <w:tc>
          <w:tcPr>
            <w:tcW w:w="7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maturities of long-term debt</w:t>
            </w:r>
          </w:p>
        </w:tc>
        <w:tc>
          <w:tcPr>
            <w:tcW w:w="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936</w:t>
            </w:r>
          </w:p>
        </w:tc>
      </w:tr>
      <w:tr>
        <w:trPr>
          <w:trHeight w:val="243"/>
        </w:trPr>
        <w:tc>
          <w:tcPr>
            <w:tcW w:w="2380" w:type="dxa"/>
            <w:vAlign w:val="bottom"/>
            <w:gridSpan w:val="2"/>
          </w:tcPr>
          <w:p>
            <w:pPr>
              <w:ind w:left="180"/>
              <w:spacing w:after="0"/>
              <w:rPr>
                <w:sz w:val="20"/>
                <w:szCs w:val="20"/>
                <w:color w:val="auto"/>
              </w:rPr>
            </w:pPr>
            <w:r>
              <w:rPr>
                <w:rFonts w:ascii="Arial" w:cs="Arial" w:eastAsia="Arial" w:hAnsi="Arial"/>
                <w:sz w:val="18"/>
                <w:szCs w:val="18"/>
                <w:color w:val="auto"/>
              </w:rPr>
              <w:t>Noncurrent</w:t>
            </w:r>
          </w:p>
        </w:tc>
        <w:tc>
          <w:tcPr>
            <w:tcW w:w="6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2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23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Operating</w:t>
            </w:r>
          </w:p>
        </w:tc>
        <w:tc>
          <w:tcPr>
            <w:tcW w:w="7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Noncurrent operating lease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35,551</w:t>
            </w:r>
          </w:p>
        </w:tc>
      </w:tr>
      <w:tr>
        <w:trPr>
          <w:trHeight w:val="243"/>
        </w:trPr>
        <w:tc>
          <w:tcPr>
            <w:tcW w:w="2380" w:type="dxa"/>
            <w:vAlign w:val="bottom"/>
            <w:gridSpan w:val="2"/>
          </w:tcPr>
          <w:p>
            <w:pPr>
              <w:ind w:left="280"/>
              <w:spacing w:after="0"/>
              <w:rPr>
                <w:sz w:val="20"/>
                <w:szCs w:val="20"/>
                <w:color w:val="auto"/>
              </w:rPr>
            </w:pPr>
            <w:r>
              <w:rPr>
                <w:rFonts w:ascii="Arial" w:cs="Arial" w:eastAsia="Arial" w:hAnsi="Arial"/>
                <w:sz w:val="18"/>
                <w:szCs w:val="18"/>
                <w:color w:val="auto"/>
              </w:rPr>
              <w:t>Finance</w:t>
            </w:r>
          </w:p>
        </w:tc>
        <w:tc>
          <w:tcPr>
            <w:tcW w:w="7060" w:type="dxa"/>
            <w:vAlign w:val="bottom"/>
            <w:gridSpan w:val="2"/>
          </w:tcPr>
          <w:p>
            <w:pPr>
              <w:ind w:left="40"/>
              <w:spacing w:after="0"/>
              <w:rPr>
                <w:sz w:val="20"/>
                <w:szCs w:val="20"/>
                <w:color w:val="auto"/>
              </w:rPr>
            </w:pPr>
            <w:r>
              <w:rPr>
                <w:rFonts w:ascii="Arial" w:cs="Arial" w:eastAsia="Arial" w:hAnsi="Arial"/>
                <w:sz w:val="18"/>
                <w:szCs w:val="18"/>
                <w:color w:val="auto"/>
              </w:rPr>
              <w:t>Long-term debt</w:t>
            </w:r>
          </w:p>
        </w:tc>
        <w:tc>
          <w:tcPr>
            <w:tcW w:w="30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14,340</w:t>
            </w:r>
          </w:p>
        </w:tc>
      </w:tr>
      <w:tr>
        <w:trPr>
          <w:trHeight w:val="27"/>
        </w:trPr>
        <w:tc>
          <w:tcPr>
            <w:tcW w:w="2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7"/>
        </w:trPr>
        <w:tc>
          <w:tcPr>
            <w:tcW w:w="2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Total lease liabilities</w:t>
            </w:r>
          </w:p>
        </w:tc>
        <w:tc>
          <w:tcPr>
            <w:tcW w:w="6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57,514</w:t>
            </w:r>
          </w:p>
        </w:tc>
      </w:tr>
      <w:tr>
        <w:trPr>
          <w:trHeight w:val="20"/>
        </w:trPr>
        <w:tc>
          <w:tcPr>
            <w:tcW w:w="2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table below presents the components of the lease costs for the three and six months ended April 30, 2020 (in thousands):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tcPr>
          <w:p>
            <w:pPr>
              <w:jc w:val="right"/>
              <w:ind w:right="175"/>
              <w:spacing w:after="0"/>
              <w:rPr>
                <w:sz w:val="20"/>
                <w:szCs w:val="20"/>
                <w:color w:val="auto"/>
              </w:rPr>
            </w:pPr>
            <w:r>
              <w:rPr>
                <w:rFonts w:ascii="Arial" w:cs="Arial" w:eastAsia="Arial" w:hAnsi="Arial"/>
                <w:sz w:val="14"/>
                <w:szCs w:val="14"/>
                <w:b w:val="1"/>
                <w:bCs w:val="1"/>
                <w:color w:val="auto"/>
                <w:w w:val="98"/>
              </w:rPr>
              <w:t>Three Months Ended</w:t>
            </w:r>
          </w:p>
        </w:tc>
        <w:tc>
          <w:tcPr>
            <w:tcW w:w="300" w:type="dxa"/>
            <w:vAlign w:val="bottom"/>
          </w:tcPr>
          <w:p>
            <w:pPr>
              <w:spacing w:after="0"/>
              <w:rPr>
                <w:sz w:val="16"/>
                <w:szCs w:val="16"/>
                <w:color w:val="auto"/>
              </w:rPr>
            </w:pPr>
          </w:p>
        </w:tc>
        <w:tc>
          <w:tcPr>
            <w:tcW w:w="1580" w:type="dxa"/>
            <w:vAlign w:val="bottom"/>
          </w:tcPr>
          <w:p>
            <w:pPr>
              <w:jc w:val="right"/>
              <w:ind w:right="235"/>
              <w:spacing w:after="0"/>
              <w:rPr>
                <w:sz w:val="20"/>
                <w:szCs w:val="20"/>
                <w:color w:val="auto"/>
              </w:rPr>
            </w:pPr>
            <w:r>
              <w:rPr>
                <w:rFonts w:ascii="Arial" w:cs="Arial" w:eastAsia="Arial" w:hAnsi="Arial"/>
                <w:sz w:val="14"/>
                <w:szCs w:val="14"/>
                <w:b w:val="1"/>
                <w:bCs w:val="1"/>
                <w:color w:val="auto"/>
              </w:rPr>
              <w:t>Six Months Ended</w:t>
            </w:r>
          </w:p>
        </w:tc>
      </w:tr>
      <w:tr>
        <w:trPr>
          <w:trHeight w:val="275"/>
        </w:trPr>
        <w:tc>
          <w:tcPr>
            <w:tcW w:w="754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April 30, 2020</w:t>
            </w:r>
          </w:p>
        </w:tc>
        <w:tc>
          <w:tcPr>
            <w:tcW w:w="30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April 30, 2020</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b w:val="1"/>
                <w:bCs w:val="1"/>
                <w:color w:val="auto"/>
              </w:rPr>
              <w:t>Components of lease costs</w:t>
            </w:r>
          </w:p>
        </w:tc>
        <w:tc>
          <w:tcPr>
            <w:tcW w:w="1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7"/>
        </w:trPr>
        <w:tc>
          <w:tcPr>
            <w:tcW w:w="7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lease cost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2,137</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4,225</w:t>
            </w:r>
          </w:p>
        </w:tc>
      </w:tr>
      <w:tr>
        <w:trPr>
          <w:trHeight w:val="243"/>
        </w:trPr>
        <w:tc>
          <w:tcPr>
            <w:tcW w:w="7540" w:type="dxa"/>
            <w:vAlign w:val="bottom"/>
          </w:tcPr>
          <w:p>
            <w:pPr>
              <w:ind w:left="180"/>
              <w:spacing w:after="0"/>
              <w:rPr>
                <w:sz w:val="20"/>
                <w:szCs w:val="20"/>
                <w:color w:val="auto"/>
              </w:rPr>
            </w:pPr>
            <w:r>
              <w:rPr>
                <w:rFonts w:ascii="Arial" w:cs="Arial" w:eastAsia="Arial" w:hAnsi="Arial"/>
                <w:sz w:val="18"/>
                <w:szCs w:val="18"/>
                <w:color w:val="auto"/>
              </w:rPr>
              <w:t>Finance lease cost</w:t>
            </w:r>
          </w:p>
        </w:tc>
        <w:tc>
          <w:tcPr>
            <w:tcW w:w="1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7"/>
        </w:trPr>
        <w:tc>
          <w:tcPr>
            <w:tcW w:w="7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Amortization of leased assets</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302</w:t>
            </w:r>
          </w:p>
        </w:tc>
        <w:tc>
          <w:tcPr>
            <w:tcW w:w="3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618</w:t>
            </w:r>
          </w:p>
        </w:tc>
      </w:tr>
      <w:tr>
        <w:trPr>
          <w:trHeight w:val="243"/>
        </w:trPr>
        <w:tc>
          <w:tcPr>
            <w:tcW w:w="7540" w:type="dxa"/>
            <w:vAlign w:val="bottom"/>
          </w:tcPr>
          <w:p>
            <w:pPr>
              <w:ind w:left="280"/>
              <w:spacing w:after="0"/>
              <w:rPr>
                <w:sz w:val="20"/>
                <w:szCs w:val="20"/>
                <w:color w:val="auto"/>
              </w:rPr>
            </w:pPr>
            <w:r>
              <w:rPr>
                <w:rFonts w:ascii="Arial" w:cs="Arial" w:eastAsia="Arial" w:hAnsi="Arial"/>
                <w:sz w:val="18"/>
                <w:szCs w:val="18"/>
                <w:color w:val="auto"/>
              </w:rPr>
              <w:t>Interest on lease liabilities</w:t>
            </w:r>
          </w:p>
        </w:tc>
        <w:tc>
          <w:tcPr>
            <w:tcW w:w="180" w:type="dxa"/>
            <w:vAlign w:val="bottom"/>
          </w:tcPr>
          <w:p>
            <w:pPr>
              <w:spacing w:after="0"/>
              <w:rPr>
                <w:sz w:val="21"/>
                <w:szCs w:val="21"/>
                <w:color w:val="auto"/>
              </w:rPr>
            </w:pPr>
          </w:p>
        </w:tc>
        <w:tc>
          <w:tcPr>
            <w:tcW w:w="1640" w:type="dxa"/>
            <w:vAlign w:val="bottom"/>
          </w:tcPr>
          <w:p>
            <w:pPr>
              <w:jc w:val="right"/>
              <w:ind w:right="55"/>
              <w:spacing w:after="0"/>
              <w:rPr>
                <w:sz w:val="20"/>
                <w:szCs w:val="20"/>
                <w:color w:val="auto"/>
              </w:rPr>
            </w:pPr>
            <w:r>
              <w:rPr>
                <w:rFonts w:ascii="Arial" w:cs="Arial" w:eastAsia="Arial" w:hAnsi="Arial"/>
                <w:sz w:val="18"/>
                <w:szCs w:val="18"/>
                <w:color w:val="auto"/>
              </w:rPr>
              <w:t>138</w:t>
            </w:r>
          </w:p>
        </w:tc>
        <w:tc>
          <w:tcPr>
            <w:tcW w:w="300" w:type="dxa"/>
            <w:vAlign w:val="bottom"/>
          </w:tcPr>
          <w:p>
            <w:pPr>
              <w:spacing w:after="0"/>
              <w:rPr>
                <w:sz w:val="21"/>
                <w:szCs w:val="21"/>
                <w:color w:val="auto"/>
              </w:rPr>
            </w:pPr>
          </w:p>
        </w:tc>
        <w:tc>
          <w:tcPr>
            <w:tcW w:w="1580" w:type="dxa"/>
            <w:vAlign w:val="bottom"/>
          </w:tcPr>
          <w:p>
            <w:pPr>
              <w:jc w:val="right"/>
              <w:ind w:right="15"/>
              <w:spacing w:after="0"/>
              <w:rPr>
                <w:sz w:val="20"/>
                <w:szCs w:val="20"/>
                <w:color w:val="auto"/>
              </w:rPr>
            </w:pPr>
            <w:r>
              <w:rPr>
                <w:rFonts w:ascii="Arial" w:cs="Arial" w:eastAsia="Arial" w:hAnsi="Arial"/>
                <w:sz w:val="18"/>
                <w:szCs w:val="18"/>
                <w:color w:val="auto"/>
              </w:rPr>
              <w:t>282</w:t>
            </w:r>
          </w:p>
        </w:tc>
      </w:tr>
      <w:tr>
        <w:trPr>
          <w:trHeight w:val="27"/>
        </w:trPr>
        <w:tc>
          <w:tcPr>
            <w:tcW w:w="7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Variable lease costs</w:t>
            </w: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203</w:t>
            </w:r>
          </w:p>
        </w:tc>
        <w:tc>
          <w:tcPr>
            <w:tcW w:w="3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328</w:t>
            </w:r>
          </w:p>
        </w:tc>
      </w:tr>
      <w:tr>
        <w:trPr>
          <w:trHeight w:val="257"/>
        </w:trPr>
        <w:tc>
          <w:tcPr>
            <w:tcW w:w="7540" w:type="dxa"/>
            <w:vAlign w:val="bottom"/>
          </w:tcPr>
          <w:p>
            <w:pPr>
              <w:ind w:left="40"/>
              <w:spacing w:after="0"/>
              <w:rPr>
                <w:sz w:val="20"/>
                <w:szCs w:val="20"/>
                <w:color w:val="auto"/>
              </w:rPr>
            </w:pPr>
            <w:r>
              <w:rPr>
                <w:rFonts w:ascii="Arial" w:cs="Arial" w:eastAsia="Arial" w:hAnsi="Arial"/>
                <w:sz w:val="18"/>
                <w:szCs w:val="18"/>
                <w:b w:val="1"/>
                <w:bCs w:val="1"/>
                <w:color w:val="auto"/>
              </w:rPr>
              <w:t>Total lease cost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8"/>
                <w:szCs w:val="18"/>
                <w:color w:val="auto"/>
              </w:rPr>
              <w:t>2,780</w:t>
            </w:r>
          </w:p>
        </w:tc>
        <w:tc>
          <w:tcPr>
            <w:tcW w:w="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5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5,453</w:t>
            </w:r>
          </w:p>
        </w:tc>
      </w:tr>
      <w:tr>
        <w:trPr>
          <w:trHeight w:val="20"/>
        </w:trPr>
        <w:tc>
          <w:tcPr>
            <w:tcW w:w="7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table below presents supplemental cash flow information related to leases for the six months ended April 30, 2020 (in thousands):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60" w:type="dxa"/>
            <w:vAlign w:val="bottom"/>
          </w:tcPr>
          <w:p>
            <w:pPr>
              <w:jc w:val="right"/>
              <w:ind w:right="295"/>
              <w:spacing w:after="0"/>
              <w:rPr>
                <w:sz w:val="20"/>
                <w:szCs w:val="20"/>
                <w:color w:val="auto"/>
              </w:rPr>
            </w:pPr>
            <w:r>
              <w:rPr>
                <w:rFonts w:ascii="Arial" w:cs="Arial" w:eastAsia="Arial" w:hAnsi="Arial"/>
                <w:sz w:val="14"/>
                <w:szCs w:val="14"/>
                <w:b w:val="1"/>
                <w:bCs w:val="1"/>
                <w:color w:val="auto"/>
              </w:rPr>
              <w:t>Six Months Ended</w:t>
            </w:r>
          </w:p>
        </w:tc>
      </w:tr>
      <w:tr>
        <w:trPr>
          <w:trHeight w:val="275"/>
        </w:trPr>
        <w:tc>
          <w:tcPr>
            <w:tcW w:w="934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April 30, 2020</w:t>
            </w:r>
          </w:p>
        </w:tc>
      </w:tr>
      <w:tr>
        <w:trPr>
          <w:trHeight w:val="243"/>
        </w:trPr>
        <w:tc>
          <w:tcPr>
            <w:tcW w:w="9340" w:type="dxa"/>
            <w:vAlign w:val="bottom"/>
          </w:tcPr>
          <w:p>
            <w:pPr>
              <w:ind w:left="40"/>
              <w:spacing w:after="0"/>
              <w:rPr>
                <w:sz w:val="20"/>
                <w:szCs w:val="20"/>
                <w:color w:val="auto"/>
              </w:rPr>
            </w:pPr>
            <w:r>
              <w:rPr>
                <w:rFonts w:ascii="Arial" w:cs="Arial" w:eastAsia="Arial" w:hAnsi="Arial"/>
                <w:sz w:val="18"/>
                <w:szCs w:val="18"/>
                <w:b w:val="1"/>
                <w:bCs w:val="1"/>
                <w:color w:val="auto"/>
              </w:rPr>
              <w:t>Supplemental Cash Flow Information</w:t>
            </w:r>
          </w:p>
        </w:tc>
        <w:tc>
          <w:tcPr>
            <w:tcW w:w="240" w:type="dxa"/>
            <w:vAlign w:val="bottom"/>
          </w:tcPr>
          <w:p>
            <w:pPr>
              <w:spacing w:after="0"/>
              <w:rPr>
                <w:sz w:val="21"/>
                <w:szCs w:val="21"/>
                <w:color w:val="auto"/>
              </w:rPr>
            </w:pPr>
          </w:p>
        </w:tc>
        <w:tc>
          <w:tcPr>
            <w:tcW w:w="1660" w:type="dxa"/>
            <w:vAlign w:val="bottom"/>
          </w:tcPr>
          <w:p>
            <w:pPr>
              <w:spacing w:after="0"/>
              <w:rPr>
                <w:sz w:val="21"/>
                <w:szCs w:val="21"/>
                <w:color w:val="auto"/>
              </w:rPr>
            </w:pPr>
          </w:p>
        </w:tc>
      </w:tr>
      <w:tr>
        <w:trPr>
          <w:trHeight w:val="27"/>
        </w:trPr>
        <w:tc>
          <w:tcPr>
            <w:tcW w:w="9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9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r>
      <w:tr>
        <w:trPr>
          <w:trHeight w:val="243"/>
        </w:trPr>
        <w:tc>
          <w:tcPr>
            <w:tcW w:w="9340" w:type="dxa"/>
            <w:vAlign w:val="bottom"/>
          </w:tcPr>
          <w:p>
            <w:pPr>
              <w:ind w:left="180"/>
              <w:spacing w:after="0"/>
              <w:rPr>
                <w:sz w:val="20"/>
                <w:szCs w:val="20"/>
                <w:color w:val="auto"/>
              </w:rPr>
            </w:pPr>
            <w:r>
              <w:rPr>
                <w:rFonts w:ascii="Arial" w:cs="Arial" w:eastAsia="Arial" w:hAnsi="Arial"/>
                <w:sz w:val="18"/>
                <w:szCs w:val="18"/>
                <w:color w:val="auto"/>
              </w:rPr>
              <w:t>Finance leases - financing cash flows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15"/>
              <w:spacing w:after="0"/>
              <w:rPr>
                <w:sz w:val="20"/>
                <w:szCs w:val="20"/>
                <w:color w:val="auto"/>
              </w:rPr>
            </w:pPr>
            <w:r>
              <w:rPr>
                <w:rFonts w:ascii="Arial" w:cs="Arial" w:eastAsia="Arial" w:hAnsi="Arial"/>
                <w:sz w:val="18"/>
                <w:szCs w:val="18"/>
                <w:color w:val="auto"/>
              </w:rPr>
              <w:t>610</w:t>
            </w:r>
          </w:p>
        </w:tc>
      </w:tr>
      <w:tr>
        <w:trPr>
          <w:trHeight w:val="27"/>
        </w:trPr>
        <w:tc>
          <w:tcPr>
            <w:tcW w:w="9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9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Finance leases - operating cash flows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282</w:t>
            </w:r>
          </w:p>
        </w:tc>
      </w:tr>
      <w:tr>
        <w:trPr>
          <w:trHeight w:val="243"/>
        </w:trPr>
        <w:tc>
          <w:tcPr>
            <w:tcW w:w="9340" w:type="dxa"/>
            <w:vAlign w:val="bottom"/>
          </w:tcPr>
          <w:p>
            <w:pPr>
              <w:ind w:left="180"/>
              <w:spacing w:after="0"/>
              <w:rPr>
                <w:sz w:val="20"/>
                <w:szCs w:val="20"/>
                <w:color w:val="auto"/>
              </w:rPr>
            </w:pPr>
            <w:r>
              <w:rPr>
                <w:rFonts w:ascii="Arial" w:cs="Arial" w:eastAsia="Arial" w:hAnsi="Arial"/>
                <w:sz w:val="18"/>
                <w:szCs w:val="18"/>
                <w:color w:val="auto"/>
              </w:rPr>
              <w:t>Operating leases - operating cash flows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15"/>
              <w:spacing w:after="0"/>
              <w:rPr>
                <w:sz w:val="20"/>
                <w:szCs w:val="20"/>
                <w:color w:val="auto"/>
              </w:rPr>
            </w:pPr>
            <w:r>
              <w:rPr>
                <w:rFonts w:ascii="Arial" w:cs="Arial" w:eastAsia="Arial" w:hAnsi="Arial"/>
                <w:sz w:val="18"/>
                <w:szCs w:val="18"/>
                <w:color w:val="auto"/>
              </w:rPr>
              <w:t>4,145</w:t>
            </w:r>
          </w:p>
        </w:tc>
      </w:tr>
      <w:tr>
        <w:trPr>
          <w:trHeight w:val="27"/>
        </w:trPr>
        <w:tc>
          <w:tcPr>
            <w:tcW w:w="9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324"/>
        </w:trPr>
        <w:tc>
          <w:tcPr>
            <w:tcW w:w="93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r>
      <w:tr>
        <w:trPr>
          <w:trHeight w:val="243"/>
        </w:trPr>
        <w:tc>
          <w:tcPr>
            <w:tcW w:w="9340" w:type="dxa"/>
            <w:vAlign w:val="bottom"/>
          </w:tcPr>
          <w:p>
            <w:pPr>
              <w:ind w:left="40"/>
              <w:spacing w:after="0"/>
              <w:rPr>
                <w:sz w:val="20"/>
                <w:szCs w:val="20"/>
                <w:color w:val="auto"/>
              </w:rPr>
            </w:pPr>
            <w:r>
              <w:rPr>
                <w:rFonts w:ascii="Arial" w:cs="Arial" w:eastAsia="Arial" w:hAnsi="Arial"/>
                <w:sz w:val="18"/>
                <w:szCs w:val="18"/>
                <w:color w:val="auto"/>
              </w:rPr>
              <w:t>Right-of-use assets obtained in exchange for lease liabilities</w:t>
            </w:r>
          </w:p>
        </w:tc>
        <w:tc>
          <w:tcPr>
            <w:tcW w:w="240" w:type="dxa"/>
            <w:vAlign w:val="bottom"/>
          </w:tcPr>
          <w:p>
            <w:pPr>
              <w:spacing w:after="0"/>
              <w:rPr>
                <w:sz w:val="21"/>
                <w:szCs w:val="21"/>
                <w:color w:val="auto"/>
              </w:rPr>
            </w:pPr>
          </w:p>
        </w:tc>
        <w:tc>
          <w:tcPr>
            <w:tcW w:w="1660" w:type="dxa"/>
            <w:vAlign w:val="bottom"/>
          </w:tcPr>
          <w:p>
            <w:pPr>
              <w:spacing w:after="0"/>
              <w:rPr>
                <w:sz w:val="21"/>
                <w:szCs w:val="21"/>
                <w:color w:val="auto"/>
              </w:rPr>
            </w:pPr>
          </w:p>
        </w:tc>
      </w:tr>
      <w:tr>
        <w:trPr>
          <w:trHeight w:val="27"/>
        </w:trPr>
        <w:tc>
          <w:tcPr>
            <w:tcW w:w="9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9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6,033</w:t>
            </w:r>
          </w:p>
        </w:tc>
      </w:tr>
      <w:tr>
        <w:trPr>
          <w:trHeight w:val="243"/>
        </w:trPr>
        <w:tc>
          <w:tcPr>
            <w:tcW w:w="9340" w:type="dxa"/>
            <w:vAlign w:val="bottom"/>
          </w:tcPr>
          <w:p>
            <w:pPr>
              <w:ind w:left="40"/>
              <w:spacing w:after="0"/>
              <w:rPr>
                <w:sz w:val="20"/>
                <w:szCs w:val="20"/>
                <w:color w:val="auto"/>
              </w:rPr>
            </w:pPr>
            <w:r>
              <w:rPr>
                <w:rFonts w:ascii="Arial" w:cs="Arial" w:eastAsia="Arial" w:hAnsi="Arial"/>
                <w:sz w:val="18"/>
                <w:szCs w:val="18"/>
                <w:color w:val="auto"/>
              </w:rPr>
              <w:t>Finance Leases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15"/>
              <w:spacing w:after="0"/>
              <w:rPr>
                <w:sz w:val="20"/>
                <w:szCs w:val="20"/>
                <w:color w:val="auto"/>
              </w:rPr>
            </w:pPr>
            <w:r>
              <w:rPr>
                <w:rFonts w:ascii="Arial" w:cs="Arial" w:eastAsia="Arial" w:hAnsi="Arial"/>
                <w:sz w:val="18"/>
                <w:szCs w:val="18"/>
                <w:color w:val="auto"/>
              </w:rPr>
              <w:t>375</w:t>
            </w:r>
          </w:p>
        </w:tc>
      </w:tr>
    </w:tbl>
    <w:p>
      <w:pPr>
        <w:spacing w:after="0" w:line="39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table below presents the weighted average remaining lease terms and weighted average discount rates for the Company's leases as of April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2020:</w:t>
      </w:r>
    </w:p>
    <w:p>
      <w:pPr>
        <w:sectPr>
          <w:pgSz w:w="11900" w:h="16838" w:orient="portrait"/>
          <w:cols w:equalWidth="0" w:num="1">
            <w:col w:w="11240"/>
          </w:cols>
          <w:pgMar w:left="320" w:top="125" w:right="339" w:bottom="1440" w:gutter="0" w:footer="0" w:header="0"/>
        </w:sect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240"/>
          </w:cols>
          <w:pgMar w:left="320" w:top="125" w:right="33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UNAUDITED CONDENSED CONSOLIDATED FINANCIAL STATEMENTS </w:t>
      </w:r>
      <w:r>
        <w:rPr>
          <w:rFonts w:ascii="Arial" w:cs="Arial" w:eastAsia="Arial" w:hAnsi="Arial"/>
          <w:sz w:val="18"/>
          <w:szCs w:val="18"/>
          <w:color w:val="auto"/>
        </w:rPr>
        <w:t>(continued)</w:t>
      </w: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15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April 30, 2020</w:t>
            </w:r>
          </w:p>
        </w:tc>
      </w:tr>
      <w:tr>
        <w:trPr>
          <w:trHeight w:val="249"/>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remaining lease term (in years)</w:t>
            </w: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Operating leases</w:t>
            </w:r>
          </w:p>
        </w:tc>
        <w:tc>
          <w:tcPr>
            <w:tcW w:w="2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ind w:right="92"/>
              <w:spacing w:after="0"/>
              <w:rPr>
                <w:sz w:val="20"/>
                <w:szCs w:val="20"/>
                <w:color w:val="auto"/>
              </w:rPr>
            </w:pPr>
            <w:r>
              <w:rPr>
                <w:rFonts w:ascii="Arial" w:cs="Arial" w:eastAsia="Arial" w:hAnsi="Arial"/>
                <w:sz w:val="18"/>
                <w:szCs w:val="18"/>
                <w:color w:val="auto"/>
              </w:rPr>
              <w:t>7.8</w:t>
            </w:r>
          </w:p>
        </w:tc>
      </w:tr>
      <w:tr>
        <w:trPr>
          <w:trHeight w:val="27"/>
        </w:trPr>
        <w:tc>
          <w:tcPr>
            <w:tcW w:w="7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Financing leases</w:t>
            </w: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15.7</w:t>
            </w:r>
          </w:p>
        </w:tc>
      </w:tr>
      <w:tr>
        <w:trPr>
          <w:trHeight w:val="324"/>
        </w:trPr>
        <w:tc>
          <w:tcPr>
            <w:tcW w:w="7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discount rate</w:t>
            </w: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Operating leases</w:t>
            </w:r>
          </w:p>
        </w:tc>
        <w:tc>
          <w:tcPr>
            <w:tcW w:w="2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4.03%</w:t>
            </w:r>
          </w:p>
        </w:tc>
      </w:tr>
      <w:tr>
        <w:trPr>
          <w:trHeight w:val="27"/>
        </w:trPr>
        <w:tc>
          <w:tcPr>
            <w:tcW w:w="7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Financing leases</w:t>
            </w: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w:t>
            </w:r>
          </w:p>
        </w:tc>
      </w:tr>
      <w:tr>
        <w:trPr>
          <w:trHeight w:val="594"/>
        </w:trPr>
        <w:tc>
          <w:tcPr>
            <w:tcW w:w="7540" w:type="dxa"/>
            <w:vAlign w:val="bottom"/>
          </w:tcPr>
          <w:p>
            <w:pPr>
              <w:ind w:left="440"/>
              <w:spacing w:after="0"/>
              <w:rPr>
                <w:sz w:val="20"/>
                <w:szCs w:val="20"/>
                <w:color w:val="auto"/>
              </w:rPr>
            </w:pPr>
            <w:r>
              <w:rPr>
                <w:rFonts w:ascii="Arial" w:cs="Arial" w:eastAsia="Arial" w:hAnsi="Arial"/>
                <w:sz w:val="18"/>
                <w:szCs w:val="18"/>
                <w:color w:val="auto"/>
                <w:w w:val="93"/>
              </w:rPr>
              <w:t>The table below presents the maturity of the lease liabilities as of April 30, 2020 (in thousands):</w:t>
            </w:r>
          </w:p>
        </w:tc>
        <w:tc>
          <w:tcPr>
            <w:tcW w:w="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561"/>
        </w:trPr>
        <w:tc>
          <w:tcPr>
            <w:tcW w:w="75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Operating Leases</w:t>
            </w:r>
          </w:p>
        </w:tc>
        <w:tc>
          <w:tcPr>
            <w:tcW w:w="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Finance Leases</w:t>
            </w:r>
          </w:p>
        </w:tc>
      </w:tr>
      <w:tr>
        <w:trPr>
          <w:trHeight w:val="250"/>
        </w:trPr>
        <w:tc>
          <w:tcPr>
            <w:tcW w:w="7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8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(in thousands)</w:t>
            </w:r>
          </w:p>
        </w:tc>
        <w:tc>
          <w:tcPr>
            <w:tcW w:w="1380" w:type="dxa"/>
            <w:vAlign w:val="bottom"/>
          </w:tcPr>
          <w:p>
            <w:pPr>
              <w:spacing w:after="0"/>
              <w:rPr>
                <w:sz w:val="21"/>
                <w:szCs w:val="21"/>
                <w:color w:val="auto"/>
              </w:rPr>
            </w:pPr>
          </w:p>
        </w:tc>
      </w:tr>
      <w:tr>
        <w:trPr>
          <w:trHeight w:val="256"/>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 (remaining six months)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4,231</w:t>
            </w:r>
          </w:p>
        </w:tc>
        <w:tc>
          <w:tcPr>
            <w:tcW w:w="4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751</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2021</w:t>
            </w:r>
          </w:p>
        </w:tc>
        <w:tc>
          <w:tcPr>
            <w:tcW w:w="240" w:type="dxa"/>
            <w:vAlign w:val="bottom"/>
          </w:tcPr>
          <w:p>
            <w:pPr>
              <w:spacing w:after="0"/>
              <w:rPr>
                <w:sz w:val="21"/>
                <w:szCs w:val="21"/>
                <w:color w:val="auto"/>
              </w:rPr>
            </w:pPr>
          </w:p>
        </w:tc>
        <w:tc>
          <w:tcPr>
            <w:tcW w:w="1560" w:type="dxa"/>
            <w:vAlign w:val="bottom"/>
          </w:tcPr>
          <w:p>
            <w:pPr>
              <w:jc w:val="right"/>
              <w:ind w:right="33"/>
              <w:spacing w:after="0"/>
              <w:rPr>
                <w:sz w:val="20"/>
                <w:szCs w:val="20"/>
                <w:color w:val="auto"/>
              </w:rPr>
            </w:pPr>
            <w:r>
              <w:rPr>
                <w:rFonts w:ascii="Arial" w:cs="Arial" w:eastAsia="Arial" w:hAnsi="Arial"/>
                <w:sz w:val="18"/>
                <w:szCs w:val="18"/>
                <w:color w:val="auto"/>
              </w:rPr>
              <w:t>7,710</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1,447</w:t>
            </w:r>
          </w:p>
        </w:tc>
      </w:tr>
      <w:tr>
        <w:trPr>
          <w:trHeight w:val="27"/>
        </w:trPr>
        <w:tc>
          <w:tcPr>
            <w:tcW w:w="7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7,059</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1,413</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2023</w:t>
            </w:r>
          </w:p>
        </w:tc>
        <w:tc>
          <w:tcPr>
            <w:tcW w:w="240" w:type="dxa"/>
            <w:vAlign w:val="bottom"/>
          </w:tcPr>
          <w:p>
            <w:pPr>
              <w:spacing w:after="0"/>
              <w:rPr>
                <w:sz w:val="21"/>
                <w:szCs w:val="21"/>
                <w:color w:val="auto"/>
              </w:rPr>
            </w:pPr>
          </w:p>
        </w:tc>
        <w:tc>
          <w:tcPr>
            <w:tcW w:w="1560" w:type="dxa"/>
            <w:vAlign w:val="bottom"/>
          </w:tcPr>
          <w:p>
            <w:pPr>
              <w:jc w:val="right"/>
              <w:ind w:right="33"/>
              <w:spacing w:after="0"/>
              <w:rPr>
                <w:sz w:val="20"/>
                <w:szCs w:val="20"/>
                <w:color w:val="auto"/>
              </w:rPr>
            </w:pPr>
            <w:r>
              <w:rPr>
                <w:rFonts w:ascii="Arial" w:cs="Arial" w:eastAsia="Arial" w:hAnsi="Arial"/>
                <w:sz w:val="18"/>
                <w:szCs w:val="18"/>
                <w:color w:val="auto"/>
              </w:rPr>
              <w:t>6,613</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1,317</w:t>
            </w:r>
          </w:p>
        </w:tc>
      </w:tr>
      <w:tr>
        <w:trPr>
          <w:trHeight w:val="27"/>
        </w:trPr>
        <w:tc>
          <w:tcPr>
            <w:tcW w:w="7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5,821</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1,215</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40" w:type="dxa"/>
            <w:vAlign w:val="bottom"/>
          </w:tcPr>
          <w:p>
            <w:pPr>
              <w:spacing w:after="0"/>
              <w:rPr>
                <w:sz w:val="21"/>
                <w:szCs w:val="21"/>
                <w:color w:val="auto"/>
              </w:rPr>
            </w:pPr>
          </w:p>
        </w:tc>
        <w:tc>
          <w:tcPr>
            <w:tcW w:w="1560" w:type="dxa"/>
            <w:vAlign w:val="bottom"/>
          </w:tcPr>
          <w:p>
            <w:pPr>
              <w:jc w:val="right"/>
              <w:ind w:right="33"/>
              <w:spacing w:after="0"/>
              <w:rPr>
                <w:sz w:val="20"/>
                <w:szCs w:val="20"/>
                <w:color w:val="auto"/>
              </w:rPr>
            </w:pPr>
            <w:r>
              <w:rPr>
                <w:rFonts w:ascii="Arial" w:cs="Arial" w:eastAsia="Arial" w:hAnsi="Arial"/>
                <w:sz w:val="18"/>
                <w:szCs w:val="18"/>
                <w:color w:val="auto"/>
              </w:rPr>
              <w:t>17,826</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13,586</w:t>
            </w:r>
          </w:p>
        </w:tc>
      </w:tr>
      <w:tr>
        <w:trPr>
          <w:trHeight w:val="27"/>
        </w:trPr>
        <w:tc>
          <w:tcPr>
            <w:tcW w:w="75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lease payments</w:t>
            </w: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49,260</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19,729</w:t>
            </w:r>
          </w:p>
        </w:tc>
      </w:tr>
      <w:tr>
        <w:trPr>
          <w:trHeight w:val="243"/>
        </w:trPr>
        <w:tc>
          <w:tcPr>
            <w:tcW w:w="7540" w:type="dxa"/>
            <w:vAlign w:val="bottom"/>
          </w:tcPr>
          <w:p>
            <w:pPr>
              <w:ind w:left="180"/>
              <w:spacing w:after="0"/>
              <w:rPr>
                <w:sz w:val="20"/>
                <w:szCs w:val="20"/>
                <w:color w:val="auto"/>
              </w:rPr>
            </w:pPr>
            <w:r>
              <w:rPr>
                <w:rFonts w:ascii="Arial" w:cs="Arial" w:eastAsia="Arial" w:hAnsi="Arial"/>
                <w:sz w:val="18"/>
                <w:szCs w:val="18"/>
                <w:color w:val="auto"/>
              </w:rPr>
              <w:t>Less: present value discount</w:t>
            </w:r>
          </w:p>
        </w:tc>
        <w:tc>
          <w:tcPr>
            <w:tcW w:w="240" w:type="dxa"/>
            <w:vAlign w:val="bottom"/>
          </w:tcPr>
          <w:p>
            <w:pPr>
              <w:spacing w:after="0"/>
              <w:rPr>
                <w:sz w:val="21"/>
                <w:szCs w:val="21"/>
                <w:color w:val="auto"/>
              </w:rPr>
            </w:pPr>
          </w:p>
        </w:tc>
        <w:tc>
          <w:tcPr>
            <w:tcW w:w="1560" w:type="dxa"/>
            <w:vAlign w:val="bottom"/>
          </w:tcPr>
          <w:p>
            <w:pPr>
              <w:jc w:val="right"/>
              <w:ind w:right="33"/>
              <w:spacing w:after="0"/>
              <w:rPr>
                <w:sz w:val="20"/>
                <w:szCs w:val="20"/>
                <w:color w:val="auto"/>
              </w:rPr>
            </w:pPr>
            <w:r>
              <w:rPr>
                <w:rFonts w:ascii="Arial" w:cs="Arial" w:eastAsia="Arial" w:hAnsi="Arial"/>
                <w:sz w:val="18"/>
                <w:szCs w:val="18"/>
                <w:color w:val="auto"/>
              </w:rPr>
              <w:t>7,022</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4,453</w:t>
            </w:r>
          </w:p>
        </w:tc>
      </w:tr>
      <w:tr>
        <w:trPr>
          <w:trHeight w:val="27"/>
        </w:trPr>
        <w:tc>
          <w:tcPr>
            <w:tcW w:w="75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7"/>
        </w:trPr>
        <w:tc>
          <w:tcPr>
            <w:tcW w:w="75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Total lease liabilities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42,238</w:t>
            </w:r>
          </w:p>
        </w:tc>
        <w:tc>
          <w:tcPr>
            <w:tcW w:w="40" w:type="dxa"/>
            <w:vAlign w:val="bottom"/>
            <w:shd w:val="clear" w:color="auto" w:fill="CCEEFF"/>
          </w:tcPr>
          <w:p>
            <w:pPr>
              <w:spacing w:after="0"/>
              <w:rPr>
                <w:sz w:val="22"/>
                <w:szCs w:val="22"/>
                <w:color w:val="auto"/>
              </w:rPr>
            </w:pPr>
          </w:p>
        </w:tc>
        <w:tc>
          <w:tcPr>
            <w:tcW w:w="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15,276</w:t>
            </w: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jc w:val="both"/>
        <w:ind w:firstLine="432"/>
        <w:spacing w:after="0" w:line="311" w:lineRule="auto"/>
        <w:rPr>
          <w:sz w:val="20"/>
          <w:szCs w:val="20"/>
          <w:color w:val="auto"/>
        </w:rPr>
      </w:pPr>
      <w:r>
        <w:rPr>
          <w:rFonts w:ascii="Arial" w:cs="Arial" w:eastAsia="Arial" w:hAnsi="Arial"/>
          <w:sz w:val="16"/>
          <w:szCs w:val="16"/>
          <w:color w:val="auto"/>
        </w:rPr>
        <w:t>As a result of the adoption of ASC Topic 842, we are required to present future minimum lease payments for operating and financing obligations having initial or remaining non-cancelable lease terms in excess of one year. These future minimum lease payments were previously disclosed in our 2019 Annual Report on Form 10-K and accounted for under previous lease guidance. Commitments as of October 31, 2019 were as follows: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Operating Leases</w:t>
            </w:r>
          </w:p>
        </w:tc>
        <w:tc>
          <w:tcPr>
            <w:tcW w:w="4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w w:val="93"/>
              </w:rPr>
              <w:t>Capital Leases</w:t>
            </w:r>
          </w:p>
        </w:tc>
      </w:tr>
      <w:tr>
        <w:trPr>
          <w:trHeight w:val="250"/>
        </w:trPr>
        <w:tc>
          <w:tcPr>
            <w:tcW w:w="7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380" w:type="dxa"/>
            <w:vAlign w:val="bottom"/>
          </w:tcPr>
          <w:p>
            <w:pPr>
              <w:spacing w:after="0"/>
              <w:rPr>
                <w:sz w:val="21"/>
                <w:szCs w:val="21"/>
                <w:color w:val="auto"/>
              </w:rPr>
            </w:pPr>
          </w:p>
        </w:tc>
      </w:tr>
      <w:tr>
        <w:trPr>
          <w:trHeight w:val="256"/>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9,121</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1,020</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2021</w:t>
            </w:r>
          </w:p>
        </w:tc>
        <w:tc>
          <w:tcPr>
            <w:tcW w:w="240" w:type="dxa"/>
            <w:vAlign w:val="bottom"/>
          </w:tcPr>
          <w:p>
            <w:pPr>
              <w:spacing w:after="0"/>
              <w:rPr>
                <w:sz w:val="21"/>
                <w:szCs w:val="21"/>
                <w:color w:val="auto"/>
              </w:rPr>
            </w:pPr>
          </w:p>
        </w:tc>
        <w:tc>
          <w:tcPr>
            <w:tcW w:w="1560" w:type="dxa"/>
            <w:vAlign w:val="bottom"/>
          </w:tcPr>
          <w:p>
            <w:pPr>
              <w:jc w:val="right"/>
              <w:ind w:right="34"/>
              <w:spacing w:after="0"/>
              <w:rPr>
                <w:sz w:val="20"/>
                <w:szCs w:val="20"/>
                <w:color w:val="auto"/>
              </w:rPr>
            </w:pPr>
            <w:r>
              <w:rPr>
                <w:rFonts w:ascii="Arial" w:cs="Arial" w:eastAsia="Arial" w:hAnsi="Arial"/>
                <w:sz w:val="18"/>
                <w:szCs w:val="18"/>
                <w:color w:val="auto"/>
              </w:rPr>
              <w:t>6,981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810</w:t>
            </w:r>
          </w:p>
        </w:tc>
      </w:tr>
      <w:tr>
        <w:trPr>
          <w:trHeight w:val="27"/>
        </w:trPr>
        <w:tc>
          <w:tcPr>
            <w:tcW w:w="7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6,012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815</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2023</w:t>
            </w:r>
          </w:p>
        </w:tc>
        <w:tc>
          <w:tcPr>
            <w:tcW w:w="240" w:type="dxa"/>
            <w:vAlign w:val="bottom"/>
          </w:tcPr>
          <w:p>
            <w:pPr>
              <w:spacing w:after="0"/>
              <w:rPr>
                <w:sz w:val="21"/>
                <w:szCs w:val="21"/>
                <w:color w:val="auto"/>
              </w:rPr>
            </w:pPr>
          </w:p>
        </w:tc>
        <w:tc>
          <w:tcPr>
            <w:tcW w:w="1560" w:type="dxa"/>
            <w:vAlign w:val="bottom"/>
          </w:tcPr>
          <w:p>
            <w:pPr>
              <w:jc w:val="right"/>
              <w:ind w:right="34"/>
              <w:spacing w:after="0"/>
              <w:rPr>
                <w:sz w:val="20"/>
                <w:szCs w:val="20"/>
                <w:color w:val="auto"/>
              </w:rPr>
            </w:pPr>
            <w:r>
              <w:rPr>
                <w:rFonts w:ascii="Arial" w:cs="Arial" w:eastAsia="Arial" w:hAnsi="Arial"/>
                <w:sz w:val="18"/>
                <w:szCs w:val="18"/>
                <w:color w:val="auto"/>
              </w:rPr>
              <w:t>5,506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973</w:t>
            </w:r>
          </w:p>
        </w:tc>
      </w:tr>
      <w:tr>
        <w:trPr>
          <w:trHeight w:val="27"/>
        </w:trPr>
        <w:tc>
          <w:tcPr>
            <w:tcW w:w="7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4,699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713</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40" w:type="dxa"/>
            <w:vAlign w:val="bottom"/>
          </w:tcPr>
          <w:p>
            <w:pPr>
              <w:spacing w:after="0"/>
              <w:rPr>
                <w:sz w:val="21"/>
                <w:szCs w:val="21"/>
                <w:color w:val="auto"/>
              </w:rPr>
            </w:pPr>
          </w:p>
        </w:tc>
        <w:tc>
          <w:tcPr>
            <w:tcW w:w="1560" w:type="dxa"/>
            <w:vAlign w:val="bottom"/>
          </w:tcPr>
          <w:p>
            <w:pPr>
              <w:jc w:val="right"/>
              <w:ind w:right="34"/>
              <w:spacing w:after="0"/>
              <w:rPr>
                <w:sz w:val="20"/>
                <w:szCs w:val="20"/>
                <w:color w:val="auto"/>
              </w:rPr>
            </w:pPr>
            <w:r>
              <w:rPr>
                <w:rFonts w:ascii="Arial" w:cs="Arial" w:eastAsia="Arial" w:hAnsi="Arial"/>
                <w:sz w:val="18"/>
                <w:szCs w:val="18"/>
                <w:color w:val="auto"/>
              </w:rPr>
              <w:t>15,220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11,392</w:t>
            </w:r>
          </w:p>
        </w:tc>
      </w:tr>
      <w:tr>
        <w:trPr>
          <w:trHeight w:val="27"/>
        </w:trPr>
        <w:tc>
          <w:tcPr>
            <w:tcW w:w="75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3"/>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47,539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15,723</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Less: amount representing interest</w:t>
            </w:r>
          </w:p>
        </w:tc>
        <w:tc>
          <w:tcPr>
            <w:tcW w:w="2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5,064</w:t>
            </w:r>
          </w:p>
        </w:tc>
      </w:tr>
      <w:tr>
        <w:trPr>
          <w:trHeight w:val="27"/>
        </w:trPr>
        <w:tc>
          <w:tcPr>
            <w:tcW w:w="75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7"/>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Present value of minimum lease payments</w:t>
            </w:r>
          </w:p>
        </w:tc>
        <w:tc>
          <w:tcPr>
            <w:tcW w:w="24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10,659</w:t>
            </w:r>
          </w:p>
        </w:tc>
      </w:tr>
      <w:tr>
        <w:trPr>
          <w:trHeight w:val="20"/>
        </w:trPr>
        <w:tc>
          <w:tcPr>
            <w:tcW w:w="7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240"/>
          </w:cols>
          <w:pgMar w:left="320" w:top="125" w:right="33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UNAUDITED CONDENSED CONSOLIDATED FINANCIAL STATEMENTS </w:t>
      </w:r>
      <w:r>
        <w:rPr>
          <w:rFonts w:ascii="Arial" w:cs="Arial" w:eastAsia="Arial" w:hAnsi="Arial"/>
          <w:sz w:val="18"/>
          <w:szCs w:val="18"/>
          <w:color w:val="auto"/>
        </w:rPr>
        <w:t>(continued)</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Inventories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Inventories consisted of the following at April 30, 2020 and October 31, 2019:</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80" w:type="dxa"/>
            <w:vAlign w:val="bottom"/>
            <w:gridSpan w:val="2"/>
          </w:tcPr>
          <w:p>
            <w:pPr>
              <w:ind w:left="220"/>
              <w:spacing w:after="0"/>
              <w:rPr>
                <w:sz w:val="20"/>
                <w:szCs w:val="20"/>
                <w:color w:val="auto"/>
              </w:rPr>
            </w:pPr>
            <w:r>
              <w:rPr>
                <w:rFonts w:ascii="Arial" w:cs="Arial" w:eastAsia="Arial" w:hAnsi="Arial"/>
                <w:sz w:val="14"/>
                <w:szCs w:val="14"/>
                <w:b w:val="1"/>
                <w:bCs w:val="1"/>
                <w:color w:val="auto"/>
              </w:rPr>
              <w:t>April 30,</w:t>
            </w:r>
          </w:p>
        </w:tc>
        <w:tc>
          <w:tcPr>
            <w:tcW w:w="400" w:type="dxa"/>
            <w:vAlign w:val="bottom"/>
          </w:tcPr>
          <w:p>
            <w:pPr>
              <w:spacing w:after="0"/>
              <w:rPr>
                <w:sz w:val="14"/>
                <w:szCs w:val="14"/>
                <w:color w:val="auto"/>
              </w:rPr>
            </w:pPr>
          </w:p>
        </w:tc>
        <w:tc>
          <w:tcPr>
            <w:tcW w:w="1280" w:type="dxa"/>
            <w:vAlign w:val="bottom"/>
          </w:tcPr>
          <w:p>
            <w:pPr>
              <w:jc w:val="right"/>
              <w:ind w:right="415"/>
              <w:spacing w:after="0"/>
              <w:rPr>
                <w:sz w:val="20"/>
                <w:szCs w:val="20"/>
                <w:color w:val="auto"/>
              </w:rPr>
            </w:pPr>
            <w:r>
              <w:rPr>
                <w:rFonts w:ascii="Arial" w:cs="Arial" w:eastAsia="Arial" w:hAnsi="Arial"/>
                <w:sz w:val="14"/>
                <w:szCs w:val="14"/>
                <w:b w:val="1"/>
                <w:bCs w:val="1"/>
                <w:color w:val="auto"/>
                <w:w w:val="98"/>
              </w:rPr>
              <w:t>October 31,</w:t>
            </w:r>
          </w:p>
        </w:tc>
      </w:tr>
      <w:tr>
        <w:trPr>
          <w:trHeight w:val="192"/>
        </w:trPr>
        <w:tc>
          <w:tcPr>
            <w:tcW w:w="76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2019</w:t>
            </w:r>
          </w:p>
        </w:tc>
      </w:tr>
      <w:tr>
        <w:trPr>
          <w:trHeight w:val="196"/>
        </w:trPr>
        <w:tc>
          <w:tcPr>
            <w:tcW w:w="7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280" w:type="dxa"/>
            <w:vAlign w:val="bottom"/>
          </w:tcPr>
          <w:p>
            <w:pPr>
              <w:spacing w:after="0"/>
              <w:rPr>
                <w:sz w:val="17"/>
                <w:szCs w:val="17"/>
                <w:color w:val="auto"/>
              </w:rPr>
            </w:pPr>
          </w:p>
        </w:tc>
      </w:tr>
      <w:tr>
        <w:trPr>
          <w:trHeight w:val="256"/>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39,808</w:t>
            </w:r>
          </w:p>
        </w:tc>
        <w:tc>
          <w:tcPr>
            <w:tcW w:w="2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32,818</w:t>
            </w:r>
          </w:p>
        </w:tc>
      </w:tr>
      <w:tr>
        <w:trPr>
          <w:trHeight w:val="243"/>
        </w:trPr>
        <w:tc>
          <w:tcPr>
            <w:tcW w:w="7640" w:type="dxa"/>
            <w:vAlign w:val="bottom"/>
          </w:tcPr>
          <w:p>
            <w:pPr>
              <w:ind w:left="40"/>
              <w:spacing w:after="0"/>
              <w:rPr>
                <w:sz w:val="20"/>
                <w:szCs w:val="20"/>
                <w:color w:val="auto"/>
              </w:rPr>
            </w:pPr>
            <w:r>
              <w:rPr>
                <w:rFonts w:ascii="Arial" w:cs="Arial" w:eastAsia="Arial" w:hAnsi="Arial"/>
                <w:sz w:val="18"/>
                <w:szCs w:val="18"/>
                <w:color w:val="auto"/>
              </w:rPr>
              <w:t>Finished goods and work in process</w:t>
            </w:r>
          </w:p>
        </w:tc>
        <w:tc>
          <w:tcPr>
            <w:tcW w:w="340" w:type="dxa"/>
            <w:vAlign w:val="bottom"/>
          </w:tcPr>
          <w:p>
            <w:pPr>
              <w:spacing w:after="0"/>
              <w:rPr>
                <w:sz w:val="21"/>
                <w:szCs w:val="21"/>
                <w:color w:val="auto"/>
              </w:rPr>
            </w:pPr>
          </w:p>
        </w:tc>
        <w:tc>
          <w:tcPr>
            <w:tcW w:w="1360" w:type="dxa"/>
            <w:vAlign w:val="bottom"/>
          </w:tcPr>
          <w:p>
            <w:pPr>
              <w:jc w:val="right"/>
              <w:ind w:right="36"/>
              <w:spacing w:after="0"/>
              <w:rPr>
                <w:sz w:val="20"/>
                <w:szCs w:val="20"/>
                <w:color w:val="auto"/>
              </w:rPr>
            </w:pPr>
            <w:r>
              <w:rPr>
                <w:rFonts w:ascii="Arial" w:cs="Arial" w:eastAsia="Arial" w:hAnsi="Arial"/>
                <w:sz w:val="18"/>
                <w:szCs w:val="18"/>
                <w:color w:val="auto"/>
              </w:rPr>
              <w:t>37,991</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35,538</w:t>
            </w:r>
          </w:p>
        </w:tc>
      </w:tr>
      <w:tr>
        <w:trPr>
          <w:trHeight w:val="27"/>
        </w:trPr>
        <w:tc>
          <w:tcPr>
            <w:tcW w:w="7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Supplies and other</w:t>
            </w:r>
          </w:p>
        </w:tc>
        <w:tc>
          <w:tcPr>
            <w:tcW w:w="3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2,337</w:t>
            </w:r>
          </w:p>
        </w:tc>
        <w:tc>
          <w:tcPr>
            <w:tcW w:w="2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2,593</w:t>
            </w:r>
          </w:p>
        </w:tc>
      </w:tr>
      <w:tr>
        <w:trPr>
          <w:trHeight w:val="237"/>
        </w:trPr>
        <w:tc>
          <w:tcPr>
            <w:tcW w:w="7640" w:type="dxa"/>
            <w:vAlign w:val="bottom"/>
          </w:tcPr>
          <w:p>
            <w:pPr>
              <w:ind w:left="38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80,136</w:t>
            </w:r>
          </w:p>
        </w:tc>
        <w:tc>
          <w:tcPr>
            <w:tcW w:w="2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70,949</w:t>
            </w:r>
          </w:p>
        </w:tc>
      </w:tr>
      <w:tr>
        <w:trPr>
          <w:trHeight w:val="27"/>
        </w:trPr>
        <w:tc>
          <w:tcPr>
            <w:tcW w:w="7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7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Less: Inventory reserves</w:t>
            </w:r>
          </w:p>
        </w:tc>
        <w:tc>
          <w:tcPr>
            <w:tcW w:w="3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5,064</w:t>
            </w:r>
          </w:p>
        </w:tc>
        <w:tc>
          <w:tcPr>
            <w:tcW w:w="2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3,790</w:t>
            </w:r>
          </w:p>
        </w:tc>
      </w:tr>
      <w:tr>
        <w:trPr>
          <w:trHeight w:val="257"/>
        </w:trPr>
        <w:tc>
          <w:tcPr>
            <w:tcW w:w="7640" w:type="dxa"/>
            <w:vAlign w:val="bottom"/>
          </w:tcPr>
          <w:p>
            <w:pPr>
              <w:ind w:left="600"/>
              <w:spacing w:after="0"/>
              <w:rPr>
                <w:sz w:val="20"/>
                <w:szCs w:val="20"/>
                <w:color w:val="auto"/>
              </w:rPr>
            </w:pPr>
            <w:r>
              <w:rPr>
                <w:rFonts w:ascii="Arial" w:cs="Arial" w:eastAsia="Arial" w:hAnsi="Arial"/>
                <w:sz w:val="18"/>
                <w:szCs w:val="18"/>
                <w:color w:val="auto"/>
              </w:rPr>
              <w:t>Inventories, net</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75,072</w:t>
            </w:r>
          </w:p>
        </w:tc>
        <w:tc>
          <w:tcPr>
            <w:tcW w:w="22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67,159</w:t>
            </w:r>
          </w:p>
        </w:tc>
      </w:tr>
      <w:tr>
        <w:trPr>
          <w:trHeight w:val="20"/>
        </w:trPr>
        <w:tc>
          <w:tcPr>
            <w:tcW w:w="76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Fixed costs related to excess manufacturing capacity, if any, have been expensed in the period they were incurred and, therefore, are not capitalized into inventory.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Goodwill and Intangible Assets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change in the carrying amount of goodwill for the six months ended April 30, 2020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20" w:type="dxa"/>
            <w:vAlign w:val="bottom"/>
          </w:tcPr>
          <w:p>
            <w:pPr>
              <w:jc w:val="center"/>
              <w:ind w:right="239"/>
              <w:spacing w:after="0"/>
              <w:rPr>
                <w:sz w:val="20"/>
                <w:szCs w:val="20"/>
                <w:color w:val="auto"/>
              </w:rPr>
            </w:pPr>
            <w:r>
              <w:rPr>
                <w:rFonts w:ascii="Arial" w:cs="Arial" w:eastAsia="Arial" w:hAnsi="Arial"/>
                <w:sz w:val="14"/>
                <w:szCs w:val="14"/>
                <w:b w:val="1"/>
                <w:bCs w:val="1"/>
                <w:color w:val="auto"/>
                <w:w w:val="93"/>
              </w:rPr>
              <w:t>Six Months Ended</w:t>
            </w:r>
          </w:p>
        </w:tc>
      </w:tr>
      <w:tr>
        <w:trPr>
          <w:trHeight w:val="209"/>
        </w:trPr>
        <w:tc>
          <w:tcPr>
            <w:tcW w:w="9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center"/>
              <w:ind w:right="239"/>
              <w:spacing w:after="0"/>
              <w:rPr>
                <w:sz w:val="20"/>
                <w:szCs w:val="20"/>
                <w:color w:val="auto"/>
              </w:rPr>
            </w:pPr>
            <w:r>
              <w:rPr>
                <w:rFonts w:ascii="Arial" w:cs="Arial" w:eastAsia="Arial" w:hAnsi="Arial"/>
                <w:sz w:val="14"/>
                <w:szCs w:val="14"/>
                <w:b w:val="1"/>
                <w:bCs w:val="1"/>
                <w:color w:val="auto"/>
                <w:w w:val="95"/>
              </w:rPr>
              <w:t>April 30, 2020</w:t>
            </w:r>
          </w:p>
        </w:tc>
      </w:tr>
      <w:tr>
        <w:trPr>
          <w:trHeight w:val="250"/>
        </w:trPr>
        <w:tc>
          <w:tcPr>
            <w:tcW w:w="9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20" w:type="dxa"/>
            <w:vAlign w:val="bottom"/>
          </w:tcPr>
          <w:p>
            <w:pPr>
              <w:jc w:val="center"/>
              <w:ind w:right="239"/>
              <w:spacing w:after="0"/>
              <w:rPr>
                <w:sz w:val="20"/>
                <w:szCs w:val="20"/>
                <w:color w:val="auto"/>
              </w:rPr>
            </w:pPr>
            <w:r>
              <w:rPr>
                <w:rFonts w:ascii="Arial" w:cs="Arial" w:eastAsia="Arial" w:hAnsi="Arial"/>
                <w:sz w:val="14"/>
                <w:szCs w:val="14"/>
                <w:b w:val="1"/>
                <w:bCs w:val="1"/>
                <w:color w:val="auto"/>
                <w:w w:val="93"/>
              </w:rPr>
              <w:t>(In thousands)</w:t>
            </w:r>
          </w:p>
        </w:tc>
      </w:tr>
      <w:tr>
        <w:trPr>
          <w:trHeight w:val="256"/>
        </w:trPr>
        <w:tc>
          <w:tcPr>
            <w:tcW w:w="9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 as of November 1, 2019</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145,563</w:t>
            </w:r>
          </w:p>
        </w:tc>
      </w:tr>
      <w:tr>
        <w:trPr>
          <w:trHeight w:val="243"/>
        </w:trPr>
        <w:tc>
          <w:tcPr>
            <w:tcW w:w="9100" w:type="dxa"/>
            <w:vAlign w:val="bottom"/>
          </w:tcPr>
          <w:p>
            <w:pPr>
              <w:ind w:left="380"/>
              <w:spacing w:after="0"/>
              <w:rPr>
                <w:sz w:val="20"/>
                <w:szCs w:val="20"/>
                <w:color w:val="auto"/>
              </w:rPr>
            </w:pPr>
            <w:r>
              <w:rPr>
                <w:rFonts w:ascii="Arial" w:cs="Arial" w:eastAsia="Arial" w:hAnsi="Arial"/>
                <w:sz w:val="18"/>
                <w:szCs w:val="18"/>
                <w:color w:val="auto"/>
              </w:rPr>
              <w:t>Foreign currency translation adjustment</w:t>
            </w:r>
          </w:p>
        </w:tc>
        <w:tc>
          <w:tcPr>
            <w:tcW w:w="32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(1,693)</w:t>
            </w:r>
          </w:p>
        </w:tc>
      </w:tr>
      <w:tr>
        <w:trPr>
          <w:trHeight w:val="27"/>
        </w:trPr>
        <w:tc>
          <w:tcPr>
            <w:tcW w:w="9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57"/>
        </w:trPr>
        <w:tc>
          <w:tcPr>
            <w:tcW w:w="9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the end of the period</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143,870</w:t>
            </w:r>
          </w:p>
        </w:tc>
      </w:tr>
      <w:tr>
        <w:trPr>
          <w:trHeight w:val="20"/>
        </w:trPr>
        <w:tc>
          <w:tcPr>
            <w:tcW w:w="9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During the year ended October 31, 2019, we recorded impairment charges of $74.6 million associated with our NA Cabinet Components segment, which reduced the goodwill balance applicable to this reporting unit from $113.7 million to $39.1 million. Our other reporting units were not deemed to be impaired at our annual goodwill impairment testing date, August 31, 2019. During the three months ended April 30, 2020, we determined the WHO's characterization of the outbreak of COVID-19 as a global pandemic was a triggering event which could indicate that the carrying value of our goodwill was no longer greater than the fair value. As a result of this determination, we performed a qualitative assessment for each of the five goodwill reportable units. As a result of this analysis, we determined that our goodwill was not more likely than not impaired and no quantitative assessment was necessary. However, the long term effects of the COVID-19 pandemic on the demand and pricing of our products may result in future impairment charges. For a summary of the change in the carrying amount of goodwill by segment, see Note 12, "Segment Information."</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Identifiable Intangible Assets</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Amortizable intangible assets consisted of the following as of April 30, 2020 and October 31, 2019:</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4"/>
          </w:tcPr>
          <w:p>
            <w:pPr>
              <w:jc w:val="right"/>
              <w:ind w:right="1058"/>
              <w:spacing w:after="0"/>
              <w:rPr>
                <w:sz w:val="20"/>
                <w:szCs w:val="20"/>
                <w:color w:val="auto"/>
              </w:rPr>
            </w:pPr>
            <w:r>
              <w:rPr>
                <w:rFonts w:ascii="Arial" w:cs="Arial" w:eastAsia="Arial" w:hAnsi="Arial"/>
                <w:sz w:val="14"/>
                <w:szCs w:val="14"/>
                <w:b w:val="1"/>
                <w:bCs w:val="1"/>
                <w:color w:val="auto"/>
              </w:rPr>
              <w:t>April 30, 2020</w:t>
            </w:r>
          </w:p>
        </w:tc>
        <w:tc>
          <w:tcPr>
            <w:tcW w:w="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4"/>
          </w:tcPr>
          <w:p>
            <w:pPr>
              <w:jc w:val="right"/>
              <w:ind w:right="956"/>
              <w:spacing w:after="0"/>
              <w:rPr>
                <w:sz w:val="20"/>
                <w:szCs w:val="20"/>
                <w:color w:val="auto"/>
              </w:rPr>
            </w:pPr>
            <w:r>
              <w:rPr>
                <w:rFonts w:ascii="Arial" w:cs="Arial" w:eastAsia="Arial" w:hAnsi="Arial"/>
                <w:sz w:val="14"/>
                <w:szCs w:val="14"/>
                <w:b w:val="1"/>
                <w:bCs w:val="1"/>
                <w:color w:val="auto"/>
              </w:rPr>
              <w:t>October 31, 2019</w:t>
            </w:r>
          </w:p>
        </w:tc>
      </w:tr>
      <w:tr>
        <w:trPr>
          <w:trHeight w:val="152"/>
        </w:trPr>
        <w:tc>
          <w:tcPr>
            <w:tcW w:w="4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94"/>
              </w:rPr>
              <w:t>Gross Carrying</w:t>
            </w:r>
          </w:p>
        </w:tc>
        <w:tc>
          <w:tcPr>
            <w:tcW w:w="220" w:type="dxa"/>
            <w:vAlign w:val="bottom"/>
          </w:tcPr>
          <w:p>
            <w:pPr>
              <w:spacing w:after="0"/>
              <w:rPr>
                <w:sz w:val="13"/>
                <w:szCs w:val="13"/>
                <w:color w:val="auto"/>
              </w:rPr>
            </w:pPr>
          </w:p>
        </w:tc>
        <w:tc>
          <w:tcPr>
            <w:tcW w:w="144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3"/>
                <w:szCs w:val="13"/>
                <w:color w:val="auto"/>
              </w:rPr>
            </w:pPr>
          </w:p>
        </w:tc>
        <w:tc>
          <w:tcPr>
            <w:tcW w:w="148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94"/>
              </w:rPr>
              <w:t>Gross Carrying</w:t>
            </w:r>
          </w:p>
        </w:tc>
        <w:tc>
          <w:tcPr>
            <w:tcW w:w="220" w:type="dxa"/>
            <w:vAlign w:val="bottom"/>
          </w:tcPr>
          <w:p>
            <w:pPr>
              <w:spacing w:after="0"/>
              <w:rPr>
                <w:sz w:val="13"/>
                <w:szCs w:val="13"/>
                <w:color w:val="auto"/>
              </w:rPr>
            </w:pPr>
          </w:p>
        </w:tc>
        <w:tc>
          <w:tcPr>
            <w:tcW w:w="1240" w:type="dxa"/>
            <w:vAlign w:val="bottom"/>
          </w:tcPr>
          <w:p>
            <w:pPr>
              <w:jc w:val="right"/>
              <w:ind w:right="236"/>
              <w:spacing w:after="0" w:line="153" w:lineRule="exact"/>
              <w:rPr>
                <w:sz w:val="20"/>
                <w:szCs w:val="20"/>
                <w:color w:val="auto"/>
              </w:rPr>
            </w:pPr>
            <w:r>
              <w:rPr>
                <w:rFonts w:ascii="Arial" w:cs="Arial" w:eastAsia="Arial" w:hAnsi="Arial"/>
                <w:sz w:val="14"/>
                <w:szCs w:val="14"/>
                <w:b w:val="1"/>
                <w:bCs w:val="1"/>
                <w:color w:val="auto"/>
              </w:rPr>
              <w:t>Accumulated</w:t>
            </w:r>
          </w:p>
        </w:tc>
      </w:tr>
      <w:tr>
        <w:trPr>
          <w:trHeight w:val="192"/>
        </w:trPr>
        <w:tc>
          <w:tcPr>
            <w:tcW w:w="47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Amortization</w:t>
            </w:r>
          </w:p>
        </w:tc>
        <w:tc>
          <w:tcPr>
            <w:tcW w:w="2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Amortization</w:t>
            </w:r>
          </w:p>
        </w:tc>
      </w:tr>
      <w:tr>
        <w:trPr>
          <w:trHeight w:val="250"/>
        </w:trPr>
        <w:tc>
          <w:tcPr>
            <w:tcW w:w="4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120" w:type="dxa"/>
            <w:vAlign w:val="bottom"/>
            <w:gridSpan w:val="5"/>
          </w:tcPr>
          <w:p>
            <w:pPr>
              <w:ind w:left="90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56"/>
        </w:trPr>
        <w:tc>
          <w:tcPr>
            <w:tcW w:w="4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Customer relationships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152,909</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75,251</w:t>
            </w:r>
          </w:p>
        </w:tc>
        <w:tc>
          <w:tcPr>
            <w:tcW w:w="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153,950</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70,103</w:t>
            </w:r>
          </w:p>
        </w:tc>
      </w:tr>
      <w:tr>
        <w:trPr>
          <w:trHeight w:val="243"/>
        </w:trPr>
        <w:tc>
          <w:tcPr>
            <w:tcW w:w="4740" w:type="dxa"/>
            <w:vAlign w:val="bottom"/>
          </w:tcPr>
          <w:p>
            <w:pPr>
              <w:ind w:left="380"/>
              <w:spacing w:after="0"/>
              <w:rPr>
                <w:sz w:val="20"/>
                <w:szCs w:val="20"/>
                <w:color w:val="auto"/>
              </w:rPr>
            </w:pPr>
            <w:r>
              <w:rPr>
                <w:rFonts w:ascii="Arial" w:cs="Arial" w:eastAsia="Arial" w:hAnsi="Arial"/>
                <w:sz w:val="18"/>
                <w:szCs w:val="18"/>
                <w:color w:val="auto"/>
              </w:rPr>
              <w:t>Trademarks and trade names</w:t>
            </w:r>
          </w:p>
        </w:tc>
        <w:tc>
          <w:tcPr>
            <w:tcW w:w="180" w:type="dxa"/>
            <w:vAlign w:val="bottom"/>
          </w:tcPr>
          <w:p>
            <w:pPr>
              <w:spacing w:after="0"/>
              <w:rPr>
                <w:sz w:val="21"/>
                <w:szCs w:val="21"/>
                <w:color w:val="auto"/>
              </w:rPr>
            </w:pPr>
          </w:p>
        </w:tc>
        <w:tc>
          <w:tcPr>
            <w:tcW w:w="1300" w:type="dxa"/>
            <w:vAlign w:val="bottom"/>
          </w:tcPr>
          <w:p>
            <w:pPr>
              <w:jc w:val="right"/>
              <w:ind w:right="18"/>
              <w:spacing w:after="0"/>
              <w:rPr>
                <w:sz w:val="20"/>
                <w:szCs w:val="20"/>
                <w:color w:val="auto"/>
              </w:rPr>
            </w:pPr>
            <w:r>
              <w:rPr>
                <w:rFonts w:ascii="Arial" w:cs="Arial" w:eastAsia="Arial" w:hAnsi="Arial"/>
                <w:sz w:val="18"/>
                <w:szCs w:val="18"/>
                <w:color w:val="auto"/>
              </w:rPr>
              <w:t>55,425</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38"/>
              <w:spacing w:after="0"/>
              <w:rPr>
                <w:sz w:val="20"/>
                <w:szCs w:val="20"/>
                <w:color w:val="auto"/>
              </w:rPr>
            </w:pPr>
            <w:r>
              <w:rPr>
                <w:rFonts w:ascii="Arial" w:cs="Arial" w:eastAsia="Arial" w:hAnsi="Arial"/>
                <w:sz w:val="18"/>
                <w:szCs w:val="18"/>
                <w:color w:val="auto"/>
              </w:rPr>
              <w:t>36,158</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8"/>
              <w:spacing w:after="0"/>
              <w:rPr>
                <w:sz w:val="20"/>
                <w:szCs w:val="20"/>
                <w:color w:val="auto"/>
              </w:rPr>
            </w:pPr>
            <w:r>
              <w:rPr>
                <w:rFonts w:ascii="Arial" w:cs="Arial" w:eastAsia="Arial" w:hAnsi="Arial"/>
                <w:sz w:val="18"/>
                <w:szCs w:val="18"/>
                <w:color w:val="auto"/>
              </w:rPr>
              <w:t>55,745</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35,210</w:t>
            </w:r>
          </w:p>
        </w:tc>
      </w:tr>
      <w:tr>
        <w:trPr>
          <w:trHeight w:val="27"/>
        </w:trPr>
        <w:tc>
          <w:tcPr>
            <w:tcW w:w="4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Patents and other technology</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22,363</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20,383</w:t>
            </w:r>
          </w:p>
        </w:tc>
        <w:tc>
          <w:tcPr>
            <w:tcW w:w="2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22,386</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19,471</w:t>
            </w:r>
          </w:p>
        </w:tc>
      </w:tr>
      <w:tr>
        <w:trPr>
          <w:trHeight w:val="257"/>
        </w:trPr>
        <w:tc>
          <w:tcPr>
            <w:tcW w:w="4740" w:type="dxa"/>
            <w:vAlign w:val="bottom"/>
          </w:tcPr>
          <w:p>
            <w:pPr>
              <w:ind w:left="38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230,697</w:t>
            </w:r>
          </w:p>
        </w:tc>
        <w:tc>
          <w:tcPr>
            <w:tcW w:w="2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131,792</w:t>
            </w:r>
          </w:p>
        </w:tc>
        <w:tc>
          <w:tcPr>
            <w:tcW w:w="2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232,081</w:t>
            </w:r>
          </w:p>
        </w:tc>
        <w:tc>
          <w:tcPr>
            <w:tcW w:w="2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124,784</w:t>
            </w:r>
          </w:p>
        </w:tc>
      </w:tr>
      <w:tr>
        <w:trPr>
          <w:trHeight w:val="20"/>
        </w:trPr>
        <w:tc>
          <w:tcPr>
            <w:tcW w:w="4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had aggregate amortization expense related to intangible assets for the three and six months ended April 30, 2020 of $3.6 million and $7.4 million, respectively, and $3.7 million and $7.9 million, respectively, for the comparable prior year periods.</w:t>
      </w:r>
    </w:p>
    <w:p>
      <w:pPr>
        <w:sectPr>
          <w:pgSz w:w="11900" w:h="16838" w:orient="portrait"/>
          <w:cols w:equalWidth="0" w:num="1">
            <w:col w:w="11240"/>
          </w:cols>
          <w:pgMar w:left="320" w:top="125" w:right="339" w:bottom="1440"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240"/>
          </w:cols>
          <w:pgMar w:left="320" w:top="125" w:right="33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UNAUDITED CONDENSED CONSOLIDATED FINANCIAL STATEMENTS </w:t>
      </w:r>
      <w:r>
        <w:rPr>
          <w:rFonts w:ascii="Arial" w:cs="Arial" w:eastAsia="Arial" w:hAnsi="Arial"/>
          <w:sz w:val="18"/>
          <w:szCs w:val="18"/>
          <w:color w:val="auto"/>
        </w:rPr>
        <w:t>(continued)</w:t>
      </w:r>
    </w:p>
    <w:p>
      <w:pPr>
        <w:spacing w:after="0" w:line="37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Estimated remaining amortization expense, based on current intangible balances, for each of the fiscal years ending October 31, is as follows (in thousands):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jc w:val="right"/>
              <w:ind w:right="672"/>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92"/>
        </w:trPr>
        <w:tc>
          <w:tcPr>
            <w:tcW w:w="822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600" w:type="dxa"/>
            <w:vAlign w:val="bottom"/>
            <w:tcBorders>
              <w:bottom w:val="single" w:sz="8" w:color="CCEEFF"/>
            </w:tcBorders>
          </w:tcPr>
          <w:p>
            <w:pPr>
              <w:spacing w:after="0"/>
              <w:rPr>
                <w:sz w:val="16"/>
                <w:szCs w:val="16"/>
                <w:color w:val="auto"/>
              </w:rPr>
            </w:pPr>
          </w:p>
        </w:tc>
        <w:tc>
          <w:tcPr>
            <w:tcW w:w="2140" w:type="dxa"/>
            <w:vAlign w:val="bottom"/>
            <w:tcBorders>
              <w:bottom w:val="single" w:sz="8" w:color="auto"/>
            </w:tcBorders>
            <w:gridSpan w:val="4"/>
          </w:tcPr>
          <w:p>
            <w:pPr>
              <w:jc w:val="right"/>
              <w:ind w:right="292"/>
              <w:spacing w:after="0"/>
              <w:rPr>
                <w:sz w:val="20"/>
                <w:szCs w:val="20"/>
                <w:color w:val="auto"/>
              </w:rPr>
            </w:pPr>
            <w:r>
              <w:rPr>
                <w:rFonts w:ascii="Arial" w:cs="Arial" w:eastAsia="Arial" w:hAnsi="Arial"/>
                <w:sz w:val="14"/>
                <w:szCs w:val="14"/>
                <w:b w:val="1"/>
                <w:bCs w:val="1"/>
                <w:color w:val="auto"/>
              </w:rPr>
              <w:t>Amortization Expense</w:t>
            </w:r>
          </w:p>
        </w:tc>
        <w:tc>
          <w:tcPr>
            <w:tcW w:w="0" w:type="dxa"/>
            <w:vAlign w:val="bottom"/>
          </w:tcPr>
          <w:p>
            <w:pPr>
              <w:spacing w:after="0"/>
              <w:rPr>
                <w:sz w:val="1"/>
                <w:szCs w:val="1"/>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 (remaining six months)</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388"/>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6,876</w:t>
            </w:r>
          </w:p>
        </w:tc>
        <w:tc>
          <w:tcPr>
            <w:tcW w:w="0" w:type="dxa"/>
            <w:vAlign w:val="bottom"/>
          </w:tcPr>
          <w:p>
            <w:pPr>
              <w:spacing w:after="0"/>
              <w:rPr>
                <w:sz w:val="1"/>
                <w:szCs w:val="1"/>
                <w:color w:val="auto"/>
              </w:rPr>
            </w:pP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2021</w:t>
            </w:r>
          </w:p>
        </w:tc>
        <w:tc>
          <w:tcPr>
            <w:tcW w:w="2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12,487</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2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11,867</w:t>
            </w:r>
          </w:p>
        </w:tc>
        <w:tc>
          <w:tcPr>
            <w:tcW w:w="0" w:type="dxa"/>
            <w:vAlign w:val="bottom"/>
          </w:tcPr>
          <w:p>
            <w:pPr>
              <w:spacing w:after="0"/>
              <w:rPr>
                <w:sz w:val="1"/>
                <w:szCs w:val="1"/>
                <w:color w:val="auto"/>
              </w:rPr>
            </w:pP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2023</w:t>
            </w:r>
          </w:p>
        </w:tc>
        <w:tc>
          <w:tcPr>
            <w:tcW w:w="2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11,120</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2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10,388</w:t>
            </w:r>
          </w:p>
        </w:tc>
        <w:tc>
          <w:tcPr>
            <w:tcW w:w="0" w:type="dxa"/>
            <w:vAlign w:val="bottom"/>
          </w:tcPr>
          <w:p>
            <w:pPr>
              <w:spacing w:after="0"/>
              <w:rPr>
                <w:sz w:val="1"/>
                <w:szCs w:val="1"/>
                <w:color w:val="auto"/>
              </w:rPr>
            </w:pP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46,167</w:t>
            </w:r>
          </w:p>
        </w:tc>
        <w:tc>
          <w:tcPr>
            <w:tcW w:w="0" w:type="dxa"/>
            <w:vAlign w:val="bottom"/>
          </w:tcPr>
          <w:p>
            <w:pPr>
              <w:spacing w:after="0"/>
              <w:rPr>
                <w:sz w:val="1"/>
                <w:szCs w:val="1"/>
                <w:color w:val="auto"/>
              </w:rPr>
            </w:pPr>
          </w:p>
        </w:tc>
      </w:tr>
      <w:tr>
        <w:trPr>
          <w:trHeight w:val="27"/>
        </w:trPr>
        <w:tc>
          <w:tcPr>
            <w:tcW w:w="82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8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38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98,905</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5. Debt and Finance Lease Obligations</w:t>
            </w:r>
          </w:p>
        </w:tc>
        <w:tc>
          <w:tcPr>
            <w:tcW w:w="2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7"/>
        </w:trPr>
        <w:tc>
          <w:tcPr>
            <w:tcW w:w="82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220" w:type="dxa"/>
            <w:vAlign w:val="bottom"/>
          </w:tcPr>
          <w:p>
            <w:pPr>
              <w:ind w:left="440"/>
              <w:spacing w:after="0"/>
              <w:rPr>
                <w:sz w:val="20"/>
                <w:szCs w:val="20"/>
                <w:color w:val="auto"/>
              </w:rPr>
            </w:pPr>
            <w:r>
              <w:rPr>
                <w:rFonts w:ascii="Arial" w:cs="Arial" w:eastAsia="Arial" w:hAnsi="Arial"/>
                <w:sz w:val="18"/>
                <w:szCs w:val="18"/>
                <w:color w:val="auto"/>
              </w:rPr>
              <w:t>Debt consisted of the following at April 30, 2020 and October 31, 2019:</w:t>
            </w: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8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7"/>
              </w:rPr>
              <w:t>April 30,</w:t>
            </w:r>
          </w:p>
        </w:tc>
        <w:tc>
          <w:tcPr>
            <w:tcW w:w="240" w:type="dxa"/>
            <w:vAlign w:val="bottom"/>
          </w:tcPr>
          <w:p>
            <w:pPr>
              <w:spacing w:after="0"/>
              <w:rPr>
                <w:sz w:val="24"/>
                <w:szCs w:val="24"/>
                <w:color w:val="auto"/>
              </w:rPr>
            </w:pPr>
          </w:p>
        </w:tc>
        <w:tc>
          <w:tcPr>
            <w:tcW w:w="1220" w:type="dxa"/>
            <w:vAlign w:val="bottom"/>
          </w:tcPr>
          <w:p>
            <w:pPr>
              <w:jc w:val="right"/>
              <w:ind w:right="292"/>
              <w:spacing w:after="0"/>
              <w:rPr>
                <w:sz w:val="20"/>
                <w:szCs w:val="20"/>
                <w:color w:val="auto"/>
              </w:rPr>
            </w:pPr>
            <w:r>
              <w:rPr>
                <w:rFonts w:ascii="Arial" w:cs="Arial" w:eastAsia="Arial" w:hAnsi="Arial"/>
                <w:sz w:val="14"/>
                <w:szCs w:val="14"/>
                <w:b w:val="1"/>
                <w:bCs w:val="1"/>
                <w:color w:val="auto"/>
              </w:rPr>
              <w:t>October 31,</w:t>
            </w:r>
          </w:p>
        </w:tc>
        <w:tc>
          <w:tcPr>
            <w:tcW w:w="0" w:type="dxa"/>
            <w:vAlign w:val="bottom"/>
          </w:tcPr>
          <w:p>
            <w:pPr>
              <w:spacing w:after="0"/>
              <w:rPr>
                <w:sz w:val="1"/>
                <w:szCs w:val="1"/>
                <w:color w:val="auto"/>
              </w:rPr>
            </w:pPr>
          </w:p>
        </w:tc>
      </w:tr>
      <w:tr>
        <w:trPr>
          <w:trHeight w:val="192"/>
        </w:trPr>
        <w:tc>
          <w:tcPr>
            <w:tcW w:w="82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96"/>
        </w:trPr>
        <w:tc>
          <w:tcPr>
            <w:tcW w:w="8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140" w:type="dxa"/>
            <w:vAlign w:val="bottom"/>
            <w:gridSpan w:val="4"/>
          </w:tcPr>
          <w:p>
            <w:pPr>
              <w:jc w:val="right"/>
              <w:ind w:right="972"/>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56"/>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Revolving Credit Facility</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216,000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142,500</w:t>
            </w:r>
          </w:p>
        </w:tc>
        <w:tc>
          <w:tcPr>
            <w:tcW w:w="0" w:type="dxa"/>
            <w:vAlign w:val="bottom"/>
          </w:tcPr>
          <w:p>
            <w:pPr>
              <w:spacing w:after="0"/>
              <w:rPr>
                <w:sz w:val="1"/>
                <w:szCs w:val="1"/>
                <w:color w:val="auto"/>
              </w:rPr>
            </w:pP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Finance lease obligations and other</w:t>
            </w:r>
          </w:p>
        </w:tc>
        <w:tc>
          <w:tcPr>
            <w:tcW w:w="280" w:type="dxa"/>
            <w:vAlign w:val="bottom"/>
          </w:tcPr>
          <w:p>
            <w:pPr>
              <w:spacing w:after="0"/>
              <w:rPr>
                <w:sz w:val="21"/>
                <w:szCs w:val="21"/>
                <w:color w:val="auto"/>
              </w:rPr>
            </w:pPr>
          </w:p>
        </w:tc>
        <w:tc>
          <w:tcPr>
            <w:tcW w:w="1180" w:type="dxa"/>
            <w:vAlign w:val="bottom"/>
            <w:gridSpan w:val="2"/>
          </w:tcPr>
          <w:p>
            <w:pPr>
              <w:jc w:val="right"/>
              <w:ind w:right="48"/>
              <w:spacing w:after="0"/>
              <w:rPr>
                <w:sz w:val="20"/>
                <w:szCs w:val="20"/>
                <w:color w:val="auto"/>
              </w:rPr>
            </w:pPr>
            <w:r>
              <w:rPr>
                <w:rFonts w:ascii="Arial" w:cs="Arial" w:eastAsia="Arial" w:hAnsi="Arial"/>
                <w:sz w:val="18"/>
                <w:szCs w:val="18"/>
                <w:color w:val="auto"/>
              </w:rPr>
              <w:t>15,416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15,865</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Unamortized deferred financing fees</w:t>
            </w: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(1,053)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(1,205)</w:t>
            </w:r>
          </w:p>
        </w:tc>
        <w:tc>
          <w:tcPr>
            <w:tcW w:w="0" w:type="dxa"/>
            <w:vAlign w:val="bottom"/>
          </w:tcPr>
          <w:p>
            <w:pPr>
              <w:spacing w:after="0"/>
              <w:rPr>
                <w:sz w:val="1"/>
                <w:szCs w:val="1"/>
                <w:color w:val="auto"/>
              </w:rPr>
            </w:pPr>
          </w:p>
        </w:tc>
      </w:tr>
      <w:tr>
        <w:trPr>
          <w:trHeight w:val="237"/>
        </w:trPr>
        <w:tc>
          <w:tcPr>
            <w:tcW w:w="8220" w:type="dxa"/>
            <w:vAlign w:val="bottom"/>
          </w:tcPr>
          <w:p>
            <w:pPr>
              <w:ind w:left="380"/>
              <w:spacing w:after="0"/>
              <w:rPr>
                <w:sz w:val="20"/>
                <w:szCs w:val="20"/>
                <w:color w:val="auto"/>
              </w:rPr>
            </w:pPr>
            <w:r>
              <w:rPr>
                <w:rFonts w:ascii="Arial" w:cs="Arial" w:eastAsia="Arial" w:hAnsi="Arial"/>
                <w:sz w:val="18"/>
                <w:szCs w:val="18"/>
                <w:color w:val="auto"/>
              </w:rPr>
              <w:t>Total debt</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gridSpan w:val="2"/>
          </w:tcPr>
          <w:p>
            <w:pPr>
              <w:jc w:val="right"/>
              <w:ind w:right="48"/>
              <w:spacing w:after="0"/>
              <w:rPr>
                <w:sz w:val="20"/>
                <w:szCs w:val="20"/>
                <w:color w:val="auto"/>
              </w:rPr>
            </w:pPr>
            <w:r>
              <w:rPr>
                <w:rFonts w:ascii="Arial" w:cs="Arial" w:eastAsia="Arial" w:hAnsi="Arial"/>
                <w:sz w:val="18"/>
                <w:szCs w:val="18"/>
                <w:color w:val="auto"/>
              </w:rPr>
              <w:t>230,363</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157,160</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Less: Current maturities of long-term debt</w:t>
            </w: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666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746</w:t>
            </w:r>
          </w:p>
        </w:tc>
        <w:tc>
          <w:tcPr>
            <w:tcW w:w="0" w:type="dxa"/>
            <w:vAlign w:val="bottom"/>
          </w:tcPr>
          <w:p>
            <w:pPr>
              <w:spacing w:after="0"/>
              <w:rPr>
                <w:sz w:val="1"/>
                <w:szCs w:val="1"/>
                <w:color w:val="auto"/>
              </w:rPr>
            </w:pPr>
          </w:p>
        </w:tc>
      </w:tr>
      <w:tr>
        <w:trPr>
          <w:trHeight w:val="257"/>
        </w:trPr>
        <w:tc>
          <w:tcPr>
            <w:tcW w:w="8220" w:type="dxa"/>
            <w:vAlign w:val="bottom"/>
          </w:tcPr>
          <w:p>
            <w:pPr>
              <w:ind w:left="500"/>
              <w:spacing w:after="0"/>
              <w:rPr>
                <w:sz w:val="20"/>
                <w:szCs w:val="20"/>
                <w:color w:val="auto"/>
              </w:rPr>
            </w:pPr>
            <w:r>
              <w:rPr>
                <w:rFonts w:ascii="Arial" w:cs="Arial" w:eastAsia="Arial" w:hAnsi="Arial"/>
                <w:sz w:val="18"/>
                <w:szCs w:val="18"/>
                <w:color w:val="auto"/>
              </w:rPr>
              <w:t>Long-term debt</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gridSpan w:val="2"/>
          </w:tcPr>
          <w:p>
            <w:pPr>
              <w:jc w:val="right"/>
              <w:ind w:right="48"/>
              <w:spacing w:after="0"/>
              <w:rPr>
                <w:sz w:val="20"/>
                <w:szCs w:val="20"/>
                <w:color w:val="auto"/>
              </w:rPr>
            </w:pPr>
            <w:r>
              <w:rPr>
                <w:rFonts w:ascii="Arial" w:cs="Arial" w:eastAsia="Arial" w:hAnsi="Arial"/>
                <w:sz w:val="18"/>
                <w:szCs w:val="18"/>
                <w:color w:val="auto"/>
              </w:rPr>
              <w:t>229,697</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156,414</w:t>
            </w: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As more fully described in our Annual Report on Form 10-K for the year ended October 31, 2019, on October 18, 2018, we amended and extended our prior credit facility by entering into a $325.0 million revolving credit facility (the “Credit Facility”), with Wells Fargo Bank, National Association, as Agent, Swingline Lender and Issuing Lender, and Bank of America, N.A. serving as Syndication Agent. The Credit Facility has a five-year term, maturing on October 18, 2023, and requires interest payments calculated, at our election and depending upon our Consolidated Leverage Ratio, at either a Base Rate plus an applicable margin or the LIBOR Rate plus an applicable margin. The Credit Facility contains appropriate provisions to substitute LIBOR with a replacement rate if necessary. In addition, we are subject to commitment fees for the unused portion of the Credit Facility.</w:t>
      </w:r>
    </w:p>
    <w:p>
      <w:pPr>
        <w:spacing w:after="0" w:line="8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applicable margin and commitment fees are outlined in the following table:</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0"/>
              </w:rPr>
              <w:t>Pricing Level</w:t>
            </w:r>
          </w:p>
        </w:tc>
        <w:tc>
          <w:tcPr>
            <w:tcW w:w="3440" w:type="dxa"/>
            <w:vAlign w:val="bottom"/>
          </w:tcPr>
          <w:p>
            <w:pPr>
              <w:ind w:left="640"/>
              <w:spacing w:after="0"/>
              <w:rPr>
                <w:sz w:val="20"/>
                <w:szCs w:val="20"/>
                <w:color w:val="auto"/>
              </w:rPr>
            </w:pPr>
            <w:r>
              <w:rPr>
                <w:rFonts w:ascii="Arial" w:cs="Arial" w:eastAsia="Arial" w:hAnsi="Arial"/>
                <w:sz w:val="18"/>
                <w:szCs w:val="18"/>
                <w:b w:val="1"/>
                <w:bCs w:val="1"/>
                <w:color w:val="auto"/>
              </w:rPr>
              <w:t>Consolidated Leverage Ratio</w:t>
            </w:r>
          </w:p>
        </w:tc>
        <w:tc>
          <w:tcPr>
            <w:tcW w:w="1960" w:type="dxa"/>
            <w:vAlign w:val="bottom"/>
          </w:tcPr>
          <w:p>
            <w:pPr>
              <w:jc w:val="center"/>
              <w:spacing w:after="0"/>
              <w:rPr>
                <w:sz w:val="20"/>
                <w:szCs w:val="20"/>
                <w:color w:val="auto"/>
              </w:rPr>
            </w:pPr>
            <w:r>
              <w:rPr>
                <w:rFonts w:ascii="Arial" w:cs="Arial" w:eastAsia="Arial" w:hAnsi="Arial"/>
                <w:sz w:val="18"/>
                <w:szCs w:val="18"/>
                <w:b w:val="1"/>
                <w:bCs w:val="1"/>
                <w:color w:val="auto"/>
                <w:w w:val="90"/>
              </w:rPr>
              <w:t>Commitment Fee</w:t>
            </w:r>
          </w:p>
        </w:tc>
        <w:tc>
          <w:tcPr>
            <w:tcW w:w="228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LIBOR Rate Loans</w:t>
            </w:r>
          </w:p>
        </w:tc>
        <w:tc>
          <w:tcPr>
            <w:tcW w:w="2220" w:type="dxa"/>
            <w:vAlign w:val="bottom"/>
          </w:tcPr>
          <w:p>
            <w:pPr>
              <w:jc w:val="center"/>
              <w:spacing w:after="0"/>
              <w:rPr>
                <w:sz w:val="20"/>
                <w:szCs w:val="20"/>
                <w:color w:val="auto"/>
              </w:rPr>
            </w:pPr>
            <w:r>
              <w:rPr>
                <w:rFonts w:ascii="Arial" w:cs="Arial" w:eastAsia="Arial" w:hAnsi="Arial"/>
                <w:sz w:val="18"/>
                <w:szCs w:val="18"/>
                <w:b w:val="1"/>
                <w:bCs w:val="1"/>
                <w:color w:val="auto"/>
                <w:w w:val="88"/>
              </w:rPr>
              <w:t>Base Rate Loans</w:t>
            </w:r>
          </w:p>
        </w:tc>
      </w:tr>
      <w:tr>
        <w:trPr>
          <w:trHeight w:val="34"/>
        </w:trPr>
        <w:tc>
          <w:tcPr>
            <w:tcW w:w="134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r>
      <w:tr>
        <w:trPr>
          <w:trHeight w:val="250"/>
        </w:trPr>
        <w:tc>
          <w:tcPr>
            <w:tcW w:w="1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I</w:t>
            </w:r>
          </w:p>
        </w:tc>
        <w:tc>
          <w:tcPr>
            <w:tcW w:w="3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Less than or equal to 1.50 to 1.00</w:t>
            </w:r>
          </w:p>
        </w:tc>
        <w:tc>
          <w:tcPr>
            <w:tcW w:w="1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0.200%</w:t>
            </w:r>
          </w:p>
        </w:tc>
        <w:tc>
          <w:tcPr>
            <w:tcW w:w="2280" w:type="dxa"/>
            <w:vAlign w:val="bottom"/>
            <w:tcBorders>
              <w:bottom w:val="single" w:sz="8" w:color="CCEEFF"/>
            </w:tcBorders>
            <w:shd w:val="clear" w:color="auto" w:fill="CCEEFF"/>
          </w:tcPr>
          <w:p>
            <w:pPr>
              <w:jc w:val="center"/>
              <w:ind w:right="50"/>
              <w:spacing w:after="0"/>
              <w:rPr>
                <w:sz w:val="20"/>
                <w:szCs w:val="20"/>
                <w:color w:val="auto"/>
              </w:rPr>
            </w:pPr>
            <w:r>
              <w:rPr>
                <w:rFonts w:ascii="Arial" w:cs="Arial" w:eastAsia="Arial" w:hAnsi="Arial"/>
                <w:sz w:val="18"/>
                <w:szCs w:val="18"/>
                <w:color w:val="auto"/>
                <w:w w:val="90"/>
              </w:rPr>
              <w:t>1.25%</w:t>
            </w:r>
          </w:p>
        </w:tc>
        <w:tc>
          <w:tcPr>
            <w:tcW w:w="2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0.25%</w:t>
            </w:r>
          </w:p>
        </w:tc>
      </w:tr>
      <w:tr>
        <w:trPr>
          <w:trHeight w:val="229"/>
        </w:trPr>
        <w:tc>
          <w:tcPr>
            <w:tcW w:w="1340" w:type="dxa"/>
            <w:vAlign w:val="bottom"/>
          </w:tcPr>
          <w:p>
            <w:pPr>
              <w:spacing w:after="0"/>
              <w:rPr>
                <w:sz w:val="19"/>
                <w:szCs w:val="19"/>
                <w:color w:val="auto"/>
              </w:rPr>
            </w:pPr>
          </w:p>
        </w:tc>
        <w:tc>
          <w:tcPr>
            <w:tcW w:w="3440" w:type="dxa"/>
            <w:vAlign w:val="bottom"/>
          </w:tcPr>
          <w:p>
            <w:pPr>
              <w:ind w:left="160"/>
              <w:spacing w:after="0"/>
              <w:rPr>
                <w:sz w:val="20"/>
                <w:szCs w:val="20"/>
                <w:color w:val="auto"/>
              </w:rPr>
            </w:pPr>
            <w:r>
              <w:rPr>
                <w:rFonts w:ascii="Arial" w:cs="Arial" w:eastAsia="Arial" w:hAnsi="Arial"/>
                <w:sz w:val="18"/>
                <w:szCs w:val="18"/>
                <w:color w:val="auto"/>
                <w:w w:val="97"/>
              </w:rPr>
              <w:t>Greater than 1.50 to 1.00, but less than or</w:t>
            </w:r>
          </w:p>
        </w:tc>
        <w:tc>
          <w:tcPr>
            <w:tcW w:w="196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2220" w:type="dxa"/>
            <w:vAlign w:val="bottom"/>
          </w:tcPr>
          <w:p>
            <w:pPr>
              <w:spacing w:after="0"/>
              <w:rPr>
                <w:sz w:val="19"/>
                <w:szCs w:val="19"/>
                <w:color w:val="auto"/>
              </w:rPr>
            </w:pPr>
          </w:p>
        </w:tc>
      </w:tr>
      <w:tr>
        <w:trPr>
          <w:trHeight w:val="230"/>
        </w:trPr>
        <w:tc>
          <w:tcPr>
            <w:tcW w:w="1340" w:type="dxa"/>
            <w:vAlign w:val="bottom"/>
          </w:tcPr>
          <w:p>
            <w:pPr>
              <w:jc w:val="center"/>
              <w:spacing w:after="0"/>
              <w:rPr>
                <w:sz w:val="20"/>
                <w:szCs w:val="20"/>
                <w:color w:val="auto"/>
              </w:rPr>
            </w:pPr>
            <w:r>
              <w:rPr>
                <w:rFonts w:ascii="Arial" w:cs="Arial" w:eastAsia="Arial" w:hAnsi="Arial"/>
                <w:sz w:val="18"/>
                <w:szCs w:val="18"/>
                <w:color w:val="auto"/>
              </w:rPr>
              <w:t>II</w:t>
            </w:r>
          </w:p>
        </w:tc>
        <w:tc>
          <w:tcPr>
            <w:tcW w:w="3440" w:type="dxa"/>
            <w:vAlign w:val="bottom"/>
          </w:tcPr>
          <w:p>
            <w:pPr>
              <w:ind w:left="160"/>
              <w:spacing w:after="0"/>
              <w:rPr>
                <w:sz w:val="20"/>
                <w:szCs w:val="20"/>
                <w:color w:val="auto"/>
              </w:rPr>
            </w:pPr>
            <w:r>
              <w:rPr>
                <w:rFonts w:ascii="Arial" w:cs="Arial" w:eastAsia="Arial" w:hAnsi="Arial"/>
                <w:sz w:val="18"/>
                <w:szCs w:val="18"/>
                <w:color w:val="auto"/>
              </w:rPr>
              <w:t>equal to 2.25 to 1.00</w:t>
            </w:r>
          </w:p>
        </w:tc>
        <w:tc>
          <w:tcPr>
            <w:tcW w:w="1960" w:type="dxa"/>
            <w:vAlign w:val="bottom"/>
          </w:tcPr>
          <w:p>
            <w:pPr>
              <w:jc w:val="center"/>
              <w:spacing w:after="0"/>
              <w:rPr>
                <w:sz w:val="20"/>
                <w:szCs w:val="20"/>
                <w:color w:val="auto"/>
              </w:rPr>
            </w:pPr>
            <w:r>
              <w:rPr>
                <w:rFonts w:ascii="Arial" w:cs="Arial" w:eastAsia="Arial" w:hAnsi="Arial"/>
                <w:sz w:val="18"/>
                <w:szCs w:val="18"/>
                <w:color w:val="auto"/>
                <w:w w:val="91"/>
              </w:rPr>
              <w:t>0.225%</w:t>
            </w:r>
          </w:p>
        </w:tc>
        <w:tc>
          <w:tcPr>
            <w:tcW w:w="2280" w:type="dxa"/>
            <w:vAlign w:val="bottom"/>
          </w:tcPr>
          <w:p>
            <w:pPr>
              <w:jc w:val="center"/>
              <w:ind w:right="50"/>
              <w:spacing w:after="0"/>
              <w:rPr>
                <w:sz w:val="20"/>
                <w:szCs w:val="20"/>
                <w:color w:val="auto"/>
              </w:rPr>
            </w:pPr>
            <w:r>
              <w:rPr>
                <w:rFonts w:ascii="Arial" w:cs="Arial" w:eastAsia="Arial" w:hAnsi="Arial"/>
                <w:sz w:val="18"/>
                <w:szCs w:val="18"/>
                <w:color w:val="auto"/>
                <w:w w:val="90"/>
              </w:rPr>
              <w:t>1.50%</w:t>
            </w:r>
          </w:p>
        </w:tc>
        <w:tc>
          <w:tcPr>
            <w:tcW w:w="2220" w:type="dxa"/>
            <w:vAlign w:val="bottom"/>
          </w:tcPr>
          <w:p>
            <w:pPr>
              <w:jc w:val="center"/>
              <w:spacing w:after="0"/>
              <w:rPr>
                <w:sz w:val="20"/>
                <w:szCs w:val="20"/>
                <w:color w:val="auto"/>
              </w:rPr>
            </w:pPr>
            <w:r>
              <w:rPr>
                <w:rFonts w:ascii="Arial" w:cs="Arial" w:eastAsia="Arial" w:hAnsi="Arial"/>
                <w:sz w:val="18"/>
                <w:szCs w:val="18"/>
                <w:color w:val="auto"/>
                <w:w w:val="90"/>
              </w:rPr>
              <w:t>0.50%</w:t>
            </w:r>
          </w:p>
        </w:tc>
      </w:tr>
      <w:tr>
        <w:trPr>
          <w:trHeight w:val="27"/>
        </w:trPr>
        <w:tc>
          <w:tcPr>
            <w:tcW w:w="134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29"/>
        </w:trPr>
        <w:tc>
          <w:tcPr>
            <w:tcW w:w="1340" w:type="dxa"/>
            <w:vAlign w:val="bottom"/>
            <w:shd w:val="clear" w:color="auto" w:fill="CCEEFF"/>
          </w:tcPr>
          <w:p>
            <w:pPr>
              <w:spacing w:after="0"/>
              <w:rPr>
                <w:sz w:val="19"/>
                <w:szCs w:val="19"/>
                <w:color w:val="auto"/>
              </w:rPr>
            </w:pPr>
          </w:p>
        </w:tc>
        <w:tc>
          <w:tcPr>
            <w:tcW w:w="34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7"/>
              </w:rPr>
              <w:t>Greater than 2.25 to 1.00, but less than or</w:t>
            </w:r>
          </w:p>
        </w:tc>
        <w:tc>
          <w:tcPr>
            <w:tcW w:w="1960" w:type="dxa"/>
            <w:vAlign w:val="bottom"/>
            <w:shd w:val="clear" w:color="auto" w:fill="CCEEFF"/>
          </w:tcPr>
          <w:p>
            <w:pPr>
              <w:spacing w:after="0"/>
              <w:rPr>
                <w:sz w:val="19"/>
                <w:szCs w:val="19"/>
                <w:color w:val="auto"/>
              </w:rPr>
            </w:pPr>
          </w:p>
        </w:tc>
        <w:tc>
          <w:tcPr>
            <w:tcW w:w="2280" w:type="dxa"/>
            <w:vAlign w:val="bottom"/>
            <w:shd w:val="clear" w:color="auto" w:fill="CCEEFF"/>
          </w:tcPr>
          <w:p>
            <w:pPr>
              <w:spacing w:after="0"/>
              <w:rPr>
                <w:sz w:val="19"/>
                <w:szCs w:val="19"/>
                <w:color w:val="auto"/>
              </w:rPr>
            </w:pPr>
          </w:p>
        </w:tc>
        <w:tc>
          <w:tcPr>
            <w:tcW w:w="2220" w:type="dxa"/>
            <w:vAlign w:val="bottom"/>
            <w:shd w:val="clear" w:color="auto" w:fill="CCEEFF"/>
          </w:tcPr>
          <w:p>
            <w:pPr>
              <w:spacing w:after="0"/>
              <w:rPr>
                <w:sz w:val="19"/>
                <w:szCs w:val="19"/>
                <w:color w:val="auto"/>
              </w:rPr>
            </w:pPr>
          </w:p>
        </w:tc>
      </w:tr>
      <w:tr>
        <w:trPr>
          <w:trHeight w:val="237"/>
        </w:trPr>
        <w:tc>
          <w:tcPr>
            <w:tcW w:w="1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III</w:t>
            </w:r>
          </w:p>
        </w:tc>
        <w:tc>
          <w:tcPr>
            <w:tcW w:w="3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equal to 3.00 to 1.00</w:t>
            </w:r>
          </w:p>
        </w:tc>
        <w:tc>
          <w:tcPr>
            <w:tcW w:w="1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0.250%</w:t>
            </w:r>
          </w:p>
        </w:tc>
        <w:tc>
          <w:tcPr>
            <w:tcW w:w="2280" w:type="dxa"/>
            <w:vAlign w:val="bottom"/>
            <w:tcBorders>
              <w:bottom w:val="single" w:sz="8" w:color="CCEEFF"/>
            </w:tcBorders>
            <w:shd w:val="clear" w:color="auto" w:fill="CCEEFF"/>
          </w:tcPr>
          <w:p>
            <w:pPr>
              <w:jc w:val="center"/>
              <w:ind w:right="50"/>
              <w:spacing w:after="0"/>
              <w:rPr>
                <w:sz w:val="20"/>
                <w:szCs w:val="20"/>
                <w:color w:val="auto"/>
              </w:rPr>
            </w:pPr>
            <w:r>
              <w:rPr>
                <w:rFonts w:ascii="Arial" w:cs="Arial" w:eastAsia="Arial" w:hAnsi="Arial"/>
                <w:sz w:val="18"/>
                <w:szCs w:val="18"/>
                <w:color w:val="auto"/>
                <w:w w:val="90"/>
              </w:rPr>
              <w:t>1.75%</w:t>
            </w:r>
          </w:p>
        </w:tc>
        <w:tc>
          <w:tcPr>
            <w:tcW w:w="2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0.75%</w:t>
            </w:r>
          </w:p>
        </w:tc>
      </w:tr>
      <w:tr>
        <w:trPr>
          <w:trHeight w:val="243"/>
        </w:trPr>
        <w:tc>
          <w:tcPr>
            <w:tcW w:w="1340" w:type="dxa"/>
            <w:vAlign w:val="bottom"/>
          </w:tcPr>
          <w:p>
            <w:pPr>
              <w:jc w:val="center"/>
              <w:spacing w:after="0"/>
              <w:rPr>
                <w:sz w:val="20"/>
                <w:szCs w:val="20"/>
                <w:color w:val="auto"/>
              </w:rPr>
            </w:pPr>
            <w:r>
              <w:rPr>
                <w:rFonts w:ascii="Arial" w:cs="Arial" w:eastAsia="Arial" w:hAnsi="Arial"/>
                <w:sz w:val="18"/>
                <w:szCs w:val="18"/>
                <w:color w:val="auto"/>
              </w:rPr>
              <w:t>IV</w:t>
            </w:r>
          </w:p>
        </w:tc>
        <w:tc>
          <w:tcPr>
            <w:tcW w:w="3440" w:type="dxa"/>
            <w:vAlign w:val="bottom"/>
          </w:tcPr>
          <w:p>
            <w:pPr>
              <w:ind w:left="160"/>
              <w:spacing w:after="0"/>
              <w:rPr>
                <w:sz w:val="20"/>
                <w:szCs w:val="20"/>
                <w:color w:val="auto"/>
              </w:rPr>
            </w:pPr>
            <w:r>
              <w:rPr>
                <w:rFonts w:ascii="Arial" w:cs="Arial" w:eastAsia="Arial" w:hAnsi="Arial"/>
                <w:sz w:val="18"/>
                <w:szCs w:val="18"/>
                <w:color w:val="auto"/>
              </w:rPr>
              <w:t>Greater than 3.00 to 1.00</w:t>
            </w:r>
          </w:p>
        </w:tc>
        <w:tc>
          <w:tcPr>
            <w:tcW w:w="1960" w:type="dxa"/>
            <w:vAlign w:val="bottom"/>
          </w:tcPr>
          <w:p>
            <w:pPr>
              <w:jc w:val="center"/>
              <w:spacing w:after="0"/>
              <w:rPr>
                <w:sz w:val="20"/>
                <w:szCs w:val="20"/>
                <w:color w:val="auto"/>
              </w:rPr>
            </w:pPr>
            <w:r>
              <w:rPr>
                <w:rFonts w:ascii="Arial" w:cs="Arial" w:eastAsia="Arial" w:hAnsi="Arial"/>
                <w:sz w:val="18"/>
                <w:szCs w:val="18"/>
                <w:color w:val="auto"/>
                <w:w w:val="91"/>
              </w:rPr>
              <w:t>0.300%</w:t>
            </w:r>
          </w:p>
        </w:tc>
        <w:tc>
          <w:tcPr>
            <w:tcW w:w="2280" w:type="dxa"/>
            <w:vAlign w:val="bottom"/>
          </w:tcPr>
          <w:p>
            <w:pPr>
              <w:jc w:val="center"/>
              <w:ind w:right="50"/>
              <w:spacing w:after="0"/>
              <w:rPr>
                <w:sz w:val="20"/>
                <w:szCs w:val="20"/>
                <w:color w:val="auto"/>
              </w:rPr>
            </w:pPr>
            <w:r>
              <w:rPr>
                <w:rFonts w:ascii="Arial" w:cs="Arial" w:eastAsia="Arial" w:hAnsi="Arial"/>
                <w:sz w:val="18"/>
                <w:szCs w:val="18"/>
                <w:color w:val="auto"/>
                <w:w w:val="90"/>
              </w:rPr>
              <w:t>2.00%</w:t>
            </w:r>
          </w:p>
        </w:tc>
        <w:tc>
          <w:tcPr>
            <w:tcW w:w="2220" w:type="dxa"/>
            <w:vAlign w:val="bottom"/>
          </w:tcPr>
          <w:p>
            <w:pPr>
              <w:jc w:val="center"/>
              <w:spacing w:after="0"/>
              <w:rPr>
                <w:sz w:val="20"/>
                <w:szCs w:val="20"/>
                <w:color w:val="auto"/>
              </w:rPr>
            </w:pPr>
            <w:r>
              <w:rPr>
                <w:rFonts w:ascii="Arial" w:cs="Arial" w:eastAsia="Arial" w:hAnsi="Arial"/>
                <w:sz w:val="18"/>
                <w:szCs w:val="18"/>
                <w:color w:val="auto"/>
                <w:w w:val="90"/>
              </w:rPr>
              <w:t>1.00%</w:t>
            </w:r>
          </w:p>
        </w:tc>
      </w:tr>
    </w:tbl>
    <w:p>
      <w:pPr>
        <w:spacing w:after="0" w:line="36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In the event of default, outstanding borrowings would accrue interest at the Default Rate, as defined, whereby the obligations will bear interest at a per annum rate equal to 2% above the total per annum rate otherwise applicable.</w:t>
      </w:r>
    </w:p>
    <w:p>
      <w:pPr>
        <w:spacing w:after="0" w:line="89" w:lineRule="exact"/>
        <w:rPr>
          <w:sz w:val="20"/>
          <w:szCs w:val="20"/>
          <w:color w:val="auto"/>
        </w:rPr>
      </w:pPr>
    </w:p>
    <w:p>
      <w:pPr>
        <w:jc w:val="both"/>
        <w:ind w:right="20" w:firstLine="405"/>
        <w:spacing w:after="0" w:line="263" w:lineRule="auto"/>
        <w:rPr>
          <w:sz w:val="20"/>
          <w:szCs w:val="20"/>
          <w:color w:val="auto"/>
        </w:rPr>
      </w:pPr>
      <w:r>
        <w:rPr>
          <w:rFonts w:ascii="Arial" w:cs="Arial" w:eastAsia="Arial" w:hAnsi="Arial"/>
          <w:sz w:val="18"/>
          <w:szCs w:val="18"/>
          <w:color w:val="auto"/>
        </w:rPr>
        <w:t>The Credit Facility contains a: (1) Consolidated Interest Coverage Ratio requirement whereby we must not permit the Consolidated Interest Coverage Ratio, as defined, to be less than 2.25 to 1.00, and (2) Consolidated Leverage Ratio requirement, whereby we must not permit the Consolidated Leverage Ratio, as defined, to be greater than 3.25 to 1.00.</w:t>
      </w:r>
    </w:p>
    <w:p>
      <w:pPr>
        <w:spacing w:after="0" w:line="10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In addition to maintaining these financial covenants, the Credit Facility also limits our ability to enter into certain business transactions, such as to incur indebtedness or liens, to acquire businesses or dispose of material assets, make restricted payments,</w:t>
      </w:r>
    </w:p>
    <w:p>
      <w:pPr>
        <w:sectPr>
          <w:pgSz w:w="11900" w:h="16838" w:orient="portrait"/>
          <w:cols w:equalWidth="0" w:num="1">
            <w:col w:w="11240"/>
          </w:cols>
          <w:pgMar w:left="320" w:top="125" w:right="339" w:bottom="1440"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240"/>
          </w:cols>
          <w:pgMar w:left="320" w:top="125" w:right="33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UNAUDITED CONDENSED CONSOLIDATED FINANCIAL STATEMENTS </w:t>
      </w:r>
      <w:r>
        <w:rPr>
          <w:rFonts w:ascii="Arial" w:cs="Arial" w:eastAsia="Arial" w:hAnsi="Arial"/>
          <w:sz w:val="18"/>
          <w:szCs w:val="18"/>
          <w:color w:val="auto"/>
        </w:rPr>
        <w:t>(continued)</w:t>
      </w:r>
    </w:p>
    <w:p>
      <w:pPr>
        <w:spacing w:after="0" w:line="34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pay dividends (limited to $20.0 million per year) and other transactions as further defined in the Credit Facility. Substantially all of our domestic assets, with the exception of real property, are utilized as collateral for the Credit Facility.</w:t>
      </w:r>
    </w:p>
    <w:p>
      <w:pPr>
        <w:spacing w:after="0" w:line="8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As of April 30, 2020, we had $216.0 million of borrowings outstanding under the Credit Agreement (reduced by unamortized debt issuance costs of $1.1 million), $4.8 million of outstanding letters of credit and $15.4 million outstanding primarily under finance leases and other debt. We had $104.2 million available for use under the Credit Agreement at April 30, 2020. Outstanding borrowings under the Credit Agreement accrue interest at 1.96% per annum. Our weighted average borrowing rate for borrowings outstanding during the six months ended April 30, 2020 and 2019 was 3.03% and 4.14%, respectively. We were in compliance with our debt covenants as of April 30, 2020.</w:t>
      </w:r>
    </w:p>
    <w:p>
      <w:pPr>
        <w:spacing w:after="0" w:line="107" w:lineRule="exact"/>
        <w:rPr>
          <w:sz w:val="20"/>
          <w:szCs w:val="20"/>
          <w:color w:val="auto"/>
        </w:rPr>
      </w:pPr>
    </w:p>
    <w:p>
      <w:pPr>
        <w:jc w:val="both"/>
        <w:ind w:right="20" w:firstLine="405"/>
        <w:spacing w:after="0" w:line="308" w:lineRule="auto"/>
        <w:rPr>
          <w:sz w:val="20"/>
          <w:szCs w:val="20"/>
          <w:color w:val="auto"/>
        </w:rPr>
      </w:pPr>
      <w:r>
        <w:rPr>
          <w:rFonts w:ascii="Arial" w:cs="Arial" w:eastAsia="Arial" w:hAnsi="Arial"/>
          <w:sz w:val="17"/>
          <w:szCs w:val="17"/>
          <w:color w:val="auto"/>
        </w:rPr>
        <w:t>In May 2020, we repaid $50.0 million of borrowings outstanding on the Credit Facility which were borrowed in March 2020 as a result of COVID-19. In the future, we may be required to borrow additional funds in order to be prepared for any unforeseen impacts of the COVID-19 pandemic.</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Debt Instruments</w:t>
      </w:r>
    </w:p>
    <w:p>
      <w:pPr>
        <w:spacing w:after="0" w:line="14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maintain certain finance lease obligations related to equipment purchases, vehicles, and warehouse space. Refer to Note 2, "Leases" for further information regarding our finance leases.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Retirement Plans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Pension Plan</w:t>
      </w:r>
    </w:p>
    <w:p>
      <w:pPr>
        <w:spacing w:after="0" w:line="17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Our non-contributory, single employer defined benefit pension plan covers a majority of our employees in the U.S. The net periodic pension cost for this plan for the three and six months ended April 30, 2020 and 2019 was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40" w:type="dxa"/>
            <w:vAlign w:val="bottom"/>
            <w:gridSpan w:val="3"/>
          </w:tcPr>
          <w:p>
            <w:pPr>
              <w:jc w:val="right"/>
              <w:ind w:right="256"/>
              <w:spacing w:after="0"/>
              <w:rPr>
                <w:sz w:val="20"/>
                <w:szCs w:val="20"/>
                <w:color w:val="auto"/>
              </w:rPr>
            </w:pPr>
            <w:r>
              <w:rPr>
                <w:rFonts w:ascii="Arial" w:cs="Arial" w:eastAsia="Arial" w:hAnsi="Arial"/>
                <w:sz w:val="14"/>
                <w:szCs w:val="14"/>
                <w:b w:val="1"/>
                <w:bCs w:val="1"/>
                <w:color w:val="auto"/>
                <w:w w:val="92"/>
              </w:rPr>
              <w:t>Three Months Ended</w:t>
            </w: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00" w:type="dxa"/>
            <w:vAlign w:val="bottom"/>
          </w:tcPr>
          <w:p>
            <w:pPr>
              <w:spacing w:after="0"/>
              <w:rPr>
                <w:sz w:val="16"/>
                <w:szCs w:val="16"/>
                <w:color w:val="auto"/>
              </w:rPr>
            </w:pPr>
          </w:p>
        </w:tc>
      </w:tr>
      <w:tr>
        <w:trPr>
          <w:trHeight w:val="276"/>
        </w:trPr>
        <w:tc>
          <w:tcPr>
            <w:tcW w:w="496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jc w:val="right"/>
              <w:ind w:right="636"/>
              <w:spacing w:after="0"/>
              <w:rPr>
                <w:sz w:val="20"/>
                <w:szCs w:val="20"/>
                <w:color w:val="auto"/>
              </w:rPr>
            </w:pPr>
            <w:r>
              <w:rPr>
                <w:rFonts w:ascii="Arial" w:cs="Arial" w:eastAsia="Arial" w:hAnsi="Arial"/>
                <w:sz w:val="14"/>
                <w:szCs w:val="14"/>
                <w:b w:val="1"/>
                <w:bCs w:val="1"/>
                <w:color w:val="auto"/>
              </w:rPr>
              <w:t>April 30,</w:t>
            </w:r>
          </w:p>
        </w:tc>
        <w:tc>
          <w:tcPr>
            <w:tcW w:w="5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4"/>
                <w:szCs w:val="14"/>
                <w:b w:val="1"/>
                <w:bCs w:val="1"/>
                <w:color w:val="auto"/>
              </w:rPr>
              <w:t>April 30,</w:t>
            </w:r>
          </w:p>
        </w:tc>
        <w:tc>
          <w:tcPr>
            <w:tcW w:w="900" w:type="dxa"/>
            <w:vAlign w:val="bottom"/>
            <w:tcBorders>
              <w:bottom w:val="single" w:sz="8" w:color="auto"/>
            </w:tcBorders>
          </w:tcPr>
          <w:p>
            <w:pPr>
              <w:spacing w:after="0"/>
              <w:rPr>
                <w:sz w:val="24"/>
                <w:szCs w:val="24"/>
                <w:color w:val="auto"/>
              </w:rPr>
            </w:pPr>
          </w:p>
        </w:tc>
      </w:tr>
      <w:tr>
        <w:trPr>
          <w:trHeight w:val="263"/>
        </w:trPr>
        <w:tc>
          <w:tcPr>
            <w:tcW w:w="4960" w:type="dxa"/>
            <w:vAlign w:val="bottom"/>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w w:val="96"/>
              </w:rPr>
              <w:t>2019</w:t>
            </w:r>
          </w:p>
        </w:tc>
      </w:tr>
      <w:tr>
        <w:trPr>
          <w:trHeight w:val="196"/>
        </w:trPr>
        <w:tc>
          <w:tcPr>
            <w:tcW w:w="49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thousands)</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56"/>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88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242</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837</w:t>
            </w:r>
          </w:p>
        </w:tc>
        <w:tc>
          <w:tcPr>
            <w:tcW w:w="2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780</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1,814</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880" w:type="dxa"/>
            <w:vAlign w:val="bottom"/>
          </w:tcPr>
          <w:p>
            <w:pPr>
              <w:spacing w:after="0"/>
              <w:rPr>
                <w:sz w:val="21"/>
                <w:szCs w:val="21"/>
                <w:color w:val="auto"/>
              </w:rPr>
            </w:pPr>
          </w:p>
        </w:tc>
        <w:tc>
          <w:tcPr>
            <w:tcW w:w="600" w:type="dxa"/>
            <w:vAlign w:val="bottom"/>
          </w:tcPr>
          <w:p>
            <w:pPr>
              <w:jc w:val="right"/>
              <w:ind w:right="35"/>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20" w:type="dxa"/>
            <w:vAlign w:val="bottom"/>
          </w:tcPr>
          <w:p>
            <w:pPr>
              <w:jc w:val="right"/>
              <w:ind w:right="13"/>
              <w:spacing w:after="0"/>
              <w:rPr>
                <w:sz w:val="20"/>
                <w:szCs w:val="20"/>
                <w:color w:val="auto"/>
              </w:rPr>
            </w:pPr>
            <w:r>
              <w:rPr>
                <w:rFonts w:ascii="Arial" w:cs="Arial" w:eastAsia="Arial" w:hAnsi="Arial"/>
                <w:sz w:val="18"/>
                <w:szCs w:val="18"/>
                <w:color w:val="auto"/>
              </w:rPr>
              <w:t>445</w:t>
            </w: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ind w:right="37"/>
              <w:spacing w:after="0"/>
              <w:rPr>
                <w:sz w:val="20"/>
                <w:szCs w:val="20"/>
                <w:color w:val="auto"/>
              </w:rPr>
            </w:pPr>
            <w:r>
              <w:rPr>
                <w:rFonts w:ascii="Arial" w:cs="Arial" w:eastAsia="Arial" w:hAnsi="Arial"/>
                <w:sz w:val="18"/>
                <w:szCs w:val="18"/>
                <w:color w:val="auto"/>
              </w:rPr>
              <w:t>573</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728</w:t>
            </w:r>
          </w:p>
        </w:tc>
      </w:tr>
      <w:tr>
        <w:trPr>
          <w:trHeight w:val="27"/>
        </w:trPr>
        <w:tc>
          <w:tcPr>
            <w:tcW w:w="496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8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(988)</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Amortization of net loss</w:t>
            </w:r>
          </w:p>
        </w:tc>
        <w:tc>
          <w:tcPr>
            <w:tcW w:w="880" w:type="dxa"/>
            <w:vAlign w:val="bottom"/>
          </w:tcPr>
          <w:p>
            <w:pPr>
              <w:spacing w:after="0"/>
              <w:rPr>
                <w:sz w:val="21"/>
                <w:szCs w:val="21"/>
                <w:color w:val="auto"/>
              </w:rPr>
            </w:pPr>
          </w:p>
        </w:tc>
        <w:tc>
          <w:tcPr>
            <w:tcW w:w="600" w:type="dxa"/>
            <w:vAlign w:val="bottom"/>
          </w:tcPr>
          <w:p>
            <w:pPr>
              <w:jc w:val="right"/>
              <w:ind w:right="35"/>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20" w:type="dxa"/>
            <w:vAlign w:val="bottom"/>
          </w:tcPr>
          <w:p>
            <w:pPr>
              <w:jc w:val="right"/>
              <w:ind w:right="13"/>
              <w:spacing w:after="0"/>
              <w:rPr>
                <w:sz w:val="20"/>
                <w:szCs w:val="20"/>
                <w:color w:val="auto"/>
              </w:rPr>
            </w:pPr>
            <w:r>
              <w:rPr>
                <w:rFonts w:ascii="Arial" w:cs="Arial" w:eastAsia="Arial" w:hAnsi="Arial"/>
                <w:sz w:val="18"/>
                <w:szCs w:val="18"/>
                <w:color w:val="auto"/>
              </w:rPr>
              <w:t>46</w:t>
            </w: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ind w:right="37"/>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62</w:t>
            </w:r>
          </w:p>
        </w:tc>
      </w:tr>
      <w:tr>
        <w:trPr>
          <w:trHeight w:val="27"/>
        </w:trPr>
        <w:tc>
          <w:tcPr>
            <w:tcW w:w="496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4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periodic pension cost</w:t>
            </w:r>
          </w:p>
        </w:tc>
        <w:tc>
          <w:tcPr>
            <w:tcW w:w="880" w:type="dxa"/>
            <w:vAlign w:val="bottom"/>
            <w:tcBorders>
              <w:bottom w:val="single" w:sz="8" w:color="auto"/>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883</w:t>
            </w:r>
          </w:p>
        </w:tc>
        <w:tc>
          <w:tcPr>
            <w:tcW w:w="2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563</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1,616</w:t>
            </w:r>
          </w:p>
        </w:tc>
      </w:tr>
      <w:tr>
        <w:trPr>
          <w:trHeight w:val="20"/>
        </w:trPr>
        <w:tc>
          <w:tcPr>
            <w:tcW w:w="49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On January 1, 2020, we enacted changes to our pension plan whereby the benefits for all participants were frozen and thereafter those participants will receive increased benefits in the company sponsored defined contribution plan in lieu of participation in a defined benefit plan. As a result of this action, we have remeasured the pension assets and obligations for the pension plan as of December 31, 2019. This resulted in a decrease in our projected benefit obligation and recognition of a net actuarial gain of approximately $2.5 million that was recorded in accumulated other comprehensive income. The decrease in the projected benefit obligation was impacted by our asset performance through December 31, 2019, the impact of the pension plan freeze and an increase in the discount rate since October 31, 2019.</w:t>
      </w:r>
    </w:p>
    <w:p>
      <w:pPr>
        <w:spacing w:after="0" w:line="138" w:lineRule="exact"/>
        <w:rPr>
          <w:sz w:val="20"/>
          <w:szCs w:val="20"/>
          <w:color w:val="auto"/>
        </w:rPr>
      </w:pPr>
    </w:p>
    <w:p>
      <w:pPr>
        <w:jc w:val="both"/>
        <w:ind w:firstLine="432"/>
        <w:spacing w:after="0" w:line="311" w:lineRule="auto"/>
        <w:rPr>
          <w:sz w:val="20"/>
          <w:szCs w:val="20"/>
          <w:color w:val="auto"/>
        </w:rPr>
      </w:pPr>
      <w:r>
        <w:rPr>
          <w:rFonts w:ascii="Arial" w:cs="Arial" w:eastAsia="Arial" w:hAnsi="Arial"/>
          <w:sz w:val="16"/>
          <w:szCs w:val="16"/>
          <w:color w:val="auto"/>
        </w:rPr>
        <w:t>The remeasurement described above is in addition to our annual year-end measurement of the funded status of our benefit plans that we will record as of October 31, 2020. As a result, the change in our pension benefit obligation and net actuarial loss will differ from the $2.5 million discussed above primarily as a result of any changes in interest rates and actual asset performance differs from our expected return on assets during the year.</w:t>
      </w:r>
    </w:p>
    <w:p>
      <w:pPr>
        <w:spacing w:after="0" w:line="6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During September 2019, we contributed $0.7 million to fund our plan, and we expect to make a contribution to our plan in September 2020 of approximately $3.7 million.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Plans</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also have a supplemental benefit plan covering certain executive officers and key employees and a non-qualified deferred compensation plan covering members of the Board of Directors and certain key employees. As of April 30, 2020 and October 31, 2019, our liability under the supplemental benefit plan was approximately $4.4 million and $4.2 million, respectively. As of April 30, 2020 and October 31, 2019, the liability associated with the deferred compensation plan was approximately $3.0 million and $3.8 million, respectively. We record the current portion of liabilities associated with these plans under the caption "Accrued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UNAUDITED CONDENSED CONSOLIDATED FINANCIAL STATEMENTS </w:t>
      </w:r>
      <w:r>
        <w:rPr>
          <w:rFonts w:ascii="Arial" w:cs="Arial" w:eastAsia="Arial" w:hAnsi="Arial"/>
          <w:sz w:val="18"/>
          <w:szCs w:val="18"/>
          <w:color w:val="auto"/>
        </w:rPr>
        <w:t>(continued)</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Liabilities," and the long-term portion under the caption "Other Liabilities" in the accompanying condensed consolidated balance sheets.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Income Taxes</w:t>
      </w:r>
    </w:p>
    <w:p>
      <w:pPr>
        <w:spacing w:after="0" w:line="17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To determine our income tax expense or benefit for interim periods, consistent with accounting standards, we apply the estimated annual effective income tax rate to year-to-date results. Our estimated annual effective tax rates for the six months ended April 30, 2020 and 2019 was 25.8% and 24.3%, respectively, excluding discrete items. The 2020 effective rate was primarily impacted by a discrete charge of $0.4 million related to the vesting or exercise of equity-based compensation awards. The 2019 effective rate was primarily impacted by the goodwill impairment charge recorded during the six months ended April 30, 2019, which did not generate a significant tax benefit.</w:t>
      </w:r>
    </w:p>
    <w:p>
      <w:pPr>
        <w:spacing w:after="0" w:line="134"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As of April 30, 2020, our liability for uncertain tax positions (UTP) of $0.6 million relates to certain state tax items regarding the interpretation of tax laws and regulations. Judgment is required in assessing the future tax consequences of events that have been recognized in our financial statements or tax returns. The final outcome of the future tax consequences of legal proceedings, if any, as well as the outcome of competent authority proceedings, changes in regulatory tax laws, or interpretation of those tax laws could impact our financial statements. We are subject to the effect of these matters occurring in various jurisdictions. The disallowance of the UTP would not materially affect the annual effective tax rate. We do not believe any of the UTP at April 30, 2020 will be recognized within the next twelve months.</w:t>
      </w:r>
    </w:p>
    <w:p>
      <w:pPr>
        <w:spacing w:after="0" w:line="124"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We evaluate the likelihood of realization of our deferred tax assets by considering both positive and negative evidence. We maintain a valuation allowance for certain state net operating losses which totaled $1.6 million at April 30, 2020 and October 31, 2019.</w:t>
      </w:r>
    </w:p>
    <w:p>
      <w:pPr>
        <w:spacing w:after="0" w:line="116"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Final regulations were published by the Internal Revenue Service regarding Uniform Capitalization (UNICAP) that became effective during fiscal 2020. Also, on March 27, 2020, The Coronavirus Aid, Relief, and Economic Security (CARES) Act was signed into law. We are evaluating these regulations but do not believe they will result in a material impact on our consolidated financial statements.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Contingencies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Remediation and Environmental Compliance Costs</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Under applicable state and federal laws, we may be responsible for, among other things, all or part of the costs required to remove or remediate wastes or hazardous substances at locations we, or our predecessors, have owned or operated. From time to time, we also have been alleged to be liable for all or part of the costs incurred to clean up third-party sites where there might have been an alleged improper disposal of hazardous substances. At present, we are not involved in any such matters.</w:t>
      </w:r>
    </w:p>
    <w:p>
      <w:pPr>
        <w:spacing w:after="0" w:line="133"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From time to time, we incur routine expenses and capital expenditures associated with compliance with existing environmental regulations, including control of air emissions and water discharges, and plant decommissioning costs. We have not incurred any material expenses or capital expenditures related to environmental matters during the past three fiscal years, and do not expect to incur a material amount of such costs in fiscal 2020. While we will continue to have future expenditures related to environmental matters, any such amounts are impossible to reasonably estimate at this time. Based upon our experience to date, we do not believe that our compliance with environmental requirements will have a material adverse effect on our operations, financial condition or cash flows.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17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From time to time, we, along with our subsidiaries, are involved in various litigation matters arising in the ordinary course of our business, including those arising from or related to contractual matters, commercial disputes, intellectual property, personal injury, environmental matters, product performance or warranties, product liability, insurance coverage and personnel and employment disputes.</w:t>
      </w:r>
    </w:p>
    <w:p>
      <w:pPr>
        <w:spacing w:after="0" w:line="130"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We regularly review with legal counsel the status of all ongoing proceedings, and we maintain insurance against these risks to the extent deemed prudent by our management and to the extent such insurance is available. However, there is no assurance that we will prevail in these matters or that our insurers will accept full coverage of these matters, and we could, in the future, incur judgments, enter into settlements of claims, or revise our expectations regarding the outcome or insurability of matters we face, which could materially impact our results of operations.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UNAUDITED CONDENSED CONSOLIDATED FINANCIAL STATEMENTS </w:t>
      </w:r>
      <w:r>
        <w:rPr>
          <w:rFonts w:ascii="Arial" w:cs="Arial" w:eastAsia="Arial" w:hAnsi="Arial"/>
          <w:sz w:val="18"/>
          <w:szCs w:val="18"/>
          <w:color w:val="auto"/>
        </w:rPr>
        <w:t>(continued)</w:t>
      </w:r>
    </w:p>
    <w:p>
      <w:pPr>
        <w:spacing w:after="0" w:line="373"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We have been and are currently party to multiple claims, some of which are in litigation, relating to alleged defects in a commercial sealant product that was manufactured and sold during the 2000's. While we believe that our product was not defective and that we would prevail in these commercial sealant product claims if taken to trial, the timing, ultimate resolution and potential impact of these claims is not currently determinable. Nevertheless, after taking into account all currently available information, including our defenses, the advice of our counsel, and the extent and currently-expected availability of our existing insurance coverage, we believe that the eventual outcome of these commercial sealant claims will not have a material adverse effect on our overall financial condition, results of operations or cash flows, and we have not recorded any accrual with regard to these claims.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Fair Value Measurement of Assets and Liabilities</w:t>
      </w:r>
    </w:p>
    <w:p>
      <w:pPr>
        <w:spacing w:after="0" w:line="175"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Fair value is defined as the price that would be received to sell an asset or paid to transfer a liability in an orderly transaction between market participants at the measurement date. The fair value hierarchy distinguishes between (1) market participant assumptions developed based on market data obtained from independent sources (observable inputs) and (2) an entity's own assumptions about market data developed based on the best information available in the circumstances (unobservable inputs). The fair value hierarchy consists of three broad levels, which gives the highest priority to Level 1 and the lowest priority to Level 3. The three levels of the fair value hierarchy are described below:</w:t>
      </w:r>
    </w:p>
    <w:p>
      <w:pPr>
        <w:spacing w:after="0" w:line="68" w:lineRule="exact"/>
        <w:rPr>
          <w:sz w:val="20"/>
          <w:szCs w:val="20"/>
          <w:color w:val="auto"/>
        </w:rPr>
      </w:pPr>
    </w:p>
    <w:p>
      <w:pPr>
        <w:ind w:left="500" w:hanging="168"/>
        <w:spacing w:after="0"/>
        <w:tabs>
          <w:tab w:leader="none" w:pos="500" w:val="left"/>
        </w:tabs>
        <w:numPr>
          <w:ilvl w:val="0"/>
          <w:numId w:val="3"/>
        </w:numPr>
        <w:rPr>
          <w:rFonts w:ascii="Arial" w:cs="Arial" w:eastAsia="Arial" w:hAnsi="Arial"/>
          <w:sz w:val="17"/>
          <w:szCs w:val="17"/>
          <w:color w:val="auto"/>
        </w:rPr>
      </w:pPr>
      <w:r>
        <w:rPr>
          <w:rFonts w:ascii="Arial" w:cs="Arial" w:eastAsia="Arial" w:hAnsi="Arial"/>
          <w:sz w:val="17"/>
          <w:szCs w:val="17"/>
          <w:color w:val="auto"/>
        </w:rPr>
        <w:t>Level 1 - Unadjusted quoted prices in active markets that are accessible at the measurement date for identical, unrestricted assets or liabilities.</w:t>
      </w:r>
    </w:p>
    <w:p>
      <w:pPr>
        <w:spacing w:after="0" w:line="128" w:lineRule="exact"/>
        <w:rPr>
          <w:rFonts w:ascii="Arial" w:cs="Arial" w:eastAsia="Arial" w:hAnsi="Arial"/>
          <w:sz w:val="17"/>
          <w:szCs w:val="17"/>
          <w:color w:val="auto"/>
        </w:rPr>
      </w:pPr>
    </w:p>
    <w:p>
      <w:pPr>
        <w:jc w:val="both"/>
        <w:ind w:left="500" w:hanging="168"/>
        <w:spacing w:after="0" w:line="259"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2 - Inputs other than quoted prices included within Level 1 that are observable for the asset or liability either directly or indirectly including quoted prices for similar assets or liabilities in active markets; quoted prices for identical or similar assets or liabilities in markets that are not active; inputs other than quoted prices that are observable for the asset or liability (e.g., interest rates) and inputs that are derived principally from or corroborated by observable market data by correlation or other means.</w:t>
      </w:r>
    </w:p>
    <w:p>
      <w:pPr>
        <w:spacing w:after="0" w:line="78" w:lineRule="exact"/>
        <w:rPr>
          <w:rFonts w:ascii="Arial" w:cs="Arial" w:eastAsia="Arial" w:hAnsi="Arial"/>
          <w:sz w:val="18"/>
          <w:szCs w:val="18"/>
          <w:color w:val="auto"/>
        </w:rPr>
      </w:pPr>
    </w:p>
    <w:p>
      <w:pPr>
        <w:ind w:left="500" w:hanging="168"/>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3 - Inputs that are both significant to the fair value measurement and unobservable.</w:t>
      </w:r>
    </w:p>
    <w:p>
      <w:pPr>
        <w:spacing w:after="0" w:line="117"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As of April 30, 2020 and October 31, 2019, foreign currency derivatives were being measured on a recurring basis. Less than $0.1 million of foreign currency derivatives were included in total assets as of October 31, 2019. There were no outstanding foreign currency derivatives as of April 30, 2020. All of our derivative contracts are valued using quoted market prices from brokers or exchanges and are classified within Level 2 of the fair value hierarchy.</w:t>
      </w:r>
    </w:p>
    <w:p>
      <w:pPr>
        <w:spacing w:after="0" w:line="9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Carrying amounts reported on the balance sheet for cash, cash equivalents, accounts receivable and accounts payable approximate fair value due to the short-term maturity of these instruments. Our outstanding debt is variable rate debt that re-prices frequently, thereby limiting our exposure to significant change in interest rate risk. As a result, the fair value of our debt instrument approximates carrying value at April 30, 2020, and October 31, 2019 (Level 2 measurement).</w:t>
      </w:r>
    </w:p>
    <w:p>
      <w:pPr>
        <w:spacing w:after="0" w:line="133" w:lineRule="exact"/>
        <w:rPr>
          <w:sz w:val="20"/>
          <w:szCs w:val="20"/>
          <w:color w:val="auto"/>
        </w:rPr>
      </w:pPr>
    </w:p>
    <w:p>
      <w:pPr>
        <w:jc w:val="both"/>
        <w:ind w:right="20" w:firstLine="405"/>
        <w:spacing w:after="0" w:line="308" w:lineRule="auto"/>
        <w:rPr>
          <w:sz w:val="20"/>
          <w:szCs w:val="20"/>
          <w:color w:val="auto"/>
        </w:rPr>
      </w:pPr>
      <w:r>
        <w:rPr>
          <w:rFonts w:ascii="Arial" w:cs="Arial" w:eastAsia="Arial" w:hAnsi="Arial"/>
          <w:sz w:val="17"/>
          <w:szCs w:val="17"/>
          <w:color w:val="auto"/>
        </w:rPr>
        <w:t>The liability portion of our performance share awards are marked-to-market on a quarterly basis during a three-year vesting period based on market data (Level 2 measurement). For further information, refer to Note 10, "Stock-Based Compensation -Performance Share Awards."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Stock-Based Compensation</w:t>
      </w:r>
    </w:p>
    <w:p>
      <w:pPr>
        <w:spacing w:after="0" w:line="17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have established and maintain an Omnibus Incentive Plan (2020 Plan) that provides for the granting of restricted stock awards, stock options, restricted stock units, performance share awards, performance restricted stock units, and other stock-based and cash-based awards. The 2020 Plan replaced a prior plan (formerly the 2008 Plan) in February 2020. The 2020 Plan is administered by the Compensation and Management Development Committee of the Board of Directors.</w:t>
      </w:r>
    </w:p>
    <w:p>
      <w:pPr>
        <w:spacing w:after="0" w:line="133"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aggregate number of shares of common stock authorized for grant under the 2020 Plan is 3,094,587 as approved by shareholders. Any officer, key employee and/or non-employee director is eligible for awards under the 2020 Plan. We grant restricted stock units to non-employee directors on the first business day of each fiscal year. As approved by the Compensation &amp; Management Development Committee of our Board of Directors annually, we grant a mix of restricted stock awards, restricted stock units, performance shares and/or performance restricted stock units to officers, management and key employees. We also historically granted stock options to certain officers, directors and key employees. Occasionally, we may make additional grants to key employees at other times during the year.</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Awards</w:t>
      </w:r>
    </w:p>
    <w:p>
      <w:pPr>
        <w:spacing w:after="0" w:line="17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Restricted stock awards are granted to key employees and officers annually, and typically cliff vest over a three year period with service and continued employment as the only vesting criteria. The recipient of the restricted stock award is entitled to all</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UNAUDITED CONDENSED CONSOLIDATED FINANCIAL STATEMENTS </w:t>
      </w:r>
      <w:r>
        <w:rPr>
          <w:rFonts w:ascii="Arial" w:cs="Arial" w:eastAsia="Arial" w:hAnsi="Arial"/>
          <w:sz w:val="18"/>
          <w:szCs w:val="18"/>
          <w:color w:val="auto"/>
        </w:rPr>
        <w:t>(continued)</w:t>
      </w:r>
    </w:p>
    <w:p>
      <w:pPr>
        <w:spacing w:after="0" w:line="37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of the rights of a shareholder, except that the award is nontransferable during the vesting period. The fair value of the restricted stock award is established on the grant date and then expensed over the vesting period resulting in an increase in additional paid-in-capital. Shares are generally issued from treasury stock at the time of grant.</w:t>
      </w:r>
    </w:p>
    <w:p>
      <w:pPr>
        <w:spacing w:after="0" w:line="13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summary of non-vested restricted stock awards activity during the six months ended April 30, 2020 is presented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192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Restricted Stock Awards</w:t>
            </w: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20" w:type="dxa"/>
            <w:vAlign w:val="bottom"/>
          </w:tcPr>
          <w:p>
            <w:pPr>
              <w:jc w:val="right"/>
              <w:ind w:right="433"/>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92"/>
        </w:trPr>
        <w:tc>
          <w:tcPr>
            <w:tcW w:w="6860" w:type="dxa"/>
            <w:vAlign w:val="bottom"/>
            <w:tcBorders>
              <w:bottom w:val="single" w:sz="8" w:color="CCEEFF"/>
            </w:tcBorders>
          </w:tcPr>
          <w:p>
            <w:pPr>
              <w:spacing w:after="0"/>
              <w:rPr>
                <w:sz w:val="16"/>
                <w:szCs w:val="16"/>
                <w:color w:val="auto"/>
              </w:rPr>
            </w:pPr>
          </w:p>
        </w:tc>
        <w:tc>
          <w:tcPr>
            <w:tcW w:w="192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2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7"/>
              </w:rPr>
              <w:t>Grant Date Fair Value per Share</w:t>
            </w:r>
          </w:p>
        </w:tc>
        <w:tc>
          <w:tcPr>
            <w:tcW w:w="0" w:type="dxa"/>
            <w:vAlign w:val="bottom"/>
          </w:tcPr>
          <w:p>
            <w:pPr>
              <w:spacing w:after="0"/>
              <w:rPr>
                <w:sz w:val="1"/>
                <w:szCs w:val="1"/>
                <w:color w:val="auto"/>
              </w:rPr>
            </w:pPr>
          </w:p>
        </w:tc>
      </w:tr>
      <w:tr>
        <w:trPr>
          <w:trHeight w:val="249"/>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October 31, 2019</w:t>
            </w:r>
          </w:p>
        </w:tc>
        <w:tc>
          <w:tcPr>
            <w:tcW w:w="1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230,100</w:t>
            </w:r>
          </w:p>
        </w:tc>
        <w:tc>
          <w:tcPr>
            <w:tcW w:w="640" w:type="dxa"/>
            <w:vAlign w:val="bottom"/>
            <w:tcBorders>
              <w:bottom w:val="single" w:sz="8" w:color="CCEEFF"/>
            </w:tcBorders>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17.02</w:t>
            </w:r>
          </w:p>
        </w:tc>
        <w:tc>
          <w:tcPr>
            <w:tcW w:w="0" w:type="dxa"/>
            <w:vAlign w:val="bottom"/>
          </w:tcPr>
          <w:p>
            <w:pPr>
              <w:spacing w:after="0"/>
              <w:rPr>
                <w:sz w:val="1"/>
                <w:szCs w:val="1"/>
                <w:color w:val="auto"/>
              </w:rPr>
            </w:pPr>
          </w:p>
        </w:tc>
      </w:tr>
      <w:tr>
        <w:trPr>
          <w:trHeight w:val="243"/>
        </w:trPr>
        <w:tc>
          <w:tcPr>
            <w:tcW w:w="6860" w:type="dxa"/>
            <w:vAlign w:val="bottom"/>
          </w:tcPr>
          <w:p>
            <w:pPr>
              <w:ind w:left="380"/>
              <w:spacing w:after="0"/>
              <w:rPr>
                <w:sz w:val="20"/>
                <w:szCs w:val="20"/>
                <w:color w:val="auto"/>
              </w:rPr>
            </w:pPr>
            <w:r>
              <w:rPr>
                <w:rFonts w:ascii="Arial" w:cs="Arial" w:eastAsia="Arial" w:hAnsi="Arial"/>
                <w:sz w:val="18"/>
                <w:szCs w:val="18"/>
                <w:color w:val="auto"/>
              </w:rPr>
              <w:t>Granted</w:t>
            </w:r>
          </w:p>
        </w:tc>
        <w:tc>
          <w:tcPr>
            <w:tcW w:w="1920" w:type="dxa"/>
            <w:vAlign w:val="bottom"/>
          </w:tcPr>
          <w:p>
            <w:pPr>
              <w:jc w:val="right"/>
              <w:ind w:right="13"/>
              <w:spacing w:after="0"/>
              <w:rPr>
                <w:sz w:val="20"/>
                <w:szCs w:val="20"/>
                <w:color w:val="auto"/>
              </w:rPr>
            </w:pPr>
            <w:r>
              <w:rPr>
                <w:rFonts w:ascii="Arial" w:cs="Arial" w:eastAsia="Arial" w:hAnsi="Arial"/>
                <w:sz w:val="18"/>
                <w:szCs w:val="18"/>
                <w:color w:val="auto"/>
              </w:rPr>
              <w:t>59,700</w:t>
            </w:r>
          </w:p>
        </w:tc>
        <w:tc>
          <w:tcPr>
            <w:tcW w:w="640" w:type="dxa"/>
            <w:vAlign w:val="bottom"/>
            <w:gridSpan w:val="2"/>
          </w:tcPr>
          <w:p>
            <w:pPr>
              <w:jc w:val="right"/>
              <w:ind w:right="128"/>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13"/>
              <w:spacing w:after="0"/>
              <w:rPr>
                <w:sz w:val="20"/>
                <w:szCs w:val="20"/>
                <w:color w:val="auto"/>
              </w:rPr>
            </w:pPr>
            <w:r>
              <w:rPr>
                <w:rFonts w:ascii="Arial" w:cs="Arial" w:eastAsia="Arial" w:hAnsi="Arial"/>
                <w:sz w:val="18"/>
                <w:szCs w:val="18"/>
                <w:color w:val="auto"/>
              </w:rPr>
              <w:t>18.82</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Forfeited</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(42,800)</w:t>
            </w:r>
          </w:p>
        </w:tc>
        <w:tc>
          <w:tcPr>
            <w:tcW w:w="640" w:type="dxa"/>
            <w:vAlign w:val="bottom"/>
            <w:tcBorders>
              <w:bottom w:val="single" w:sz="8" w:color="CCEEFF"/>
            </w:tcBorders>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17.30</w:t>
            </w:r>
          </w:p>
        </w:tc>
        <w:tc>
          <w:tcPr>
            <w:tcW w:w="0" w:type="dxa"/>
            <w:vAlign w:val="bottom"/>
          </w:tcPr>
          <w:p>
            <w:pPr>
              <w:spacing w:after="0"/>
              <w:rPr>
                <w:sz w:val="1"/>
                <w:szCs w:val="1"/>
                <w:color w:val="auto"/>
              </w:rPr>
            </w:pPr>
          </w:p>
        </w:tc>
      </w:tr>
      <w:tr>
        <w:trPr>
          <w:trHeight w:val="243"/>
        </w:trPr>
        <w:tc>
          <w:tcPr>
            <w:tcW w:w="6860" w:type="dxa"/>
            <w:vAlign w:val="bottom"/>
          </w:tcPr>
          <w:p>
            <w:pPr>
              <w:ind w:left="380"/>
              <w:spacing w:after="0"/>
              <w:rPr>
                <w:sz w:val="20"/>
                <w:szCs w:val="20"/>
                <w:color w:val="auto"/>
              </w:rPr>
            </w:pPr>
            <w:r>
              <w:rPr>
                <w:rFonts w:ascii="Arial" w:cs="Arial" w:eastAsia="Arial" w:hAnsi="Arial"/>
                <w:sz w:val="18"/>
                <w:szCs w:val="18"/>
                <w:color w:val="auto"/>
              </w:rPr>
              <w:t>Vested</w:t>
            </w:r>
          </w:p>
        </w:tc>
        <w:tc>
          <w:tcPr>
            <w:tcW w:w="1920" w:type="dxa"/>
            <w:vAlign w:val="bottom"/>
          </w:tcPr>
          <w:p>
            <w:pPr>
              <w:jc w:val="right"/>
              <w:spacing w:after="0"/>
              <w:rPr>
                <w:sz w:val="20"/>
                <w:szCs w:val="20"/>
                <w:color w:val="auto"/>
              </w:rPr>
            </w:pPr>
            <w:r>
              <w:rPr>
                <w:rFonts w:ascii="Arial" w:cs="Arial" w:eastAsia="Arial" w:hAnsi="Arial"/>
                <w:sz w:val="18"/>
                <w:szCs w:val="18"/>
                <w:color w:val="auto"/>
              </w:rPr>
              <w:t>(55,000)</w:t>
            </w:r>
          </w:p>
        </w:tc>
        <w:tc>
          <w:tcPr>
            <w:tcW w:w="640" w:type="dxa"/>
            <w:vAlign w:val="bottom"/>
            <w:gridSpan w:val="2"/>
          </w:tcPr>
          <w:p>
            <w:pPr>
              <w:jc w:val="right"/>
              <w:ind w:right="128"/>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13"/>
              <w:spacing w:after="0"/>
              <w:rPr>
                <w:sz w:val="20"/>
                <w:szCs w:val="20"/>
                <w:color w:val="auto"/>
              </w:rPr>
            </w:pPr>
            <w:r>
              <w:rPr>
                <w:rFonts w:ascii="Arial" w:cs="Arial" w:eastAsia="Arial" w:hAnsi="Arial"/>
                <w:sz w:val="18"/>
                <w:szCs w:val="18"/>
                <w:color w:val="auto"/>
              </w:rPr>
              <w:t>19.45</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April 30, 2020</w:t>
            </w:r>
          </w:p>
        </w:tc>
        <w:tc>
          <w:tcPr>
            <w:tcW w:w="19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192,000</w:t>
            </w:r>
          </w:p>
        </w:tc>
        <w:tc>
          <w:tcPr>
            <w:tcW w:w="640" w:type="dxa"/>
            <w:vAlign w:val="bottom"/>
            <w:tcBorders>
              <w:bottom w:val="single" w:sz="8" w:color="CCEEFF"/>
            </w:tcBorders>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16.82</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The total weighted average grant-date fair value of restricted stock awards that vested during each of the six month periods ended April 30, 2020 and 2019 was $1.1 million and $1.3 million, respectively. As of April 30, 2020, total unrecognized compensation cost related to unamortized restricted stock awards was $1.8 million. We expect to recognize this expense over the remaining weighted average vesting period of 2.0 years.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71"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Historically, stock options have been awarded to key employees, officers and non-employee directors. Effective May 2015, the director compensation structure was revised to eliminate the annual grant of stock options to non-employee directors. During December 2017, the Compensation &amp; Management Development Committee of the Board of Directors approved a change to the long-term incentive award program eliminating the grant of stock options and replacing this award with a grant of performance restricted stock units as further described below. As a result, stock options were not granted during the years ended October 31, 2018, October 31, 2019, or during the six months ended April 30, 2020. Employee stock options typically vest ratably over a three-year period with service and continued employment as the vesting conditions. Our stock options may be exercised up to a maximum of ten years from the date of grant. The fair value of the stock options is determined on the grant date and expensed over the vesting period resulting in an increase in additional paid-in-capital. For employees who are nearing retirement-eligibility, we recognize stock option expense ratably over the shorter of the vesting period or the period from the grant-date to the retirement-eligibility date.</w:t>
      </w:r>
    </w:p>
    <w:p>
      <w:pPr>
        <w:spacing w:after="0" w:line="12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use a Black-Scholes pricing model to estimate the fair value of stock options. A description of the methodology for the valuation assumptions was disclosed in our Annual Report on Form 10-K for the fiscal year ended October 31, 2019.</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our stock option activity for the six months ended April 30, 2020:</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Weighted Average</w:t>
            </w:r>
          </w:p>
        </w:tc>
        <w:tc>
          <w:tcPr>
            <w:tcW w:w="17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Weighted Average</w:t>
            </w:r>
          </w:p>
        </w:tc>
        <w:tc>
          <w:tcPr>
            <w:tcW w:w="220" w:type="dxa"/>
            <w:vAlign w:val="bottom"/>
          </w:tcPr>
          <w:p>
            <w:pPr>
              <w:spacing w:after="0"/>
              <w:rPr>
                <w:sz w:val="14"/>
                <w:szCs w:val="14"/>
                <w:color w:val="auto"/>
              </w:rPr>
            </w:pPr>
          </w:p>
        </w:tc>
        <w:tc>
          <w:tcPr>
            <w:tcW w:w="1140" w:type="dxa"/>
            <w:vAlign w:val="bottom"/>
          </w:tcPr>
          <w:p>
            <w:pPr>
              <w:jc w:val="center"/>
              <w:ind w:right="119"/>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160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Stock Options</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7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Remaining Contractual</w:t>
            </w:r>
          </w:p>
        </w:tc>
        <w:tc>
          <w:tcPr>
            <w:tcW w:w="220" w:type="dxa"/>
            <w:vAlign w:val="bottom"/>
          </w:tcPr>
          <w:p>
            <w:pPr>
              <w:spacing w:after="0"/>
              <w:rPr>
                <w:sz w:val="12"/>
                <w:szCs w:val="12"/>
                <w:color w:val="auto"/>
              </w:rPr>
            </w:pPr>
          </w:p>
        </w:tc>
        <w:tc>
          <w:tcPr>
            <w:tcW w:w="1140" w:type="dxa"/>
            <w:vAlign w:val="bottom"/>
          </w:tcPr>
          <w:p>
            <w:pPr>
              <w:jc w:val="center"/>
              <w:ind w:right="139"/>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92"/>
        </w:trPr>
        <w:tc>
          <w:tcPr>
            <w:tcW w:w="450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Exercise Price</w:t>
            </w:r>
          </w:p>
        </w:tc>
        <w:tc>
          <w:tcPr>
            <w:tcW w:w="2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Term (in years)</w:t>
            </w:r>
          </w:p>
        </w:tc>
        <w:tc>
          <w:tcPr>
            <w:tcW w:w="2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90"/>
              </w:rPr>
              <w:t>Value (000s)</w:t>
            </w:r>
          </w:p>
        </w:tc>
        <w:tc>
          <w:tcPr>
            <w:tcW w:w="0" w:type="dxa"/>
            <w:vAlign w:val="bottom"/>
          </w:tcPr>
          <w:p>
            <w:pPr>
              <w:spacing w:after="0"/>
              <w:rPr>
                <w:sz w:val="1"/>
                <w:szCs w:val="1"/>
                <w:color w:val="auto"/>
              </w:rPr>
            </w:pPr>
          </w:p>
        </w:tc>
      </w:tr>
      <w:tr>
        <w:trPr>
          <w:trHeight w:val="249"/>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October 31, 2019</w:t>
            </w:r>
          </w:p>
        </w:tc>
        <w:tc>
          <w:tcPr>
            <w:tcW w:w="1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1,416,186</w:t>
            </w:r>
          </w:p>
        </w:tc>
        <w:tc>
          <w:tcPr>
            <w:tcW w:w="4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18.71</w:t>
            </w:r>
          </w:p>
        </w:tc>
        <w:tc>
          <w:tcPr>
            <w:tcW w:w="2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00" w:type="dxa"/>
            <w:vAlign w:val="bottom"/>
          </w:tcPr>
          <w:p>
            <w:pPr>
              <w:ind w:left="380"/>
              <w:spacing w:after="0"/>
              <w:rPr>
                <w:sz w:val="20"/>
                <w:szCs w:val="20"/>
                <w:color w:val="auto"/>
              </w:rPr>
            </w:pPr>
            <w:r>
              <w:rPr>
                <w:rFonts w:ascii="Arial" w:cs="Arial" w:eastAsia="Arial" w:hAnsi="Arial"/>
                <w:sz w:val="18"/>
                <w:szCs w:val="18"/>
                <w:color w:val="auto"/>
              </w:rPr>
              <w:t>Granted</w:t>
            </w:r>
          </w:p>
        </w:tc>
        <w:tc>
          <w:tcPr>
            <w:tcW w:w="16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Exercised</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(178,033)</w:t>
            </w:r>
          </w:p>
        </w:tc>
        <w:tc>
          <w:tcPr>
            <w:tcW w:w="4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16.93</w:t>
            </w:r>
          </w:p>
        </w:tc>
        <w:tc>
          <w:tcPr>
            <w:tcW w:w="2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00" w:type="dxa"/>
            <w:vAlign w:val="bottom"/>
          </w:tcPr>
          <w:p>
            <w:pPr>
              <w:ind w:left="380"/>
              <w:spacing w:after="0"/>
              <w:rPr>
                <w:sz w:val="20"/>
                <w:szCs w:val="20"/>
                <w:color w:val="auto"/>
              </w:rPr>
            </w:pPr>
            <w:r>
              <w:rPr>
                <w:rFonts w:ascii="Arial" w:cs="Arial" w:eastAsia="Arial" w:hAnsi="Arial"/>
                <w:sz w:val="18"/>
                <w:szCs w:val="18"/>
                <w:color w:val="auto"/>
              </w:rPr>
              <w:t>Forfeited/Expired</w:t>
            </w:r>
          </w:p>
        </w:tc>
        <w:tc>
          <w:tcPr>
            <w:tcW w:w="1600" w:type="dxa"/>
            <w:vAlign w:val="bottom"/>
          </w:tcPr>
          <w:p>
            <w:pPr>
              <w:jc w:val="right"/>
              <w:spacing w:after="0"/>
              <w:rPr>
                <w:sz w:val="20"/>
                <w:szCs w:val="20"/>
                <w:color w:val="auto"/>
              </w:rPr>
            </w:pPr>
            <w:r>
              <w:rPr>
                <w:rFonts w:ascii="Arial" w:cs="Arial" w:eastAsia="Arial" w:hAnsi="Arial"/>
                <w:sz w:val="18"/>
                <w:szCs w:val="18"/>
                <w:color w:val="auto"/>
              </w:rPr>
              <w:t>(58,734)</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20.61</w:t>
            </w:r>
          </w:p>
        </w:tc>
        <w:tc>
          <w:tcPr>
            <w:tcW w:w="2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April 30, 2020</w:t>
            </w:r>
          </w:p>
        </w:tc>
        <w:tc>
          <w:tcPr>
            <w:tcW w:w="16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1,179,419</w:t>
            </w:r>
          </w:p>
        </w:tc>
        <w:tc>
          <w:tcPr>
            <w:tcW w:w="4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18.89</w:t>
            </w:r>
          </w:p>
        </w:tc>
        <w:tc>
          <w:tcPr>
            <w:tcW w:w="2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45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Vested or expected to vest at April 30, 2020</w:t>
            </w:r>
          </w:p>
        </w:tc>
        <w:tc>
          <w:tcPr>
            <w:tcW w:w="16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1,179,419</w:t>
            </w:r>
          </w:p>
        </w:tc>
        <w:tc>
          <w:tcPr>
            <w:tcW w:w="40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tcPr>
          <w:p>
            <w:pPr>
              <w:jc w:val="right"/>
              <w:ind w:right="34"/>
              <w:spacing w:after="0"/>
              <w:rPr>
                <w:sz w:val="20"/>
                <w:szCs w:val="20"/>
                <w:color w:val="auto"/>
              </w:rPr>
            </w:pPr>
            <w:r>
              <w:rPr>
                <w:rFonts w:ascii="Arial" w:cs="Arial" w:eastAsia="Arial" w:hAnsi="Arial"/>
                <w:sz w:val="18"/>
                <w:szCs w:val="18"/>
                <w:color w:val="auto"/>
              </w:rPr>
              <w:t>18.89</w:t>
            </w:r>
          </w:p>
        </w:tc>
        <w:tc>
          <w:tcPr>
            <w:tcW w:w="200" w:type="dxa"/>
            <w:vAlign w:val="bottom"/>
            <w:tcBorders>
              <w:bottom w:val="single" w:sz="8" w:color="CCEEFF"/>
            </w:tcBorders>
          </w:tcPr>
          <w:p>
            <w:pPr>
              <w:spacing w:after="0"/>
              <w:rPr>
                <w:sz w:val="24"/>
                <w:szCs w:val="24"/>
                <w:color w:val="auto"/>
              </w:rPr>
            </w:pPr>
          </w:p>
        </w:tc>
        <w:tc>
          <w:tcPr>
            <w:tcW w:w="15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3.8</w:t>
            </w:r>
          </w:p>
        </w:tc>
        <w:tc>
          <w:tcPr>
            <w:tcW w:w="2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tcPr>
          <w:p>
            <w:pPr>
              <w:jc w:val="right"/>
              <w:ind w:right="19"/>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Exercisable at April 30, 2020</w:t>
            </w:r>
          </w:p>
        </w:tc>
        <w:tc>
          <w:tcPr>
            <w:tcW w:w="16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1,179,419</w:t>
            </w:r>
          </w:p>
        </w:tc>
        <w:tc>
          <w:tcPr>
            <w:tcW w:w="4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18.89</w:t>
            </w:r>
          </w:p>
        </w:tc>
        <w:tc>
          <w:tcPr>
            <w:tcW w:w="2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Intrinsic value is the amount by which the market price of the common stock on the date of exercise exceeds the exercise price of the stock option. The total intrinsic value of stock options exercised during the six months ended April 30, 2020 and 2019 was $0.5 million and less than $0.1 million, respectively. The weighted-average grant date fair value of stock options that vested during the six months ended April 30, 2020 and 2019 was $0.4 million and $1.1 million, respectively. As of April 30, 2020, all compensation cost related to stock options has been recognized.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UNAUDITED CONDENSED CONSOLIDATED FINANCIAL STATEMENTS </w:t>
      </w:r>
      <w:r>
        <w:rPr>
          <w:rFonts w:ascii="Arial" w:cs="Arial" w:eastAsia="Arial" w:hAnsi="Arial"/>
          <w:sz w:val="18"/>
          <w:szCs w:val="18"/>
          <w:color w:val="auto"/>
        </w:rPr>
        <w:t>(continued)</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171"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Restricted stock units may be awarded to key employees and officers from time to time, and annually to non-employee directors. The non-employee director restricted stock units vest immediately but are payable only upon the director's cessation of service unless an election is made by the non-employee director to settle and pay the award on an earlier specified date. Restricted stock units awarded to employees and officers typically cliff vest after a three-year period with service and continued employment as the vesting conditions. Restricted stock units are not considered outstanding shares and do not have voting rights, although the holder does receive a cash payment equivalent to the dividend paid, on a one-for-one basis, on our outstanding common shares. Once the criteria is met, each restricted stock unit is payable to the holder in cash based on the market value of one share of our common stock. Accordingly, we record a liability for the restricted stock units on our balance sheet and recognize any changes in the market value during each reporting period as compensation expense.</w:t>
      </w:r>
    </w:p>
    <w:p>
      <w:pPr>
        <w:spacing w:after="0" w:line="138"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During the six months ended April 30, 2020 and 2019, non-employee directors received 25,326 and 29,065 restricted stock units, respectively, at a grant date fair value of $19.02 per share and $15.29 per share, respectively, which vested immediately. As of April 30, 2020, there were 26,390 non-vested restricted stock units, which were awarded in June 2019 and January 2020 to key employees at a weighted average grant date fair value of $17.01. During the six months ended April 30, 2019, we paid approximately $0.1 million to settle previously vested restricted stock units; there were no corresponding payments to settle vested restricted stock units during the six months ended April 30, 2020.</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Share Awards</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have awarded annual grants of performance shares to key employees and officers. These awards cliff vest after a three-year period. Performance share awards issued prior to fiscal 2019 vest with service and performance measures (relative total shareholder return (R-TSR) and earnings per share (EPS) growth), as vesting conditions. The number of shares earned is variable depending on the metrics achieved, and the settlement method is 50% in cash and 50% in our common stock. Performance share awards issued during fiscal 2019 and 2020 vest with return on net assets (RONA) as the vesting condition and pay out 100% in cash.</w:t>
      </w:r>
    </w:p>
    <w:p>
      <w:pPr>
        <w:spacing w:after="0" w:line="134"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To account for these awards, we have bifurcated the portion subject to a market condition (R-TSR) and the portion subject to an internal performance measure (EPS or RONA). We have further bifurcated these awards based on the settlement method, as the portion expected to settle in stock (equity component) and the portion expected to settle in cash (liability component).</w:t>
      </w:r>
    </w:p>
    <w:p>
      <w:pPr>
        <w:spacing w:after="0" w:line="130"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To value the shares subject to the market condition, we utilized a Monte Carlo simulation model to arrive at a grant-date fair value. This amount will be expensed over the three-year term of the award with a credit to additional paid-in-capital. To value the shares subject to the EPS and RONA performance measures, we used the value of our common stock on the date of grant as the grant-date fair value per share. This amount is being expensed over the three-year term of the award, with a credit to additional paid-in-capital, and could fluctuate depending on the number of shares ultimately expected to vest based on our assessment of the probability that the performance conditions will be achieved. The portion of the awards expected to settle in cash is recorded as a liability and is being marked to market over the three-year term of the award, and can fluctuate depending on the number of shares ultimately expected to vest. Depending on the achievement of the performance conditions, 0% to 200% of the awarded performance shares may ultimately vest.</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The following table summarizes our performance share grants and the grant date fair value for the EPS, R-TSR and RONA performance metrics: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4"/>
                <w:szCs w:val="14"/>
                <w:b w:val="1"/>
                <w:bCs w:val="1"/>
                <w:color w:val="auto"/>
                <w:w w:val="96"/>
              </w:rPr>
              <w:t>Grant Date Fair Value</w:t>
            </w:r>
          </w:p>
        </w:tc>
        <w:tc>
          <w:tcPr>
            <w:tcW w:w="8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5520" w:type="dxa"/>
            <w:vAlign w:val="bottom"/>
            <w:vMerge w:val="restart"/>
          </w:tcPr>
          <w:p>
            <w:pPr>
              <w:ind w:left="2320"/>
              <w:spacing w:after="0"/>
              <w:rPr>
                <w:sz w:val="20"/>
                <w:szCs w:val="20"/>
                <w:color w:val="auto"/>
              </w:rPr>
            </w:pPr>
            <w:r>
              <w:rPr>
                <w:rFonts w:ascii="Arial" w:cs="Arial" w:eastAsia="Arial" w:hAnsi="Arial"/>
                <w:sz w:val="18"/>
                <w:szCs w:val="18"/>
                <w:b w:val="1"/>
                <w:bCs w:val="1"/>
                <w:color w:val="auto"/>
              </w:rPr>
              <w:t>Grant Date</w:t>
            </w:r>
          </w:p>
        </w:tc>
        <w:tc>
          <w:tcPr>
            <w:tcW w:w="120" w:type="dxa"/>
            <w:vAlign w:val="bottom"/>
            <w:vMerge w:val="restart"/>
          </w:tcPr>
          <w:p>
            <w:pPr>
              <w:spacing w:after="0"/>
              <w:rPr>
                <w:sz w:val="12"/>
                <w:szCs w:val="12"/>
                <w:color w:val="auto"/>
              </w:rPr>
            </w:pPr>
          </w:p>
        </w:tc>
        <w:tc>
          <w:tcPr>
            <w:tcW w:w="1140" w:type="dxa"/>
            <w:vAlign w:val="bottom"/>
            <w:gridSpan w:val="2"/>
          </w:tcPr>
          <w:p>
            <w:pPr>
              <w:ind w:left="300"/>
              <w:spacing w:after="0" w:line="139" w:lineRule="exact"/>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2"/>
                <w:szCs w:val="12"/>
                <w:color w:val="auto"/>
              </w:rPr>
            </w:pPr>
          </w:p>
        </w:tc>
        <w:tc>
          <w:tcPr>
            <w:tcW w:w="680" w:type="dxa"/>
            <w:vAlign w:val="bottom"/>
            <w:vMerge w:val="restart"/>
          </w:tcPr>
          <w:p>
            <w:pPr>
              <w:jc w:val="right"/>
              <w:ind w:right="215"/>
              <w:spacing w:after="0"/>
              <w:rPr>
                <w:sz w:val="20"/>
                <w:szCs w:val="20"/>
                <w:color w:val="auto"/>
              </w:rPr>
            </w:pPr>
            <w:r>
              <w:rPr>
                <w:rFonts w:ascii="Arial" w:cs="Arial" w:eastAsia="Arial" w:hAnsi="Arial"/>
                <w:sz w:val="14"/>
                <w:szCs w:val="14"/>
                <w:b w:val="1"/>
                <w:bCs w:val="1"/>
                <w:color w:val="auto"/>
              </w:rPr>
              <w:t>EPS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vMerge w:val="restart"/>
          </w:tcPr>
          <w:p>
            <w:pPr>
              <w:jc w:val="right"/>
              <w:ind w:right="195"/>
              <w:spacing w:after="0"/>
              <w:rPr>
                <w:sz w:val="20"/>
                <w:szCs w:val="20"/>
                <w:color w:val="auto"/>
              </w:rPr>
            </w:pPr>
            <w:r>
              <w:rPr>
                <w:rFonts w:ascii="Arial" w:cs="Arial" w:eastAsia="Arial" w:hAnsi="Arial"/>
                <w:sz w:val="14"/>
                <w:szCs w:val="14"/>
                <w:b w:val="1"/>
                <w:bCs w:val="1"/>
                <w:color w:val="auto"/>
              </w:rPr>
              <w:t>R-TSR</w:t>
            </w:r>
          </w:p>
        </w:tc>
        <w:tc>
          <w:tcPr>
            <w:tcW w:w="1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vMerge w:val="restart"/>
          </w:tcPr>
          <w:p>
            <w:pPr>
              <w:jc w:val="right"/>
              <w:ind w:right="195"/>
              <w:spacing w:after="0"/>
              <w:rPr>
                <w:sz w:val="20"/>
                <w:szCs w:val="20"/>
                <w:color w:val="auto"/>
              </w:rPr>
            </w:pPr>
            <w:r>
              <w:rPr>
                <w:rFonts w:ascii="Arial" w:cs="Arial" w:eastAsia="Arial" w:hAnsi="Arial"/>
                <w:sz w:val="14"/>
                <w:szCs w:val="14"/>
                <w:b w:val="1"/>
                <w:bCs w:val="1"/>
                <w:color w:val="auto"/>
              </w:rPr>
              <w:t>RONA</w:t>
            </w:r>
          </w:p>
        </w:tc>
        <w:tc>
          <w:tcPr>
            <w:tcW w:w="120" w:type="dxa"/>
            <w:vAlign w:val="bottom"/>
            <w:vMerge w:val="restart"/>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Shares Forfeited</w:t>
            </w:r>
          </w:p>
        </w:tc>
        <w:tc>
          <w:tcPr>
            <w:tcW w:w="0" w:type="dxa"/>
            <w:vAlign w:val="bottom"/>
          </w:tcPr>
          <w:p>
            <w:pPr>
              <w:spacing w:after="0"/>
              <w:rPr>
                <w:sz w:val="1"/>
                <w:szCs w:val="1"/>
                <w:color w:val="auto"/>
              </w:rPr>
            </w:pPr>
          </w:p>
        </w:tc>
      </w:tr>
      <w:tr>
        <w:trPr>
          <w:trHeight w:val="192"/>
        </w:trPr>
        <w:tc>
          <w:tcPr>
            <w:tcW w:w="55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2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Awarded</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December 7, 2017</w:t>
            </w:r>
          </w:p>
        </w:tc>
        <w:tc>
          <w:tcPr>
            <w:tcW w:w="10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146,500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20.70</w:t>
            </w:r>
          </w:p>
        </w:tc>
        <w:tc>
          <w:tcPr>
            <w:tcW w:w="4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21.81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46,608</w:t>
            </w:r>
          </w:p>
        </w:tc>
        <w:tc>
          <w:tcPr>
            <w:tcW w:w="0" w:type="dxa"/>
            <w:vAlign w:val="bottom"/>
          </w:tcPr>
          <w:p>
            <w:pPr>
              <w:spacing w:after="0"/>
              <w:rPr>
                <w:sz w:val="1"/>
                <w:szCs w:val="1"/>
                <w:color w:val="auto"/>
              </w:rPr>
            </w:pPr>
          </w:p>
        </w:tc>
      </w:tr>
      <w:tr>
        <w:trPr>
          <w:trHeight w:val="243"/>
        </w:trPr>
        <w:tc>
          <w:tcPr>
            <w:tcW w:w="5640" w:type="dxa"/>
            <w:vAlign w:val="bottom"/>
            <w:gridSpan w:val="2"/>
          </w:tcPr>
          <w:p>
            <w:pPr>
              <w:ind w:left="40"/>
              <w:spacing w:after="0"/>
              <w:rPr>
                <w:sz w:val="20"/>
                <w:szCs w:val="20"/>
                <w:color w:val="auto"/>
              </w:rPr>
            </w:pPr>
            <w:r>
              <w:rPr>
                <w:rFonts w:ascii="Arial" w:cs="Arial" w:eastAsia="Arial" w:hAnsi="Arial"/>
                <w:sz w:val="18"/>
                <w:szCs w:val="18"/>
                <w:color w:val="auto"/>
              </w:rPr>
              <w:t>December 5, 2018</w:t>
            </w:r>
          </w:p>
        </w:tc>
        <w:tc>
          <w:tcPr>
            <w:tcW w:w="1020" w:type="dxa"/>
            <w:vAlign w:val="bottom"/>
          </w:tcPr>
          <w:p>
            <w:pPr>
              <w:jc w:val="right"/>
              <w:ind w:right="37"/>
              <w:spacing w:after="0"/>
              <w:rPr>
                <w:sz w:val="20"/>
                <w:szCs w:val="20"/>
                <w:color w:val="auto"/>
              </w:rPr>
            </w:pPr>
            <w:r>
              <w:rPr>
                <w:rFonts w:ascii="Arial" w:cs="Arial" w:eastAsia="Arial" w:hAnsi="Arial"/>
                <w:sz w:val="18"/>
                <w:szCs w:val="18"/>
                <w:color w:val="auto"/>
              </w:rPr>
              <w:t>131,500</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15"/>
              <w:spacing w:after="0"/>
              <w:rPr>
                <w:sz w:val="20"/>
                <w:szCs w:val="20"/>
                <w:color w:val="auto"/>
              </w:rPr>
            </w:pPr>
            <w:r>
              <w:rPr>
                <w:rFonts w:ascii="Arial" w:cs="Arial" w:eastAsia="Arial" w:hAnsi="Arial"/>
                <w:sz w:val="18"/>
                <w:szCs w:val="18"/>
                <w:color w:val="auto"/>
              </w:rPr>
              <w:t>13.63</w:t>
            </w:r>
          </w:p>
        </w:tc>
        <w:tc>
          <w:tcPr>
            <w:tcW w:w="12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33,500</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6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December 5, 2019</w:t>
            </w:r>
          </w:p>
        </w:tc>
        <w:tc>
          <w:tcPr>
            <w:tcW w:w="10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55,900</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19.40</w:t>
            </w: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On November 30, 2019, a total of 56,103 shares vested pursuant to the November 2016 grant, which were settled with 28,051 shares of common stock and a cash payment of $0.6 million. We recorded compensation expense of $0.1 million for the three months ended April 30, 2020 and a decrease in compensation expense of $0.4 million for the six months ended April 30, 2020 related to the expected payout of our performance share awards that are outstanding as of April 30, 2020. During the three and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UNAUDITED CONDENSED CONSOLIDATED FINANCIAL STATEMENTS </w:t>
      </w:r>
      <w:r>
        <w:rPr>
          <w:rFonts w:ascii="Arial" w:cs="Arial" w:eastAsia="Arial" w:hAnsi="Arial"/>
          <w:sz w:val="18"/>
          <w:szCs w:val="18"/>
          <w:color w:val="auto"/>
        </w:rPr>
        <w:t>(continued)</w:t>
      </w:r>
    </w:p>
    <w:p>
      <w:pPr>
        <w:spacing w:after="0" w:line="37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six months ended April 30, 2019, we recorded compensation expense of $0.4 million and less than $0.1 million, respectively, related to the expected payouts of performance share awards that were outstanding as of April 30, 2019.</w:t>
      </w:r>
    </w:p>
    <w:p>
      <w:pPr>
        <w:spacing w:after="0" w:line="116"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Performance share awards are not considered outstanding shares and do not have voting rights, although dividends are accrued over the performance period and will be payable in cash based upon the number of performance shares ultimately earned.</w:t>
      </w:r>
    </w:p>
    <w:p>
      <w:pPr>
        <w:spacing w:after="0" w:line="116"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performance shares are excluded from the diluted weighted-average shares used to calculate earnings per share until the performance criteria is probable to result in the issuance of contingent shares. As of April 30, 2020, we have deemed 17,342 shares related to the December 2017 grants of performance shares as probable to vest.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Restricted Stock Units</w:t>
      </w:r>
    </w:p>
    <w:p>
      <w:pPr>
        <w:spacing w:after="0" w:line="17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We awarded performance restricted stock units to key employees and officers beginning in December 2017. These awards cliff vest upon a three-year service period with the absolute total shareholder return of our common stock over this three-year term as the vesting criteria. The number of shares earned is variable depending on the metric achieved, and the settlement method is 100% in our common stock, with accrued dividends paid in cash at the time of vesting, assuming the shares had been outstanding throughout the performance period.</w:t>
      </w:r>
    </w:p>
    <w:p>
      <w:pPr>
        <w:spacing w:after="0" w:line="117"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To value the performance restricted stock units, we utilized a Monte Carlo simulation model to arrive at a grant-date fair value. This amount will be adjusted for forfeitures and expensed over the three-year term of the award with a credit to additional paid-in-capital. Depending on the achievement of the performance conditions, a minimum of 0% and a maximum of 150% of the awarded performance restricted stock units may vest. Specifically, the awards vest on a continuum with the following Absolute Total Shareholder Return (A-TSR) milestones:</w:t>
      </w:r>
    </w:p>
    <w:p>
      <w:pPr>
        <w:spacing w:after="0" w:line="27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480" w:type="dxa"/>
            <w:vAlign w:val="bottom"/>
            <w:gridSpan w:val="2"/>
          </w:tcPr>
          <w:p>
            <w:pPr>
              <w:ind w:left="20"/>
              <w:spacing w:after="0"/>
              <w:rPr>
                <w:sz w:val="20"/>
                <w:szCs w:val="20"/>
                <w:color w:val="auto"/>
              </w:rPr>
            </w:pPr>
            <w:r>
              <w:rPr>
                <w:rFonts w:ascii="Arial" w:cs="Arial" w:eastAsia="Arial" w:hAnsi="Arial"/>
                <w:sz w:val="18"/>
                <w:szCs w:val="18"/>
                <w:b w:val="1"/>
                <w:bCs w:val="1"/>
                <w:color w:val="auto"/>
              </w:rPr>
              <w:t>Vesting Level</w:t>
            </w:r>
          </w:p>
        </w:tc>
        <w:tc>
          <w:tcPr>
            <w:tcW w:w="5260" w:type="dxa"/>
            <w:vAlign w:val="bottom"/>
            <w:gridSpan w:val="2"/>
          </w:tcPr>
          <w:p>
            <w:pPr>
              <w:ind w:left="40"/>
              <w:spacing w:after="0"/>
              <w:rPr>
                <w:sz w:val="20"/>
                <w:szCs w:val="20"/>
                <w:color w:val="auto"/>
              </w:rPr>
            </w:pPr>
            <w:r>
              <w:rPr>
                <w:rFonts w:ascii="Arial" w:cs="Arial" w:eastAsia="Arial" w:hAnsi="Arial"/>
                <w:sz w:val="18"/>
                <w:szCs w:val="18"/>
                <w:b w:val="1"/>
                <w:bCs w:val="1"/>
                <w:color w:val="auto"/>
              </w:rPr>
              <w:t>Vesting Criteria</w:t>
            </w:r>
          </w:p>
        </w:tc>
        <w:tc>
          <w:tcPr>
            <w:tcW w:w="3460" w:type="dxa"/>
            <w:vAlign w:val="bottom"/>
          </w:tcPr>
          <w:p>
            <w:pPr>
              <w:ind w:left="660"/>
              <w:spacing w:after="0"/>
              <w:rPr>
                <w:sz w:val="20"/>
                <w:szCs w:val="20"/>
                <w:color w:val="auto"/>
              </w:rPr>
            </w:pPr>
            <w:r>
              <w:rPr>
                <w:rFonts w:ascii="Arial" w:cs="Arial" w:eastAsia="Arial" w:hAnsi="Arial"/>
                <w:sz w:val="18"/>
                <w:szCs w:val="18"/>
                <w:b w:val="1"/>
                <w:bCs w:val="1"/>
                <w:color w:val="auto"/>
              </w:rPr>
              <w:t>Percentage of Award Vested</w:t>
            </w:r>
          </w:p>
        </w:tc>
      </w:tr>
      <w:tr>
        <w:trPr>
          <w:trHeight w:val="27"/>
        </w:trPr>
        <w:tc>
          <w:tcPr>
            <w:tcW w:w="2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r>
      <w:tr>
        <w:trPr>
          <w:trHeight w:val="243"/>
        </w:trPr>
        <w:tc>
          <w:tcPr>
            <w:tcW w:w="2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Level 1</w:t>
            </w:r>
          </w:p>
        </w:tc>
        <w:tc>
          <w:tcPr>
            <w:tcW w:w="5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A-TSR greater than or equal to 50%</w:t>
            </w:r>
          </w:p>
        </w:tc>
        <w:tc>
          <w:tcPr>
            <w:tcW w:w="3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150%</w:t>
            </w:r>
          </w:p>
        </w:tc>
      </w:tr>
      <w:tr>
        <w:trPr>
          <w:trHeight w:val="243"/>
        </w:trPr>
        <w:tc>
          <w:tcPr>
            <w:tcW w:w="2480" w:type="dxa"/>
            <w:vAlign w:val="bottom"/>
            <w:gridSpan w:val="2"/>
          </w:tcPr>
          <w:p>
            <w:pPr>
              <w:ind w:left="20"/>
              <w:spacing w:after="0"/>
              <w:rPr>
                <w:sz w:val="20"/>
                <w:szCs w:val="20"/>
                <w:color w:val="auto"/>
              </w:rPr>
            </w:pPr>
            <w:r>
              <w:rPr>
                <w:rFonts w:ascii="Arial" w:cs="Arial" w:eastAsia="Arial" w:hAnsi="Arial"/>
                <w:sz w:val="18"/>
                <w:szCs w:val="18"/>
                <w:color w:val="auto"/>
              </w:rPr>
              <w:t>Level 2</w:t>
            </w:r>
          </w:p>
        </w:tc>
        <w:tc>
          <w:tcPr>
            <w:tcW w:w="5260" w:type="dxa"/>
            <w:vAlign w:val="bottom"/>
            <w:gridSpan w:val="2"/>
          </w:tcPr>
          <w:p>
            <w:pPr>
              <w:ind w:left="40"/>
              <w:spacing w:after="0"/>
              <w:rPr>
                <w:sz w:val="20"/>
                <w:szCs w:val="20"/>
                <w:color w:val="auto"/>
              </w:rPr>
            </w:pPr>
            <w:r>
              <w:rPr>
                <w:rFonts w:ascii="Arial" w:cs="Arial" w:eastAsia="Arial" w:hAnsi="Arial"/>
                <w:sz w:val="18"/>
                <w:szCs w:val="18"/>
                <w:color w:val="auto"/>
              </w:rPr>
              <w:t>A-TSR less than 50% and greater than or equal to 20%</w:t>
            </w:r>
          </w:p>
        </w:tc>
        <w:tc>
          <w:tcPr>
            <w:tcW w:w="3460" w:type="dxa"/>
            <w:vAlign w:val="bottom"/>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2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60" w:type="dxa"/>
            <w:vAlign w:val="bottom"/>
          </w:tcPr>
          <w:p>
            <w:pPr>
              <w:spacing w:after="0"/>
              <w:rPr>
                <w:sz w:val="2"/>
                <w:szCs w:val="2"/>
                <w:color w:val="auto"/>
              </w:rPr>
            </w:pPr>
          </w:p>
        </w:tc>
      </w:tr>
      <w:tr>
        <w:trPr>
          <w:trHeight w:val="250"/>
        </w:trPr>
        <w:tc>
          <w:tcPr>
            <w:tcW w:w="2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Level 3</w:t>
            </w:r>
          </w:p>
        </w:tc>
        <w:tc>
          <w:tcPr>
            <w:tcW w:w="5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A-TSR less than 20% and greater than or equal to -20%</w:t>
            </w:r>
          </w:p>
        </w:tc>
        <w:tc>
          <w:tcPr>
            <w:tcW w:w="3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50%</w:t>
            </w:r>
          </w:p>
        </w:tc>
      </w:tr>
      <w:tr>
        <w:trPr>
          <w:trHeight w:val="243"/>
        </w:trPr>
        <w:tc>
          <w:tcPr>
            <w:tcW w:w="2480" w:type="dxa"/>
            <w:vAlign w:val="bottom"/>
            <w:gridSpan w:val="2"/>
          </w:tcPr>
          <w:p>
            <w:pPr>
              <w:ind w:left="20"/>
              <w:spacing w:after="0"/>
              <w:rPr>
                <w:sz w:val="20"/>
                <w:szCs w:val="20"/>
                <w:color w:val="auto"/>
              </w:rPr>
            </w:pPr>
            <w:r>
              <w:rPr>
                <w:rFonts w:ascii="Arial" w:cs="Arial" w:eastAsia="Arial" w:hAnsi="Arial"/>
                <w:sz w:val="18"/>
                <w:szCs w:val="18"/>
                <w:color w:val="auto"/>
              </w:rPr>
              <w:t>Level 4</w:t>
            </w:r>
          </w:p>
        </w:tc>
        <w:tc>
          <w:tcPr>
            <w:tcW w:w="5260" w:type="dxa"/>
            <w:vAlign w:val="bottom"/>
            <w:gridSpan w:val="2"/>
          </w:tcPr>
          <w:p>
            <w:pPr>
              <w:ind w:left="40"/>
              <w:spacing w:after="0"/>
              <w:rPr>
                <w:sz w:val="20"/>
                <w:szCs w:val="20"/>
                <w:color w:val="auto"/>
              </w:rPr>
            </w:pPr>
            <w:r>
              <w:rPr>
                <w:rFonts w:ascii="Arial" w:cs="Arial" w:eastAsia="Arial" w:hAnsi="Arial"/>
                <w:sz w:val="18"/>
                <w:szCs w:val="18"/>
                <w:color w:val="auto"/>
              </w:rPr>
              <w:t>A-TSR less than -20%</w:t>
            </w:r>
          </w:p>
        </w:tc>
        <w:tc>
          <w:tcPr>
            <w:tcW w:w="3460" w:type="dxa"/>
            <w:vAlign w:val="bottom"/>
          </w:tcPr>
          <w:p>
            <w:pPr>
              <w:jc w:val="center"/>
              <w:spacing w:after="0"/>
              <w:rPr>
                <w:sz w:val="20"/>
                <w:szCs w:val="20"/>
                <w:color w:val="auto"/>
              </w:rPr>
            </w:pPr>
            <w:r>
              <w:rPr>
                <w:rFonts w:ascii="Arial" w:cs="Arial" w:eastAsia="Arial" w:hAnsi="Arial"/>
                <w:sz w:val="18"/>
                <w:szCs w:val="18"/>
                <w:color w:val="auto"/>
                <w:w w:val="99"/>
              </w:rPr>
              <w:t>—%</w:t>
            </w:r>
          </w:p>
        </w:tc>
      </w:tr>
    </w:tbl>
    <w:p>
      <w:pPr>
        <w:spacing w:after="0" w:line="39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summarizes our performance restricted stock unit grants and the grant date fair value for the A-TSR performance metric:</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vMerge w:val="restart"/>
          </w:tcPr>
          <w:p>
            <w:pPr>
              <w:ind w:left="3460"/>
              <w:spacing w:after="0"/>
              <w:rPr>
                <w:sz w:val="20"/>
                <w:szCs w:val="20"/>
                <w:color w:val="auto"/>
              </w:rPr>
            </w:pPr>
            <w:r>
              <w:rPr>
                <w:rFonts w:ascii="Arial" w:cs="Arial" w:eastAsia="Arial" w:hAnsi="Arial"/>
                <w:sz w:val="18"/>
                <w:szCs w:val="18"/>
                <w:b w:val="1"/>
                <w:bCs w:val="1"/>
                <w:color w:val="auto"/>
              </w:rPr>
              <w:t>Grant Date</w:t>
            </w:r>
          </w:p>
        </w:tc>
        <w:tc>
          <w:tcPr>
            <w:tcW w:w="120" w:type="dxa"/>
            <w:vAlign w:val="bottom"/>
            <w:vMerge w:val="restart"/>
          </w:tcPr>
          <w:p>
            <w:pPr>
              <w:spacing w:after="0"/>
              <w:rPr>
                <w:sz w:val="14"/>
                <w:szCs w:val="14"/>
                <w:color w:val="auto"/>
              </w:rPr>
            </w:pPr>
          </w:p>
        </w:tc>
        <w:tc>
          <w:tcPr>
            <w:tcW w:w="1120" w:type="dxa"/>
            <w:vAlign w:val="bottom"/>
            <w:gridSpan w:val="2"/>
          </w:tcPr>
          <w:p>
            <w:pPr>
              <w:ind w:left="30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b w:val="1"/>
                <w:bCs w:val="1"/>
                <w:color w:val="auto"/>
              </w:rPr>
              <w:t>Grand Date</w:t>
            </w:r>
          </w:p>
        </w:tc>
        <w:tc>
          <w:tcPr>
            <w:tcW w:w="11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Shares Forfeited</w:t>
            </w:r>
          </w:p>
        </w:tc>
        <w:tc>
          <w:tcPr>
            <w:tcW w:w="0" w:type="dxa"/>
            <w:vAlign w:val="bottom"/>
          </w:tcPr>
          <w:p>
            <w:pPr>
              <w:spacing w:after="0"/>
              <w:rPr>
                <w:sz w:val="1"/>
                <w:szCs w:val="1"/>
                <w:color w:val="auto"/>
              </w:rPr>
            </w:pPr>
          </w:p>
        </w:tc>
      </w:tr>
      <w:tr>
        <w:trPr>
          <w:trHeight w:val="192"/>
        </w:trPr>
        <w:tc>
          <w:tcPr>
            <w:tcW w:w="77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0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Awarded</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December 7, 2017</w:t>
            </w:r>
          </w:p>
        </w:tc>
        <w:tc>
          <w:tcPr>
            <w:tcW w:w="1000" w:type="dxa"/>
            <w:vAlign w:val="bottom"/>
          </w:tcPr>
          <w:p>
            <w:pPr>
              <w:jc w:val="right"/>
              <w:ind w:right="17"/>
              <w:spacing w:after="0"/>
              <w:rPr>
                <w:sz w:val="20"/>
                <w:szCs w:val="20"/>
                <w:color w:val="auto"/>
              </w:rPr>
            </w:pPr>
            <w:r>
              <w:rPr>
                <w:rFonts w:ascii="Arial" w:cs="Arial" w:eastAsia="Arial" w:hAnsi="Arial"/>
                <w:sz w:val="18"/>
                <w:szCs w:val="18"/>
                <w:color w:val="auto"/>
              </w:rPr>
              <w:t>78,200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7"/>
              <w:spacing w:after="0"/>
              <w:rPr>
                <w:sz w:val="20"/>
                <w:szCs w:val="20"/>
                <w:color w:val="auto"/>
              </w:rPr>
            </w:pPr>
            <w:r>
              <w:rPr>
                <w:rFonts w:ascii="Arial" w:cs="Arial" w:eastAsia="Arial" w:hAnsi="Arial"/>
                <w:sz w:val="18"/>
                <w:szCs w:val="18"/>
                <w:color w:val="auto"/>
              </w:rPr>
              <w:t>17.76</w:t>
            </w:r>
          </w:p>
        </w:tc>
        <w:tc>
          <w:tcPr>
            <w:tcW w:w="12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24,854</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December 5, 2018</w:t>
            </w: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89,200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13.63</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25,500</w:t>
            </w:r>
          </w:p>
        </w:tc>
        <w:tc>
          <w:tcPr>
            <w:tcW w:w="0" w:type="dxa"/>
            <w:vAlign w:val="bottom"/>
          </w:tcPr>
          <w:p>
            <w:pPr>
              <w:spacing w:after="0"/>
              <w:rPr>
                <w:sz w:val="1"/>
                <w:szCs w:val="1"/>
                <w:color w:val="auto"/>
              </w:rPr>
            </w:pPr>
          </w:p>
        </w:tc>
      </w:tr>
      <w:tr>
        <w:trPr>
          <w:trHeight w:val="243"/>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December 5, 2019</w:t>
            </w:r>
          </w:p>
        </w:tc>
        <w:tc>
          <w:tcPr>
            <w:tcW w:w="1000" w:type="dxa"/>
            <w:vAlign w:val="bottom"/>
          </w:tcPr>
          <w:p>
            <w:pPr>
              <w:jc w:val="right"/>
              <w:ind w:right="17"/>
              <w:spacing w:after="0"/>
              <w:rPr>
                <w:sz w:val="20"/>
                <w:szCs w:val="20"/>
                <w:color w:val="auto"/>
              </w:rPr>
            </w:pPr>
            <w:r>
              <w:rPr>
                <w:rFonts w:ascii="Arial" w:cs="Arial" w:eastAsia="Arial" w:hAnsi="Arial"/>
                <w:sz w:val="18"/>
                <w:szCs w:val="18"/>
                <w:color w:val="auto"/>
              </w:rPr>
              <w:t>35,000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7"/>
              <w:spacing w:after="0"/>
              <w:rPr>
                <w:sz w:val="20"/>
                <w:szCs w:val="20"/>
                <w:color w:val="auto"/>
              </w:rPr>
            </w:pPr>
            <w:r>
              <w:rPr>
                <w:rFonts w:ascii="Arial" w:cs="Arial" w:eastAsia="Arial" w:hAnsi="Arial"/>
                <w:sz w:val="18"/>
                <w:szCs w:val="18"/>
                <w:color w:val="auto"/>
              </w:rPr>
              <w:t>19.40</w:t>
            </w:r>
          </w:p>
        </w:tc>
        <w:tc>
          <w:tcPr>
            <w:tcW w:w="12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391"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During the three and six months ended April 30, 2020, we recorded compensation expense of approximately $0.1 million and $0.3 million, respectively, and $0.1 million and $0.3 million, respectively, for the comparable prior year period related to our performance share restricted units.</w:t>
      </w:r>
    </w:p>
    <w:p>
      <w:pPr>
        <w:spacing w:after="0" w:line="9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Similar to performance shares, the performance restricted stock units are not considered outstanding shares, do not have voting rights, and are excluded from diluted weighted-average shares used to calculate earnings per share until the performance criteria is probable to result in the issuance of contingent shares. As of April 30, 2020, we have deemed 24,673 shares related to the December 2017 grants of performance restricted stock units as probable to vest.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Treasury Shares</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record treasury stock purchases under the cost method whereby the entire cost of the acquired stock is recorded as treasury stock. Shares are generally issued from treasury stock at the time of grant of restricted stock awards, upon the exercise of stock options, and upon the vesting of performance shares and performance restricted stock units. On the subsequent issuance of treasury shares, we record proceeds in excess of cost as an increase in additional paid in capital. A deficiency of such proceeds relative to costs would be applied to reduce paid-in-capital associated with prior issuances to the extent available, with the remainder recorded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UNAUDITED CONDENSED CONSOLIDATED FINANCIAL STATEMENTS </w:t>
      </w:r>
      <w:r>
        <w:rPr>
          <w:rFonts w:ascii="Arial" w:cs="Arial" w:eastAsia="Arial" w:hAnsi="Arial"/>
          <w:sz w:val="18"/>
          <w:szCs w:val="18"/>
          <w:color w:val="auto"/>
        </w:rPr>
        <w:t>(continued)</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as a charge to retained earnings. We recorded a charge to retained earnings of $0.1 million during the six months ended April 30, 2020.</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treasury stock activity during the six months ended April 30, 2020:</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100" w:type="dxa"/>
            <w:vAlign w:val="bottom"/>
          </w:tcPr>
          <w:p>
            <w:pPr>
              <w:spacing w:after="0"/>
              <w:rPr>
                <w:sz w:val="16"/>
                <w:szCs w:val="16"/>
                <w:color w:val="auto"/>
              </w:rPr>
            </w:pPr>
          </w:p>
        </w:tc>
        <w:tc>
          <w:tcPr>
            <w:tcW w:w="2140" w:type="dxa"/>
            <w:vAlign w:val="bottom"/>
          </w:tcPr>
          <w:p>
            <w:pPr>
              <w:jc w:val="right"/>
              <w:ind w:right="415"/>
              <w:spacing w:after="0"/>
              <w:rPr>
                <w:sz w:val="20"/>
                <w:szCs w:val="20"/>
                <w:color w:val="auto"/>
              </w:rPr>
            </w:pPr>
            <w:r>
              <w:rPr>
                <w:rFonts w:ascii="Arial" w:cs="Arial" w:eastAsia="Arial" w:hAnsi="Arial"/>
                <w:sz w:val="14"/>
                <w:szCs w:val="14"/>
                <w:b w:val="1"/>
                <w:bCs w:val="1"/>
                <w:color w:val="auto"/>
              </w:rPr>
              <w:t>Six Months Ended</w:t>
            </w:r>
          </w:p>
        </w:tc>
      </w:tr>
      <w:tr>
        <w:trPr>
          <w:trHeight w:val="209"/>
        </w:trPr>
        <w:tc>
          <w:tcPr>
            <w:tcW w:w="9100" w:type="dxa"/>
            <w:vAlign w:val="bottom"/>
            <w:tcBorders>
              <w:bottom w:val="single" w:sz="8" w:color="CCEEFF"/>
            </w:tcBorders>
          </w:tcPr>
          <w:p>
            <w:pPr>
              <w:spacing w:after="0"/>
              <w:rPr>
                <w:sz w:val="18"/>
                <w:szCs w:val="18"/>
                <w:color w:val="auto"/>
              </w:rPr>
            </w:pPr>
          </w:p>
        </w:tc>
        <w:tc>
          <w:tcPr>
            <w:tcW w:w="214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April 30, 2020</w:t>
            </w:r>
          </w:p>
        </w:tc>
      </w:tr>
      <w:tr>
        <w:trPr>
          <w:trHeight w:val="249"/>
        </w:trPr>
        <w:tc>
          <w:tcPr>
            <w:tcW w:w="9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 as of November 1, 2019</w:t>
            </w:r>
          </w:p>
        </w:tc>
        <w:tc>
          <w:tcPr>
            <w:tcW w:w="2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4,348,613</w:t>
            </w:r>
          </w:p>
        </w:tc>
      </w:tr>
      <w:tr>
        <w:trPr>
          <w:trHeight w:val="243"/>
        </w:trPr>
        <w:tc>
          <w:tcPr>
            <w:tcW w:w="9100" w:type="dxa"/>
            <w:vAlign w:val="bottom"/>
          </w:tcPr>
          <w:p>
            <w:pPr>
              <w:ind w:left="40"/>
              <w:spacing w:after="0"/>
              <w:rPr>
                <w:sz w:val="20"/>
                <w:szCs w:val="20"/>
                <w:color w:val="auto"/>
              </w:rPr>
            </w:pPr>
            <w:r>
              <w:rPr>
                <w:rFonts w:ascii="Arial" w:cs="Arial" w:eastAsia="Arial" w:hAnsi="Arial"/>
                <w:sz w:val="18"/>
                <w:szCs w:val="18"/>
                <w:color w:val="auto"/>
              </w:rPr>
              <w:t>Restricted stock awards granted</w:t>
            </w:r>
          </w:p>
        </w:tc>
        <w:tc>
          <w:tcPr>
            <w:tcW w:w="2140" w:type="dxa"/>
            <w:vAlign w:val="bottom"/>
          </w:tcPr>
          <w:p>
            <w:pPr>
              <w:jc w:val="right"/>
              <w:spacing w:after="0"/>
              <w:rPr>
                <w:sz w:val="20"/>
                <w:szCs w:val="20"/>
                <w:color w:val="auto"/>
              </w:rPr>
            </w:pPr>
            <w:r>
              <w:rPr>
                <w:rFonts w:ascii="Arial" w:cs="Arial" w:eastAsia="Arial" w:hAnsi="Arial"/>
                <w:sz w:val="18"/>
                <w:szCs w:val="18"/>
                <w:color w:val="auto"/>
              </w:rPr>
              <w:t>(59,700)</w:t>
            </w:r>
          </w:p>
        </w:tc>
      </w:tr>
      <w:tr>
        <w:trPr>
          <w:trHeight w:val="27"/>
        </w:trPr>
        <w:tc>
          <w:tcPr>
            <w:tcW w:w="910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50"/>
        </w:trPr>
        <w:tc>
          <w:tcPr>
            <w:tcW w:w="9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Performance share awards vested</w:t>
            </w:r>
          </w:p>
        </w:tc>
        <w:tc>
          <w:tcPr>
            <w:tcW w:w="2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(28,051)</w:t>
            </w:r>
          </w:p>
        </w:tc>
      </w:tr>
      <w:tr>
        <w:trPr>
          <w:trHeight w:val="243"/>
        </w:trPr>
        <w:tc>
          <w:tcPr>
            <w:tcW w:w="9100" w:type="dxa"/>
            <w:vAlign w:val="bottom"/>
          </w:tcPr>
          <w:p>
            <w:pPr>
              <w:ind w:left="40"/>
              <w:spacing w:after="0"/>
              <w:rPr>
                <w:sz w:val="20"/>
                <w:szCs w:val="20"/>
                <w:color w:val="auto"/>
              </w:rPr>
            </w:pPr>
            <w:r>
              <w:rPr>
                <w:rFonts w:ascii="Arial" w:cs="Arial" w:eastAsia="Arial" w:hAnsi="Arial"/>
                <w:sz w:val="18"/>
                <w:szCs w:val="18"/>
                <w:color w:val="auto"/>
              </w:rPr>
              <w:t>Stock options exercised</w:t>
            </w:r>
          </w:p>
        </w:tc>
        <w:tc>
          <w:tcPr>
            <w:tcW w:w="2140" w:type="dxa"/>
            <w:vAlign w:val="bottom"/>
          </w:tcPr>
          <w:p>
            <w:pPr>
              <w:jc w:val="right"/>
              <w:spacing w:after="0"/>
              <w:rPr>
                <w:sz w:val="20"/>
                <w:szCs w:val="20"/>
                <w:color w:val="auto"/>
              </w:rPr>
            </w:pPr>
            <w:r>
              <w:rPr>
                <w:rFonts w:ascii="Arial" w:cs="Arial" w:eastAsia="Arial" w:hAnsi="Arial"/>
                <w:sz w:val="18"/>
                <w:szCs w:val="18"/>
                <w:color w:val="auto"/>
              </w:rPr>
              <w:t>(178,033)</w:t>
            </w:r>
          </w:p>
        </w:tc>
      </w:tr>
      <w:tr>
        <w:trPr>
          <w:trHeight w:val="27"/>
        </w:trPr>
        <w:tc>
          <w:tcPr>
            <w:tcW w:w="910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70"/>
        </w:trPr>
        <w:tc>
          <w:tcPr>
            <w:tcW w:w="9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Treasury stock repurchases</w:t>
            </w:r>
          </w:p>
        </w:tc>
        <w:tc>
          <w:tcPr>
            <w:tcW w:w="2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419,799</w:t>
            </w:r>
          </w:p>
        </w:tc>
      </w:tr>
      <w:tr>
        <w:trPr>
          <w:trHeight w:val="257"/>
        </w:trPr>
        <w:tc>
          <w:tcPr>
            <w:tcW w:w="9100" w:type="dxa"/>
            <w:vAlign w:val="bottom"/>
          </w:tcPr>
          <w:p>
            <w:pPr>
              <w:ind w:left="40"/>
              <w:spacing w:after="0"/>
              <w:rPr>
                <w:sz w:val="20"/>
                <w:szCs w:val="20"/>
                <w:color w:val="auto"/>
              </w:rPr>
            </w:pPr>
            <w:r>
              <w:rPr>
                <w:rFonts w:ascii="Arial" w:cs="Arial" w:eastAsia="Arial" w:hAnsi="Arial"/>
                <w:sz w:val="18"/>
                <w:szCs w:val="18"/>
                <w:color w:val="auto"/>
              </w:rPr>
              <w:t>Balance at January 31, 2020</w:t>
            </w:r>
          </w:p>
        </w:tc>
        <w:tc>
          <w:tcPr>
            <w:tcW w:w="21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4,502,628</w:t>
            </w:r>
          </w:p>
        </w:tc>
      </w:tr>
      <w:tr>
        <w:trPr>
          <w:trHeight w:val="20"/>
        </w:trPr>
        <w:tc>
          <w:tcPr>
            <w:tcW w:w="9100" w:type="dxa"/>
            <w:vAlign w:val="bottom"/>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Other Income</w:t>
      </w:r>
    </w:p>
    <w:p>
      <w:pPr>
        <w:spacing w:after="0" w:line="175"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Other income (loss), included under the caption "Other, net" on the accompanying condensed consolidated statements of income (loss), consisted of the following for the three and six months ended April 30, 2020 and 2019:</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780" w:type="dxa"/>
            <w:vAlign w:val="bottom"/>
            <w:gridSpan w:val="3"/>
          </w:tcPr>
          <w:p>
            <w:pPr>
              <w:jc w:val="right"/>
              <w:ind w:right="376"/>
              <w:spacing w:after="0"/>
              <w:rPr>
                <w:sz w:val="20"/>
                <w:szCs w:val="20"/>
                <w:color w:val="auto"/>
              </w:rPr>
            </w:pPr>
            <w:r>
              <w:rPr>
                <w:rFonts w:ascii="Arial" w:cs="Arial" w:eastAsia="Arial" w:hAnsi="Arial"/>
                <w:sz w:val="14"/>
                <w:szCs w:val="14"/>
                <w:b w:val="1"/>
                <w:bCs w:val="1"/>
                <w:color w:val="auto"/>
                <w:w w:val="93"/>
              </w:rPr>
              <w:t>Three Months Ended</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60" w:type="dxa"/>
            <w:vAlign w:val="bottom"/>
            <w:gridSpan w:val="3"/>
          </w:tcPr>
          <w:p>
            <w:pPr>
              <w:jc w:val="right"/>
              <w:spacing w:after="0"/>
              <w:rPr>
                <w:sz w:val="20"/>
                <w:szCs w:val="20"/>
                <w:color w:val="auto"/>
              </w:rPr>
            </w:pPr>
            <w:r>
              <w:rPr>
                <w:rFonts w:ascii="Arial" w:cs="Arial" w:eastAsia="Arial" w:hAnsi="Arial"/>
                <w:sz w:val="14"/>
                <w:szCs w:val="14"/>
                <w:b w:val="1"/>
                <w:bCs w:val="1"/>
                <w:color w:val="auto"/>
                <w:w w:val="97"/>
              </w:rPr>
              <w:t>Six Months Ended</w:t>
            </w:r>
          </w:p>
        </w:tc>
        <w:tc>
          <w:tcPr>
            <w:tcW w:w="980" w:type="dxa"/>
            <w:vAlign w:val="bottom"/>
          </w:tcPr>
          <w:p>
            <w:pPr>
              <w:spacing w:after="0"/>
              <w:rPr>
                <w:sz w:val="16"/>
                <w:szCs w:val="16"/>
                <w:color w:val="auto"/>
              </w:rPr>
            </w:pPr>
          </w:p>
        </w:tc>
      </w:tr>
      <w:tr>
        <w:trPr>
          <w:trHeight w:val="276"/>
        </w:trPr>
        <w:tc>
          <w:tcPr>
            <w:tcW w:w="462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3"/>
          </w:tcPr>
          <w:p>
            <w:pPr>
              <w:jc w:val="right"/>
              <w:ind w:right="756"/>
              <w:spacing w:after="0"/>
              <w:rPr>
                <w:sz w:val="20"/>
                <w:szCs w:val="20"/>
                <w:color w:val="auto"/>
              </w:rPr>
            </w:pPr>
            <w:r>
              <w:rPr>
                <w:rFonts w:ascii="Arial" w:cs="Arial" w:eastAsia="Arial" w:hAnsi="Arial"/>
                <w:sz w:val="14"/>
                <w:szCs w:val="14"/>
                <w:b w:val="1"/>
                <w:bCs w:val="1"/>
                <w:color w:val="auto"/>
              </w:rPr>
              <w:t>April 30,</w:t>
            </w:r>
          </w:p>
        </w:tc>
        <w:tc>
          <w:tcPr>
            <w:tcW w:w="5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4"/>
                <w:szCs w:val="14"/>
                <w:b w:val="1"/>
                <w:bCs w:val="1"/>
                <w:color w:val="auto"/>
              </w:rPr>
              <w:t>April 30,</w:t>
            </w:r>
          </w:p>
        </w:tc>
        <w:tc>
          <w:tcPr>
            <w:tcW w:w="980" w:type="dxa"/>
            <w:vAlign w:val="bottom"/>
            <w:tcBorders>
              <w:bottom w:val="single" w:sz="8" w:color="auto"/>
            </w:tcBorders>
          </w:tcPr>
          <w:p>
            <w:pPr>
              <w:spacing w:after="0"/>
              <w:rPr>
                <w:sz w:val="24"/>
                <w:szCs w:val="24"/>
                <w:color w:val="auto"/>
              </w:rPr>
            </w:pPr>
          </w:p>
        </w:tc>
      </w:tr>
      <w:tr>
        <w:trPr>
          <w:trHeight w:val="263"/>
        </w:trPr>
        <w:tc>
          <w:tcPr>
            <w:tcW w:w="4620" w:type="dxa"/>
            <w:vAlign w:val="bottom"/>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2019</w:t>
            </w:r>
          </w:p>
        </w:tc>
      </w:tr>
      <w:tr>
        <w:trPr>
          <w:trHeight w:val="196"/>
        </w:trPr>
        <w:tc>
          <w:tcPr>
            <w:tcW w:w="46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20" w:type="dxa"/>
            <w:vAlign w:val="bottom"/>
            <w:gridSpan w:val="3"/>
          </w:tcPr>
          <w:p>
            <w:pPr>
              <w:jc w:val="right"/>
              <w:ind w:right="516"/>
              <w:spacing w:after="0"/>
              <w:rPr>
                <w:sz w:val="20"/>
                <w:szCs w:val="20"/>
                <w:color w:val="auto"/>
              </w:rPr>
            </w:pPr>
            <w:r>
              <w:rPr>
                <w:rFonts w:ascii="Arial" w:cs="Arial" w:eastAsia="Arial" w:hAnsi="Arial"/>
                <w:sz w:val="14"/>
                <w:szCs w:val="14"/>
                <w:b w:val="1"/>
                <w:bCs w:val="1"/>
                <w:color w:val="auto"/>
              </w:rPr>
              <w:t>(In thousands)</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56"/>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transaction gains (losses)</w:t>
            </w:r>
          </w:p>
        </w:tc>
        <w:tc>
          <w:tcPr>
            <w:tcW w:w="98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83</w:t>
            </w: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Foreign currency derivative losses</w:t>
            </w:r>
          </w:p>
        </w:tc>
        <w:tc>
          <w:tcPr>
            <w:tcW w:w="9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
        </w:trPr>
        <w:tc>
          <w:tcPr>
            <w:tcW w:w="4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Pension service benefit (cost)</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217</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198</w:t>
            </w: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980" w:type="dxa"/>
            <w:vAlign w:val="bottom"/>
          </w:tcPr>
          <w:p>
            <w:pPr>
              <w:spacing w:after="0"/>
              <w:rPr>
                <w:sz w:val="21"/>
                <w:szCs w:val="21"/>
                <w:color w:val="auto"/>
              </w:rPr>
            </w:pPr>
          </w:p>
        </w:tc>
        <w:tc>
          <w:tcPr>
            <w:tcW w:w="620" w:type="dxa"/>
            <w:vAlign w:val="bottom"/>
          </w:tcPr>
          <w:p>
            <w:pPr>
              <w:jc w:val="right"/>
              <w:ind w:right="15"/>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20" w:type="dxa"/>
            <w:vAlign w:val="bottom"/>
          </w:tcPr>
          <w:p>
            <w:pPr>
              <w:jc w:val="right"/>
              <w:ind w:right="33"/>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60" w:type="dxa"/>
            <w:vAlign w:val="bottom"/>
          </w:tcPr>
          <w:p>
            <w:pPr>
              <w:jc w:val="right"/>
              <w:ind w:right="15"/>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44</w:t>
            </w:r>
          </w:p>
        </w:tc>
      </w:tr>
      <w:tr>
        <w:trPr>
          <w:trHeight w:val="27"/>
        </w:trPr>
        <w:tc>
          <w:tcPr>
            <w:tcW w:w="4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9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w:t>
            </w:r>
          </w:p>
        </w:tc>
      </w:tr>
      <w:tr>
        <w:trPr>
          <w:trHeight w:val="257"/>
        </w:trPr>
        <w:tc>
          <w:tcPr>
            <w:tcW w:w="4620" w:type="dxa"/>
            <w:vAlign w:val="bottom"/>
          </w:tcPr>
          <w:p>
            <w:pPr>
              <w:ind w:left="380"/>
              <w:spacing w:after="0"/>
              <w:rPr>
                <w:sz w:val="20"/>
                <w:szCs w:val="20"/>
                <w:color w:val="auto"/>
              </w:rPr>
            </w:pPr>
            <w:r>
              <w:rPr>
                <w:rFonts w:ascii="Arial" w:cs="Arial" w:eastAsia="Arial" w:hAnsi="Arial"/>
                <w:sz w:val="18"/>
                <w:szCs w:val="18"/>
                <w:color w:val="auto"/>
              </w:rPr>
              <w:t>Other, net</w:t>
            </w:r>
          </w:p>
        </w:tc>
        <w:tc>
          <w:tcPr>
            <w:tcW w:w="980" w:type="dxa"/>
            <w:vAlign w:val="bottom"/>
            <w:tcBorders>
              <w:top w:val="single" w:sz="8" w:color="auto"/>
              <w:bottom w:val="single" w:sz="8" w:color="auto"/>
            </w:tcBorders>
          </w:tcPr>
          <w:p>
            <w:pPr>
              <w:jc w:val="right"/>
              <w:ind w:right="776"/>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2"/>
                <w:szCs w:val="22"/>
                <w:color w:val="auto"/>
              </w:rPr>
            </w:pPr>
          </w:p>
        </w:tc>
        <w:tc>
          <w:tcPr>
            <w:tcW w:w="1060" w:type="dxa"/>
            <w:vAlign w:val="bottom"/>
            <w:tcBorders>
              <w:top w:val="single" w:sz="8" w:color="auto"/>
              <w:bottom w:val="single" w:sz="8" w:color="auto"/>
            </w:tcBorders>
          </w:tcPr>
          <w:p>
            <w:pPr>
              <w:jc w:val="right"/>
              <w:ind w:right="856"/>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2"/>
                <w:szCs w:val="22"/>
                <w:color w:val="auto"/>
              </w:rPr>
            </w:pPr>
          </w:p>
        </w:tc>
        <w:tc>
          <w:tcPr>
            <w:tcW w:w="1000" w:type="dxa"/>
            <w:vAlign w:val="bottom"/>
            <w:tcBorders>
              <w:top w:val="single" w:sz="8" w:color="auto"/>
              <w:bottom w:val="single" w:sz="8" w:color="auto"/>
            </w:tcBorders>
          </w:tcPr>
          <w:p>
            <w:pPr>
              <w:jc w:val="right"/>
              <w:ind w:right="796"/>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336</w:t>
            </w:r>
          </w:p>
        </w:tc>
        <w:tc>
          <w:tcPr>
            <w:tcW w:w="120" w:type="dxa"/>
            <w:vAlign w:val="bottom"/>
          </w:tcPr>
          <w:p>
            <w:pPr>
              <w:spacing w:after="0"/>
              <w:rPr>
                <w:sz w:val="22"/>
                <w:szCs w:val="22"/>
                <w:color w:val="auto"/>
              </w:rPr>
            </w:pPr>
          </w:p>
        </w:tc>
        <w:tc>
          <w:tcPr>
            <w:tcW w:w="5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202</w:t>
            </w:r>
          </w:p>
        </w:tc>
      </w:tr>
      <w:tr>
        <w:trPr>
          <w:trHeight w:val="20"/>
        </w:trPr>
        <w:tc>
          <w:tcPr>
            <w:tcW w:w="46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Segment Information</w:t>
      </w:r>
    </w:p>
    <w:p>
      <w:pPr>
        <w:spacing w:after="0" w:line="175"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7"/>
          <w:szCs w:val="17"/>
          <w:color w:val="auto"/>
        </w:rPr>
        <w:t xml:space="preserve">We present three reportable business segments in accordance with ASC Topic 280-10-50, </w:t>
      </w:r>
      <w:r>
        <w:rPr>
          <w:rFonts w:ascii="Arial" w:cs="Arial" w:eastAsia="Arial" w:hAnsi="Arial"/>
          <w:sz w:val="17"/>
          <w:szCs w:val="17"/>
          <w:i w:val="1"/>
          <w:iCs w:val="1"/>
          <w:color w:val="auto"/>
        </w:rPr>
        <w:t>"Segment Reporting"</w:t>
      </w:r>
      <w:r>
        <w:rPr>
          <w:rFonts w:ascii="Arial" w:cs="Arial" w:eastAsia="Arial" w:hAnsi="Arial"/>
          <w:sz w:val="17"/>
          <w:szCs w:val="17"/>
          <w:color w:val="auto"/>
        </w:rPr>
        <w:t xml:space="preserve"> (ASC 280): (1) North American Fenestration segment (NA Fenestration), comprising three operating segments primarily focused on the fenestration market in North America including vinyl profiles, insulating glass spacers, screens &amp; other fenestration components; (2) European Fenestration segment (EU Fenestration), comprising our U.K.-based vinyl extrusion business, manufacturing vinyl profiles &amp; conservatories, and the European insulating glass business manufacturing insulating glass spacers; and (3) North American Cabinet Components segment (NA Cabinet Components), comprising our cabinet door and components operations. We maintain an Unallocated Corporate &amp; Other grouping which includes corporate office charges, and inter-segment eliminations, less an allocation of a portion of the general and administrative costs associated with the corporate office which have been allocated to the reportable business segments, based upon relative share of revenue, in order to more accurately reflect each reportable business segment's administrative cost. Certain costs are not allocated to the reportable operating segments, but remain in Unallocated Corporate &amp; Other, including transaction expenses, stock-based compensation, long-term incentive awards based on the performance of our common stock and other factors, certain severance and legal costs not deemed to be allocable to all segments, depreciation of corporate assets, interest expense, other, net, income taxes, inter-segment eliminations, and executive incentive compensation and medical expense fluctuations relative to planned costs as determined during the annual planning process. The accounting policies of our operating segments are the same as those used to prepare the accompanying condensed consolidated financial statements. Corporate general and administrative expense allocated during the three and six month period ended April 30, 2020 was $4.6 million and $10.2 million, respectively, and $4.6 million and $9.5 million for the comparable prior year periods.</w:t>
      </w:r>
    </w:p>
    <w:p>
      <w:pPr>
        <w:spacing w:after="0" w:line="12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ASC 280 permits aggregation of operating segments based on factors including, but not limited to: (1) similar nature of products serving the building products industry, primarily the fenestration business; (2) similar production processes, although there are some differences in the amount of automation amongst operating plants; (3) similar types or classes of customers, namely the primary OEMs; (4) similar distribution methods for product delivery, although the extent of the use of third-party distributors will vary amongst the businesses; (5) similar regulatory environment; and (6) converging long-term economic similarities.</w:t>
      </w:r>
    </w:p>
    <w:p>
      <w:pPr>
        <w:sectPr>
          <w:pgSz w:w="11900" w:h="16838" w:orient="portrait"/>
          <w:cols w:equalWidth="0" w:num="1">
            <w:col w:w="11240"/>
          </w:cols>
          <w:pgMar w:left="320" w:top="125" w:right="339" w:bottom="1440" w:gutter="0" w:footer="0" w:header="0"/>
        </w:sect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240"/>
          </w:cols>
          <w:pgMar w:left="320" w:top="125" w:right="33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UNAUDITED CONDENSED CONSOLIDATED FINANCIAL STATEMENTS </w:t>
      </w:r>
      <w:r>
        <w:rPr>
          <w:rFonts w:ascii="Arial" w:cs="Arial" w:eastAsia="Arial" w:hAnsi="Arial"/>
          <w:sz w:val="18"/>
          <w:szCs w:val="18"/>
          <w:color w:val="auto"/>
        </w:rPr>
        <w:t>(continued)</w:t>
      </w:r>
    </w:p>
    <w:p>
      <w:pPr>
        <w:spacing w:after="0" w:line="373" w:lineRule="exact"/>
        <w:rPr>
          <w:sz w:val="20"/>
          <w:szCs w:val="20"/>
          <w:color w:val="auto"/>
        </w:rPr>
      </w:pPr>
    </w:p>
    <w:p>
      <w:pPr>
        <w:ind w:right="420" w:firstLine="405"/>
        <w:spacing w:after="0" w:line="277" w:lineRule="auto"/>
        <w:rPr>
          <w:sz w:val="20"/>
          <w:szCs w:val="20"/>
          <w:color w:val="auto"/>
        </w:rPr>
      </w:pPr>
      <w:r>
        <w:rPr>
          <w:rFonts w:ascii="Arial" w:cs="Arial" w:eastAsia="Arial" w:hAnsi="Arial"/>
          <w:sz w:val="18"/>
          <w:szCs w:val="18"/>
          <w:color w:val="auto"/>
        </w:rPr>
        <w:t>Segment information for the three and six months ended April 30, 2020 and 2019, and total assets as of April 30, 2020 and October 31, 2019 are summarized in the following table (in thousands):</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NA Fenestration</w:t>
            </w:r>
          </w:p>
        </w:tc>
        <w:tc>
          <w:tcPr>
            <w:tcW w:w="140" w:type="dxa"/>
            <w:vAlign w:val="bottom"/>
          </w:tcPr>
          <w:p>
            <w:pPr>
              <w:spacing w:after="0"/>
              <w:rPr>
                <w:sz w:val="14"/>
                <w:szCs w:val="14"/>
                <w:color w:val="auto"/>
              </w:rPr>
            </w:pPr>
          </w:p>
        </w:tc>
        <w:tc>
          <w:tcPr>
            <w:tcW w:w="13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EU Fenestration</w:t>
            </w:r>
          </w:p>
        </w:tc>
        <w:tc>
          <w:tcPr>
            <w:tcW w:w="18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NA Cabinet</w:t>
            </w:r>
          </w:p>
        </w:tc>
        <w:tc>
          <w:tcPr>
            <w:tcW w:w="13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5"/>
              </w:rPr>
              <w:t>Unallocated Corp.</w:t>
            </w:r>
          </w:p>
        </w:tc>
        <w:tc>
          <w:tcPr>
            <w:tcW w:w="280" w:type="dxa"/>
            <w:vAlign w:val="bottom"/>
          </w:tcPr>
          <w:p>
            <w:pPr>
              <w:spacing w:after="0"/>
              <w:rPr>
                <w:sz w:val="14"/>
                <w:szCs w:val="14"/>
                <w:color w:val="auto"/>
              </w:rPr>
            </w:pPr>
          </w:p>
        </w:tc>
        <w:tc>
          <w:tcPr>
            <w:tcW w:w="940" w:type="dxa"/>
            <w:vAlign w:val="bottom"/>
            <w:vMerge w:val="restart"/>
          </w:tcPr>
          <w:p>
            <w:pPr>
              <w:jc w:val="right"/>
              <w:ind w:right="37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Comp.</w:t>
            </w:r>
          </w:p>
        </w:tc>
        <w:tc>
          <w:tcPr>
            <w:tcW w:w="220" w:type="dxa"/>
            <w:vAlign w:val="bottom"/>
          </w:tcPr>
          <w:p>
            <w:pPr>
              <w:spacing w:after="0"/>
              <w:rPr>
                <w:sz w:val="16"/>
                <w:szCs w:val="16"/>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&amp; Other</w:t>
            </w:r>
          </w:p>
        </w:tc>
        <w:tc>
          <w:tcPr>
            <w:tcW w:w="2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360" w:type="dxa"/>
            <w:vAlign w:val="bottom"/>
            <w:gridSpan w:val="5"/>
          </w:tcPr>
          <w:p>
            <w:pPr>
              <w:spacing w:after="0"/>
              <w:rPr>
                <w:sz w:val="20"/>
                <w:szCs w:val="20"/>
                <w:color w:val="auto"/>
              </w:rPr>
            </w:pPr>
            <w:r>
              <w:rPr>
                <w:rFonts w:ascii="Arial" w:cs="Arial" w:eastAsia="Arial" w:hAnsi="Arial"/>
                <w:sz w:val="16"/>
                <w:szCs w:val="16"/>
                <w:b w:val="1"/>
                <w:bCs w:val="1"/>
                <w:color w:val="auto"/>
              </w:rPr>
              <w:t>Three Months Ended April 30, 2020</w:t>
            </w:r>
          </w:p>
        </w:tc>
        <w:tc>
          <w:tcPr>
            <w:tcW w:w="1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36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74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18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36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Net sales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108,593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29,200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50,664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187,475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360" w:type="dxa"/>
            <w:vAlign w:val="bottom"/>
            <w:gridSpan w:val="5"/>
          </w:tcPr>
          <w:p>
            <w:pPr>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5,961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2,330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3,474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11,886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36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2,027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8,893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360" w:type="dxa"/>
            <w:vAlign w:val="bottom"/>
            <w:gridSpan w:val="5"/>
          </w:tcPr>
          <w:p>
            <w:pPr>
              <w:spacing w:after="0"/>
              <w:rPr>
                <w:sz w:val="20"/>
                <w:szCs w:val="20"/>
                <w:color w:val="auto"/>
              </w:rPr>
            </w:pPr>
            <w:r>
              <w:rPr>
                <w:rFonts w:ascii="Arial" w:cs="Arial" w:eastAsia="Arial" w:hAnsi="Arial"/>
                <w:sz w:val="18"/>
                <w:szCs w:val="18"/>
                <w:color w:val="auto"/>
              </w:rPr>
              <w:t>Capital expenditures</w:t>
            </w:r>
          </w:p>
        </w:tc>
        <w:tc>
          <w:tcPr>
            <w:tcW w:w="14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4,308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407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2,269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7,001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shd w:val="clear" w:color="auto" w:fill="CCEEFF"/>
          </w:tcPr>
          <w:p>
            <w:pPr>
              <w:spacing w:after="0"/>
              <w:rPr>
                <w:sz w:val="21"/>
                <w:szCs w:val="21"/>
                <w:color w:val="auto"/>
              </w:rPr>
            </w:pPr>
          </w:p>
        </w:tc>
        <w:tc>
          <w:tcPr>
            <w:tcW w:w="4360" w:type="dxa"/>
            <w:vAlign w:val="bottom"/>
            <w:gridSpan w:val="5"/>
            <w:shd w:val="clear" w:color="auto" w:fill="CCEEFF"/>
          </w:tcPr>
          <w:p>
            <w:pPr>
              <w:spacing w:after="0"/>
              <w:rPr>
                <w:sz w:val="20"/>
                <w:szCs w:val="20"/>
                <w:color w:val="auto"/>
              </w:rPr>
            </w:pPr>
            <w:r>
              <w:rPr>
                <w:rFonts w:ascii="Arial" w:cs="Arial" w:eastAsia="Arial" w:hAnsi="Arial"/>
                <w:sz w:val="16"/>
                <w:szCs w:val="16"/>
                <w:b w:val="1"/>
                <w:bCs w:val="1"/>
                <w:color w:val="auto"/>
              </w:rPr>
              <w:t>Three Months Ended April 30, 2019</w:t>
            </w:r>
          </w:p>
        </w:tc>
        <w:tc>
          <w:tcPr>
            <w:tcW w:w="14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Borders>
              <w:top w:val="single" w:sz="8" w:color="CCEEFF"/>
            </w:tcBorders>
          </w:tcPr>
          <w:p>
            <w:pPr>
              <w:spacing w:after="0"/>
              <w:rPr>
                <w:sz w:val="21"/>
                <w:szCs w:val="21"/>
                <w:color w:val="auto"/>
              </w:rPr>
            </w:pPr>
          </w:p>
        </w:tc>
        <w:tc>
          <w:tcPr>
            <w:tcW w:w="248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Net sales</w:t>
            </w:r>
          </w:p>
        </w:tc>
        <w:tc>
          <w:tcPr>
            <w:tcW w:w="188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CCEEFF"/>
            </w:tcBorders>
          </w:tcPr>
          <w:p>
            <w:pPr>
              <w:jc w:val="right"/>
              <w:ind w:right="31"/>
              <w:spacing w:after="0"/>
              <w:rPr>
                <w:sz w:val="20"/>
                <w:szCs w:val="20"/>
                <w:color w:val="auto"/>
              </w:rPr>
            </w:pPr>
            <w:r>
              <w:rPr>
                <w:rFonts w:ascii="Arial" w:cs="Arial" w:eastAsia="Arial" w:hAnsi="Arial"/>
                <w:sz w:val="18"/>
                <w:szCs w:val="18"/>
                <w:color w:val="auto"/>
              </w:rPr>
              <w:t>115,346</w:t>
            </w:r>
          </w:p>
        </w:tc>
        <w:tc>
          <w:tcPr>
            <w:tcW w:w="10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CCEEFF"/>
            </w:tcBorders>
          </w:tcPr>
          <w:p>
            <w:pPr>
              <w:jc w:val="right"/>
              <w:ind w:right="31"/>
              <w:spacing w:after="0"/>
              <w:rPr>
                <w:sz w:val="20"/>
                <w:szCs w:val="20"/>
                <w:color w:val="auto"/>
              </w:rPr>
            </w:pPr>
            <w:r>
              <w:rPr>
                <w:rFonts w:ascii="Arial" w:cs="Arial" w:eastAsia="Arial" w:hAnsi="Arial"/>
                <w:sz w:val="18"/>
                <w:szCs w:val="18"/>
                <w:color w:val="auto"/>
              </w:rPr>
              <w:t>41,623</w:t>
            </w:r>
          </w:p>
        </w:tc>
        <w:tc>
          <w:tcPr>
            <w:tcW w:w="10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CCEEFF"/>
            </w:tcBorders>
          </w:tcPr>
          <w:p>
            <w:pPr>
              <w:jc w:val="right"/>
              <w:ind w:right="12"/>
              <w:spacing w:after="0"/>
              <w:rPr>
                <w:sz w:val="20"/>
                <w:szCs w:val="20"/>
                <w:color w:val="auto"/>
              </w:rPr>
            </w:pPr>
            <w:r>
              <w:rPr>
                <w:rFonts w:ascii="Arial" w:cs="Arial" w:eastAsia="Arial" w:hAnsi="Arial"/>
                <w:sz w:val="18"/>
                <w:szCs w:val="18"/>
                <w:color w:val="auto"/>
              </w:rPr>
              <w:t>62,836</w:t>
            </w:r>
          </w:p>
        </w:tc>
        <w:tc>
          <w:tcPr>
            <w:tcW w:w="12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jc w:val="right"/>
              <w:ind w:right="13"/>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(1,602)</w:t>
            </w:r>
          </w:p>
        </w:tc>
        <w:tc>
          <w:tcPr>
            <w:tcW w:w="120" w:type="dxa"/>
            <w:vAlign w:val="bottom"/>
            <w:tcBorders>
              <w:top w:val="single" w:sz="8" w:color="CCEEFF"/>
            </w:tcBorders>
          </w:tcPr>
          <w:p>
            <w:pPr>
              <w:spacing w:after="0"/>
              <w:rPr>
                <w:sz w:val="21"/>
                <w:szCs w:val="21"/>
                <w:color w:val="auto"/>
              </w:rPr>
            </w:pPr>
          </w:p>
        </w:tc>
        <w:tc>
          <w:tcPr>
            <w:tcW w:w="280" w:type="dxa"/>
            <w:vAlign w:val="bottom"/>
            <w:tcBorders>
              <w:top w:val="single" w:sz="8" w:color="CCEEFF"/>
            </w:tcBorders>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CCEEFF"/>
            </w:tcBorders>
          </w:tcPr>
          <w:p>
            <w:pPr>
              <w:jc w:val="right"/>
              <w:ind w:right="11"/>
              <w:spacing w:after="0"/>
              <w:rPr>
                <w:sz w:val="20"/>
                <w:szCs w:val="20"/>
                <w:color w:val="auto"/>
              </w:rPr>
            </w:pPr>
            <w:r>
              <w:rPr>
                <w:rFonts w:ascii="Arial" w:cs="Arial" w:eastAsia="Arial" w:hAnsi="Arial"/>
                <w:sz w:val="18"/>
                <w:szCs w:val="18"/>
                <w:color w:val="auto"/>
              </w:rPr>
              <w:t>218,203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36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6,758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3,305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12,404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360" w:type="dxa"/>
            <w:vAlign w:val="bottom"/>
            <w:gridSpan w:val="5"/>
          </w:tcPr>
          <w:p>
            <w:pPr>
              <w:spacing w:after="0"/>
              <w:rPr>
                <w:sz w:val="20"/>
                <w:szCs w:val="20"/>
                <w:color w:val="auto"/>
              </w:rPr>
            </w:pPr>
            <w:r>
              <w:rPr>
                <w:rFonts w:ascii="Arial" w:cs="Arial" w:eastAsia="Arial" w:hAnsi="Arial"/>
                <w:sz w:val="18"/>
                <w:szCs w:val="18"/>
                <w:color w:val="auto"/>
              </w:rPr>
              <w:t>Operating income (loss)</w:t>
            </w:r>
          </w:p>
        </w:tc>
        <w:tc>
          <w:tcPr>
            <w:tcW w:w="14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6,260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4,802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(28,651)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(1,774)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(19,363)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36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2,937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3,213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6,751</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360" w:type="dxa"/>
            <w:vAlign w:val="bottom"/>
            <w:gridSpan w:val="5"/>
          </w:tcPr>
          <w:p>
            <w:pPr>
              <w:spacing w:after="0"/>
              <w:rPr>
                <w:sz w:val="20"/>
                <w:szCs w:val="20"/>
                <w:color w:val="auto"/>
              </w:rPr>
            </w:pPr>
            <w:r>
              <w:rPr>
                <w:rFonts w:ascii="Arial" w:cs="Arial" w:eastAsia="Arial" w:hAnsi="Arial"/>
                <w:sz w:val="16"/>
                <w:szCs w:val="16"/>
                <w:b w:val="1"/>
                <w:bCs w:val="1"/>
                <w:color w:val="auto"/>
              </w:rPr>
              <w:t>Six Months Ended April 30, 2020</w:t>
            </w: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36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74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18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36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Net sales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219,045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65,966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100,708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384,072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360" w:type="dxa"/>
            <w:vAlign w:val="bottom"/>
            <w:gridSpan w:val="5"/>
          </w:tcPr>
          <w:p>
            <w:pPr>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12,940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4,738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6,875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238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24,791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36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9,058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10,873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360" w:type="dxa"/>
            <w:vAlign w:val="bottom"/>
            <w:gridSpan w:val="5"/>
          </w:tcPr>
          <w:p>
            <w:pPr>
              <w:spacing w:after="0"/>
              <w:rPr>
                <w:sz w:val="20"/>
                <w:szCs w:val="20"/>
                <w:color w:val="auto"/>
              </w:rPr>
            </w:pPr>
            <w:r>
              <w:rPr>
                <w:rFonts w:ascii="Arial" w:cs="Arial" w:eastAsia="Arial" w:hAnsi="Arial"/>
                <w:sz w:val="18"/>
                <w:szCs w:val="18"/>
                <w:color w:val="auto"/>
              </w:rPr>
              <w:t>Capital expenditures</w:t>
            </w:r>
          </w:p>
        </w:tc>
        <w:tc>
          <w:tcPr>
            <w:tcW w:w="14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11,236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1,626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3,344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16,313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30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6"/>
                <w:szCs w:val="16"/>
                <w:b w:val="1"/>
                <w:bCs w:val="1"/>
                <w:color w:val="auto"/>
                <w:w w:val="92"/>
              </w:rPr>
              <w:t>Six Months Ended April 30, 2019</w:t>
            </w:r>
          </w:p>
        </w:tc>
        <w:tc>
          <w:tcPr>
            <w:tcW w:w="2060" w:type="dxa"/>
            <w:vAlign w:val="bottom"/>
            <w:tcBorders>
              <w:bottom w:val="single" w:sz="8" w:color="CCEEFF"/>
            </w:tcBorders>
            <w:gridSpan w:val="2"/>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360" w:type="dxa"/>
            <w:vAlign w:val="bottom"/>
            <w:gridSpan w:val="5"/>
          </w:tcPr>
          <w:p>
            <w:pPr>
              <w:spacing w:after="0"/>
              <w:rPr>
                <w:sz w:val="20"/>
                <w:szCs w:val="20"/>
                <w:color w:val="auto"/>
              </w:rPr>
            </w:pPr>
            <w:r>
              <w:rPr>
                <w:rFonts w:ascii="Arial" w:cs="Arial" w:eastAsia="Arial" w:hAnsi="Arial"/>
                <w:sz w:val="18"/>
                <w:szCs w:val="18"/>
                <w:color w:val="auto"/>
              </w:rPr>
              <w:t>Net sales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224,395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76,877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116,688</w:t>
            </w:r>
          </w:p>
        </w:tc>
        <w:tc>
          <w:tcPr>
            <w:tcW w:w="120" w:type="dxa"/>
            <w:vAlign w:val="bottom"/>
          </w:tcPr>
          <w:p>
            <w:pPr>
              <w:spacing w:after="0"/>
              <w:rPr>
                <w:sz w:val="21"/>
                <w:szCs w:val="21"/>
                <w:color w:val="auto"/>
              </w:rPr>
            </w:pPr>
          </w:p>
        </w:tc>
        <w:tc>
          <w:tcPr>
            <w:tcW w:w="220" w:type="dxa"/>
            <w:vAlign w:val="bottom"/>
          </w:tcPr>
          <w:p>
            <w:pPr>
              <w:jc w:val="right"/>
              <w:ind w:right="13"/>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(2,949)</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415,011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36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13,630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6,644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24,976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360" w:type="dxa"/>
            <w:vAlign w:val="bottom"/>
            <w:gridSpan w:val="5"/>
          </w:tcPr>
          <w:p>
            <w:pPr>
              <w:spacing w:after="0"/>
              <w:rPr>
                <w:sz w:val="20"/>
                <w:szCs w:val="20"/>
                <w:color w:val="auto"/>
              </w:rPr>
            </w:pPr>
            <w:r>
              <w:rPr>
                <w:rFonts w:ascii="Arial" w:cs="Arial" w:eastAsia="Arial" w:hAnsi="Arial"/>
                <w:sz w:val="18"/>
                <w:szCs w:val="18"/>
                <w:color w:val="auto"/>
              </w:rPr>
              <w:t>Operating income (loss)</w:t>
            </w:r>
          </w:p>
        </w:tc>
        <w:tc>
          <w:tcPr>
            <w:tcW w:w="14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8,104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7,584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(30,919)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(6,582)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(21,813)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36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6,373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4,340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13,022</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360" w:type="dxa"/>
            <w:vAlign w:val="bottom"/>
            <w:gridSpan w:val="5"/>
          </w:tcPr>
          <w:p>
            <w:pPr>
              <w:spacing w:after="0"/>
              <w:rPr>
                <w:sz w:val="20"/>
                <w:szCs w:val="20"/>
                <w:color w:val="auto"/>
              </w:rPr>
            </w:pPr>
            <w:r>
              <w:rPr>
                <w:rFonts w:ascii="Arial" w:cs="Arial" w:eastAsia="Arial" w:hAnsi="Arial"/>
                <w:sz w:val="16"/>
                <w:szCs w:val="16"/>
                <w:b w:val="1"/>
                <w:bCs w:val="1"/>
                <w:color w:val="auto"/>
              </w:rPr>
              <w:t>As of April 30, 2020</w:t>
            </w: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36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36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250,416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210,677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177,638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74,154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712,885</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360" w:type="dxa"/>
            <w:vAlign w:val="bottom"/>
            <w:gridSpan w:val="5"/>
          </w:tcPr>
          <w:p>
            <w:pPr>
              <w:spacing w:after="0"/>
              <w:rPr>
                <w:sz w:val="20"/>
                <w:szCs w:val="20"/>
                <w:color w:val="auto"/>
              </w:rPr>
            </w:pPr>
            <w:r>
              <w:rPr>
                <w:rFonts w:ascii="Arial" w:cs="Arial" w:eastAsia="Arial" w:hAnsi="Arial"/>
                <w:sz w:val="16"/>
                <w:szCs w:val="16"/>
                <w:b w:val="1"/>
                <w:bCs w:val="1"/>
                <w:color w:val="auto"/>
              </w:rPr>
              <w:t>As of October 31, 2019</w:t>
            </w: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36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7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40" w:type="dxa"/>
            <w:vAlign w:val="bottom"/>
            <w:shd w:val="clear" w:color="auto" w:fill="CCEEFF"/>
          </w:tcPr>
          <w:p>
            <w:pPr>
              <w:spacing w:after="0"/>
              <w:rPr>
                <w:sz w:val="21"/>
                <w:szCs w:val="21"/>
                <w:color w:val="auto"/>
              </w:rPr>
            </w:pPr>
          </w:p>
        </w:tc>
        <w:tc>
          <w:tcPr>
            <w:tcW w:w="43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Total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226,243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212,239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181,416</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25,212</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645,110</w:t>
            </w: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The following table summarizes the change in the carrying amount of goodwill by reportable business segment for the six months ended April 30, 2020 (in thousands):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vMerge w:val="restart"/>
          </w:tcPr>
          <w:p>
            <w:pPr>
              <w:jc w:val="right"/>
              <w:ind w:right="55"/>
              <w:spacing w:after="0"/>
              <w:rPr>
                <w:sz w:val="20"/>
                <w:szCs w:val="20"/>
                <w:color w:val="auto"/>
              </w:rPr>
            </w:pPr>
            <w:r>
              <w:rPr>
                <w:rFonts w:ascii="Arial" w:cs="Arial" w:eastAsia="Arial" w:hAnsi="Arial"/>
                <w:sz w:val="14"/>
                <w:szCs w:val="14"/>
                <w:b w:val="1"/>
                <w:bCs w:val="1"/>
                <w:color w:val="auto"/>
                <w:w w:val="92"/>
              </w:rPr>
              <w:t>NA Fenestration</w:t>
            </w:r>
          </w:p>
        </w:tc>
        <w:tc>
          <w:tcPr>
            <w:tcW w:w="100" w:type="dxa"/>
            <w:vAlign w:val="bottom"/>
            <w:vMerge w:val="restart"/>
          </w:tcPr>
          <w:p>
            <w:pPr>
              <w:spacing w:after="0"/>
              <w:rPr>
                <w:sz w:val="14"/>
                <w:szCs w:val="14"/>
                <w:color w:val="auto"/>
              </w:rPr>
            </w:pPr>
          </w:p>
        </w:tc>
        <w:tc>
          <w:tcPr>
            <w:tcW w:w="1240" w:type="dxa"/>
            <w:vAlign w:val="bottom"/>
            <w:gridSpan w:val="2"/>
            <w:vMerge w:val="restart"/>
          </w:tcPr>
          <w:p>
            <w:pPr>
              <w:jc w:val="right"/>
              <w:ind w:right="30"/>
              <w:spacing w:after="0"/>
              <w:rPr>
                <w:sz w:val="20"/>
                <w:szCs w:val="20"/>
                <w:color w:val="auto"/>
              </w:rPr>
            </w:pPr>
            <w:r>
              <w:rPr>
                <w:rFonts w:ascii="Arial" w:cs="Arial" w:eastAsia="Arial" w:hAnsi="Arial"/>
                <w:sz w:val="14"/>
                <w:szCs w:val="14"/>
                <w:b w:val="1"/>
                <w:bCs w:val="1"/>
                <w:color w:val="auto"/>
              </w:rPr>
              <w:t>EU Fenestration</w:t>
            </w:r>
          </w:p>
        </w:tc>
        <w:tc>
          <w:tcPr>
            <w:tcW w:w="10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4"/>
                <w:szCs w:val="14"/>
                <w:b w:val="1"/>
                <w:bCs w:val="1"/>
                <w:color w:val="auto"/>
              </w:rPr>
              <w:t>NA Cabinet</w:t>
            </w:r>
          </w:p>
        </w:tc>
        <w:tc>
          <w:tcPr>
            <w:tcW w:w="13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5"/>
              </w:rPr>
              <w:t>Unallocated Corp.</w:t>
            </w:r>
          </w:p>
        </w:tc>
        <w:tc>
          <w:tcPr>
            <w:tcW w:w="280" w:type="dxa"/>
            <w:vAlign w:val="bottom"/>
          </w:tcPr>
          <w:p>
            <w:pPr>
              <w:spacing w:after="0"/>
              <w:rPr>
                <w:sz w:val="14"/>
                <w:szCs w:val="14"/>
                <w:color w:val="auto"/>
              </w:rPr>
            </w:pPr>
          </w:p>
        </w:tc>
        <w:tc>
          <w:tcPr>
            <w:tcW w:w="940" w:type="dxa"/>
            <w:vAlign w:val="bottom"/>
            <w:vMerge w:val="restart"/>
          </w:tcPr>
          <w:p>
            <w:pPr>
              <w:jc w:val="right"/>
              <w:ind w:right="37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6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Comp.</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rPr>
              <w:t>&amp; Other</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October 31, 2019</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38,712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67,704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39,147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145,563</w:t>
            </w:r>
          </w:p>
        </w:tc>
        <w:tc>
          <w:tcPr>
            <w:tcW w:w="0" w:type="dxa"/>
            <w:vAlign w:val="bottom"/>
          </w:tcPr>
          <w:p>
            <w:pPr>
              <w:spacing w:after="0"/>
              <w:rPr>
                <w:sz w:val="1"/>
                <w:szCs w:val="1"/>
                <w:color w:val="auto"/>
              </w:rPr>
            </w:pP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Foreign currency translation adjustment</w:t>
            </w:r>
          </w:p>
        </w:tc>
        <w:tc>
          <w:tcPr>
            <w:tcW w:w="1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(1,693)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(1,693)</w:t>
            </w:r>
          </w:p>
        </w:tc>
        <w:tc>
          <w:tcPr>
            <w:tcW w:w="0" w:type="dxa"/>
            <w:vAlign w:val="bottom"/>
          </w:tcPr>
          <w:p>
            <w:pPr>
              <w:spacing w:after="0"/>
              <w:rPr>
                <w:sz w:val="1"/>
                <w:szCs w:val="1"/>
                <w:color w:val="auto"/>
              </w:rPr>
            </w:pPr>
          </w:p>
        </w:tc>
      </w:tr>
      <w:tr>
        <w:trPr>
          <w:trHeight w:val="27"/>
        </w:trPr>
        <w:tc>
          <w:tcPr>
            <w:tcW w:w="46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6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April 30, 2020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38,712</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66,011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39,147</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143,870</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For further details of Goodwill, see Note 4, "Goodwill &amp; Intangible Assets", located herewith.</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did not allocate non-operating loss or income tax benefit to the reportable segments. The following table reconciles operating income (loss) as reported above to net income (loss) for the three and six months ended April 30, 2020 and 2019:</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UNAUDITED CONDENSED CONSOLIDATED FINANCIAL STATEMENTS </w:t>
      </w:r>
      <w:r>
        <w:rPr>
          <w:rFonts w:ascii="Arial" w:cs="Arial" w:eastAsia="Arial" w:hAnsi="Arial"/>
          <w:sz w:val="18"/>
          <w:szCs w:val="18"/>
          <w:color w:val="auto"/>
        </w:rPr>
        <w:t>(continued)</w:t>
      </w: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6"/>
                <w:szCs w:val="16"/>
                <w:color w:val="auto"/>
              </w:rPr>
            </w:pPr>
          </w:p>
        </w:tc>
        <w:tc>
          <w:tcPr>
            <w:tcW w:w="1900" w:type="dxa"/>
            <w:vAlign w:val="bottom"/>
            <w:gridSpan w:val="4"/>
          </w:tcPr>
          <w:p>
            <w:pPr>
              <w:jc w:val="right"/>
              <w:ind w:right="393"/>
              <w:spacing w:after="0"/>
              <w:rPr>
                <w:sz w:val="20"/>
                <w:szCs w:val="20"/>
                <w:color w:val="auto"/>
              </w:rPr>
            </w:pPr>
            <w:r>
              <w:rPr>
                <w:rFonts w:ascii="Arial" w:cs="Arial" w:eastAsia="Arial" w:hAnsi="Arial"/>
                <w:sz w:val="14"/>
                <w:szCs w:val="14"/>
                <w:b w:val="1"/>
                <w:bCs w:val="1"/>
                <w:color w:val="auto"/>
              </w:rPr>
              <w:t>Six Months Ended</w:t>
            </w:r>
          </w:p>
        </w:tc>
      </w:tr>
      <w:tr>
        <w:trPr>
          <w:trHeight w:val="276"/>
        </w:trPr>
        <w:tc>
          <w:tcPr>
            <w:tcW w:w="68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April 30,</w:t>
            </w:r>
          </w:p>
        </w:tc>
        <w:tc>
          <w:tcPr>
            <w:tcW w:w="7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April 30,</w:t>
            </w:r>
          </w:p>
        </w:tc>
        <w:tc>
          <w:tcPr>
            <w:tcW w:w="720" w:type="dxa"/>
            <w:vAlign w:val="bottom"/>
            <w:tcBorders>
              <w:bottom w:val="single" w:sz="8" w:color="auto"/>
            </w:tcBorders>
          </w:tcPr>
          <w:p>
            <w:pPr>
              <w:spacing w:after="0"/>
              <w:rPr>
                <w:sz w:val="24"/>
                <w:szCs w:val="24"/>
                <w:color w:val="auto"/>
              </w:rPr>
            </w:pPr>
          </w:p>
        </w:tc>
      </w:tr>
      <w:tr>
        <w:trPr>
          <w:trHeight w:val="264"/>
        </w:trPr>
        <w:tc>
          <w:tcPr>
            <w:tcW w:w="68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2019</w:t>
            </w:r>
          </w:p>
        </w:tc>
      </w:tr>
      <w:tr>
        <w:trPr>
          <w:trHeight w:val="196"/>
        </w:trPr>
        <w:tc>
          <w:tcPr>
            <w:tcW w:w="6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40" w:type="dxa"/>
            <w:vAlign w:val="bottom"/>
            <w:gridSpan w:val="5"/>
          </w:tcPr>
          <w:p>
            <w:pPr>
              <w:ind w:left="34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56"/>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8,893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(19,363)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10,873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(21,813)</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(1,563)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(2,602)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(3,145)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(5,044)</w:t>
            </w:r>
          </w:p>
        </w:tc>
      </w:tr>
      <w:tr>
        <w:trPr>
          <w:trHeight w:val="27"/>
        </w:trPr>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net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336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202</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(2,129)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(1,955)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(2,553)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(968)</w:t>
            </w:r>
          </w:p>
        </w:tc>
      </w:tr>
      <w:tr>
        <w:trPr>
          <w:trHeight w:val="27"/>
        </w:trPr>
        <w:tc>
          <w:tcPr>
            <w:tcW w:w="6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57"/>
        </w:trPr>
        <w:tc>
          <w:tcPr>
            <w:tcW w:w="68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income (loss)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5,501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(23,974)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5,511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(27,623)</w:t>
            </w:r>
          </w:p>
        </w:tc>
      </w:tr>
      <w:tr>
        <w:trPr>
          <w:trHeight w:val="20"/>
        </w:trPr>
        <w:tc>
          <w:tcPr>
            <w:tcW w:w="6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Earnings Per Share</w:t>
      </w:r>
    </w:p>
    <w:p>
      <w:pPr>
        <w:spacing w:after="0" w:line="14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compute basic earnings (loss) per share by dividing net income (loss) by the weighted average number of common shares outstanding during the period. Diluted earnings per common and potential common shares include the weighted average of additional shares associated with the incremental effect of dilutive employee stock options, non-vested restricted stock as determined using the treasury stock method prescribed by U.S. GAAP and contingent shares associated with performance share awards, if dilutive.</w:t>
      </w:r>
    </w:p>
    <w:p>
      <w:pPr>
        <w:spacing w:after="0" w:line="10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Basic and diluted earnings (loss) per share for the three and six months ended April 30, 2020 and 2019 were calculated as follows (in thousands, except per share data):</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UNAUDITED CONDENSED CONSOLIDATED FINANCIAL STATEMENTS </w:t>
      </w:r>
      <w:r>
        <w:rPr>
          <w:rFonts w:ascii="Arial" w:cs="Arial" w:eastAsia="Arial" w:hAnsi="Arial"/>
          <w:sz w:val="18"/>
          <w:szCs w:val="18"/>
          <w:color w:val="auto"/>
        </w:rPr>
        <w:t>(continued)</w:t>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Net Income (Loss)</w:t>
            </w:r>
          </w:p>
        </w:tc>
        <w:tc>
          <w:tcPr>
            <w:tcW w:w="1560" w:type="dxa"/>
            <w:vAlign w:val="bottom"/>
          </w:tcPr>
          <w:p>
            <w:pPr>
              <w:jc w:val="right"/>
              <w:ind w:right="132"/>
              <w:spacing w:after="0"/>
              <w:rPr>
                <w:sz w:val="20"/>
                <w:szCs w:val="20"/>
                <w:color w:val="auto"/>
              </w:rPr>
            </w:pPr>
            <w:r>
              <w:rPr>
                <w:rFonts w:ascii="Arial" w:cs="Arial" w:eastAsia="Arial" w:hAnsi="Arial"/>
                <w:sz w:val="14"/>
                <w:szCs w:val="14"/>
                <w:b w:val="1"/>
                <w:bCs w:val="1"/>
                <w:color w:val="auto"/>
              </w:rPr>
              <w:t>Weighted Average</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1560" w:type="dxa"/>
            <w:vAlign w:val="bottom"/>
          </w:tcPr>
          <w:p>
            <w:pPr>
              <w:jc w:val="right"/>
              <w:ind w:right="492"/>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6600" w:type="dxa"/>
            <w:vAlign w:val="bottom"/>
            <w:gridSpan w:val="3"/>
          </w:tcPr>
          <w:p>
            <w:pPr>
              <w:spacing w:after="0"/>
              <w:rPr>
                <w:sz w:val="20"/>
                <w:szCs w:val="20"/>
                <w:color w:val="auto"/>
              </w:rPr>
            </w:pPr>
            <w:r>
              <w:rPr>
                <w:rFonts w:ascii="Arial" w:cs="Arial" w:eastAsia="Arial" w:hAnsi="Arial"/>
                <w:sz w:val="16"/>
                <w:szCs w:val="16"/>
                <w:b w:val="1"/>
                <w:bCs w:val="1"/>
                <w:color w:val="auto"/>
              </w:rPr>
              <w:t>Three Months Ended April 30, 2020</w:t>
            </w:r>
          </w:p>
        </w:tc>
        <w:tc>
          <w:tcPr>
            <w:tcW w:w="1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230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4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6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5,501</w:t>
            </w: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32,676</w:t>
            </w:r>
          </w:p>
        </w:tc>
        <w:tc>
          <w:tcPr>
            <w:tcW w:w="4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600" w:type="dxa"/>
            <w:vAlign w:val="bottom"/>
            <w:gridSpan w:val="3"/>
          </w:tcPr>
          <w:p>
            <w:pPr>
              <w:spacing w:after="0"/>
              <w:rPr>
                <w:sz w:val="20"/>
                <w:szCs w:val="20"/>
                <w:color w:val="auto"/>
              </w:rPr>
            </w:pPr>
            <w:r>
              <w:rPr>
                <w:rFonts w:ascii="Arial" w:cs="Arial" w:eastAsia="Arial" w:hAnsi="Arial"/>
                <w:sz w:val="18"/>
                <w:szCs w:val="18"/>
                <w:i w:val="1"/>
                <w:iCs w:val="1"/>
                <w:color w:val="auto"/>
              </w:rPr>
              <w:t>Effect of dilutive securities:</w:t>
            </w: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6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Stock options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600" w:type="dxa"/>
            <w:vAlign w:val="bottom"/>
            <w:gridSpan w:val="3"/>
          </w:tcPr>
          <w:p>
            <w:pPr>
              <w:spacing w:after="0"/>
              <w:rPr>
                <w:sz w:val="20"/>
                <w:szCs w:val="20"/>
                <w:color w:val="auto"/>
              </w:rPr>
            </w:pPr>
            <w:r>
              <w:rPr>
                <w:rFonts w:ascii="Arial" w:cs="Arial" w:eastAsia="Arial" w:hAnsi="Arial"/>
                <w:sz w:val="18"/>
                <w:szCs w:val="18"/>
                <w:color w:val="auto"/>
              </w:rPr>
              <w:t>Restricted stock awards</w:t>
            </w: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73</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6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Performance shares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600" w:type="dxa"/>
            <w:vAlign w:val="bottom"/>
            <w:gridSpan w:val="3"/>
          </w:tcPr>
          <w:p>
            <w:pPr>
              <w:spacing w:after="0"/>
              <w:rPr>
                <w:sz w:val="20"/>
                <w:szCs w:val="20"/>
                <w:color w:val="auto"/>
              </w:rPr>
            </w:pPr>
            <w:r>
              <w:rPr>
                <w:rFonts w:ascii="Arial" w:cs="Arial" w:eastAsia="Arial" w:hAnsi="Arial"/>
                <w:sz w:val="18"/>
                <w:szCs w:val="18"/>
                <w:color w:val="auto"/>
              </w:rPr>
              <w:t>Performance restricted stock units</w:t>
            </w: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4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66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5,501</w:t>
            </w:r>
          </w:p>
        </w:tc>
        <w:tc>
          <w:tcPr>
            <w:tcW w:w="2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32,793</w:t>
            </w:r>
          </w:p>
        </w:tc>
        <w:tc>
          <w:tcPr>
            <w:tcW w:w="4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40" w:type="dxa"/>
            <w:vAlign w:val="bottom"/>
            <w:shd w:val="clear" w:color="auto" w:fill="CCEEFF"/>
          </w:tcPr>
          <w:p>
            <w:pPr>
              <w:spacing w:after="0"/>
              <w:rPr>
                <w:sz w:val="21"/>
                <w:szCs w:val="21"/>
                <w:color w:val="auto"/>
              </w:rPr>
            </w:pPr>
          </w:p>
        </w:tc>
        <w:tc>
          <w:tcPr>
            <w:tcW w:w="660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rPr>
              <w:t>Three Months Ended April 30, 2019</w:t>
            </w: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Borders>
              <w:top w:val="single" w:sz="8" w:color="CCEEFF"/>
            </w:tcBorders>
          </w:tcPr>
          <w:p>
            <w:pPr>
              <w:spacing w:after="0"/>
              <w:rPr>
                <w:sz w:val="21"/>
                <w:szCs w:val="21"/>
                <w:color w:val="auto"/>
              </w:rPr>
            </w:pPr>
          </w:p>
        </w:tc>
        <w:tc>
          <w:tcPr>
            <w:tcW w:w="24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Basic loss per common share</w:t>
            </w:r>
          </w:p>
        </w:tc>
        <w:tc>
          <w:tcPr>
            <w:tcW w:w="412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(23,974)</w:t>
            </w:r>
          </w:p>
        </w:tc>
        <w:tc>
          <w:tcPr>
            <w:tcW w:w="220" w:type="dxa"/>
            <w:vAlign w:val="bottom"/>
            <w:tcBorders>
              <w:top w:val="single" w:sz="8" w:color="CCEEFF"/>
            </w:tcBorders>
          </w:tcPr>
          <w:p>
            <w:pPr>
              <w:spacing w:after="0"/>
              <w:rPr>
                <w:sz w:val="21"/>
                <w:szCs w:val="21"/>
                <w:color w:val="auto"/>
              </w:rPr>
            </w:pPr>
          </w:p>
        </w:tc>
        <w:tc>
          <w:tcPr>
            <w:tcW w:w="1560" w:type="dxa"/>
            <w:vAlign w:val="bottom"/>
            <w:tcBorders>
              <w:top w:val="single" w:sz="8" w:color="CCEEFF"/>
            </w:tcBorders>
          </w:tcPr>
          <w:p>
            <w:pPr>
              <w:jc w:val="right"/>
              <w:ind w:right="12"/>
              <w:spacing w:after="0"/>
              <w:rPr>
                <w:sz w:val="20"/>
                <w:szCs w:val="20"/>
                <w:color w:val="auto"/>
              </w:rPr>
            </w:pPr>
            <w:r>
              <w:rPr>
                <w:rFonts w:ascii="Arial" w:cs="Arial" w:eastAsia="Arial" w:hAnsi="Arial"/>
                <w:sz w:val="18"/>
                <w:szCs w:val="18"/>
                <w:color w:val="auto"/>
              </w:rPr>
              <w:t>32,951</w:t>
            </w:r>
          </w:p>
        </w:tc>
        <w:tc>
          <w:tcPr>
            <w:tcW w:w="400" w:type="dxa"/>
            <w:vAlign w:val="bottom"/>
            <w:tcBorders>
              <w:top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(0.73)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6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Diluted loss per common share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(23,974)</w:t>
            </w: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32,951</w:t>
            </w:r>
          </w:p>
        </w:tc>
        <w:tc>
          <w:tcPr>
            <w:tcW w:w="4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(0.73)</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6600" w:type="dxa"/>
            <w:vAlign w:val="bottom"/>
            <w:gridSpan w:val="3"/>
          </w:tcPr>
          <w:p>
            <w:pPr>
              <w:spacing w:after="0" w:line="270" w:lineRule="exact"/>
              <w:rPr>
                <w:sz w:val="20"/>
                <w:szCs w:val="20"/>
                <w:color w:val="auto"/>
              </w:rPr>
            </w:pPr>
            <w:r>
              <w:rPr>
                <w:rFonts w:ascii="Arial" w:cs="Arial" w:eastAsia="Arial" w:hAnsi="Arial"/>
                <w:sz w:val="18"/>
                <w:szCs w:val="18"/>
                <w:i w:val="1"/>
                <w:iCs w:val="1"/>
                <w:color w:val="auto"/>
              </w:rPr>
              <w:t>Excluded effect of dilutive securities</w:t>
            </w:r>
            <w:r>
              <w:rPr>
                <w:rFonts w:ascii="Arial" w:cs="Arial" w:eastAsia="Arial" w:hAnsi="Arial"/>
                <w:sz w:val="25"/>
                <w:szCs w:val="25"/>
                <w:i w:val="1"/>
                <w:iCs w:val="1"/>
                <w:color w:val="auto"/>
                <w:vertAlign w:val="superscript"/>
              </w:rPr>
              <w:t>(1)</w:t>
            </w:r>
            <w:r>
              <w:rPr>
                <w:rFonts w:ascii="Arial" w:cs="Arial" w:eastAsia="Arial" w:hAnsi="Arial"/>
                <w:sz w:val="18"/>
                <w:szCs w:val="18"/>
                <w:i w:val="1"/>
                <w:iCs w:val="1"/>
                <w:color w:val="auto"/>
              </w:rPr>
              <w:t>:</w:t>
            </w:r>
          </w:p>
        </w:tc>
        <w:tc>
          <w:tcPr>
            <w:tcW w:w="1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60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Stock options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600" w:type="dxa"/>
            <w:vAlign w:val="bottom"/>
            <w:gridSpan w:val="3"/>
          </w:tcPr>
          <w:p>
            <w:pPr>
              <w:ind w:left="140"/>
              <w:spacing w:after="0"/>
              <w:rPr>
                <w:sz w:val="20"/>
                <w:szCs w:val="20"/>
                <w:color w:val="auto"/>
              </w:rPr>
            </w:pPr>
            <w:r>
              <w:rPr>
                <w:rFonts w:ascii="Arial" w:cs="Arial" w:eastAsia="Arial" w:hAnsi="Arial"/>
                <w:sz w:val="18"/>
                <w:szCs w:val="18"/>
                <w:color w:val="auto"/>
              </w:rPr>
              <w:t>Restricted stock awards</w:t>
            </w: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104</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60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Performance shares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w w:val="92"/>
              </w:rPr>
              <w:t>Six Months Ended April 30, 2020</w:t>
            </w:r>
          </w:p>
        </w:tc>
        <w:tc>
          <w:tcPr>
            <w:tcW w:w="4300" w:type="dxa"/>
            <w:vAlign w:val="bottom"/>
            <w:tcBorders>
              <w:bottom w:val="single" w:sz="8" w:color="CCEEFF"/>
            </w:tcBorders>
            <w:gridSpan w:val="2"/>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600" w:type="dxa"/>
            <w:vAlign w:val="bottom"/>
            <w:gridSpan w:val="3"/>
          </w:tcPr>
          <w:p>
            <w:pPr>
              <w:spacing w:after="0"/>
              <w:rPr>
                <w:sz w:val="20"/>
                <w:szCs w:val="20"/>
                <w:color w:val="auto"/>
              </w:rPr>
            </w:pPr>
            <w:r>
              <w:rPr>
                <w:rFonts w:ascii="Arial" w:cs="Arial" w:eastAsia="Arial" w:hAnsi="Arial"/>
                <w:sz w:val="18"/>
                <w:szCs w:val="18"/>
                <w:color w:val="auto"/>
              </w:rPr>
              <w:t>Basic earnings per common share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5,511</w:t>
            </w:r>
          </w:p>
        </w:tc>
        <w:tc>
          <w:tcPr>
            <w:tcW w:w="22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32,770</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6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i w:val="1"/>
                <w:iCs w:val="1"/>
                <w:color w:val="auto"/>
              </w:rPr>
              <w:t>Effect of dilutive securities: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600" w:type="dxa"/>
            <w:vAlign w:val="bottom"/>
            <w:gridSpan w:val="3"/>
          </w:tcPr>
          <w:p>
            <w:pPr>
              <w:spacing w:after="0"/>
              <w:rPr>
                <w:sz w:val="20"/>
                <w:szCs w:val="20"/>
                <w:color w:val="auto"/>
              </w:rPr>
            </w:pPr>
            <w:r>
              <w:rPr>
                <w:rFonts w:ascii="Arial" w:cs="Arial" w:eastAsia="Arial" w:hAnsi="Arial"/>
                <w:sz w:val="18"/>
                <w:szCs w:val="18"/>
                <w:color w:val="auto"/>
              </w:rPr>
              <w:t>Stock options</w:t>
            </w: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6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Restricted stock awards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600" w:type="dxa"/>
            <w:vAlign w:val="bottom"/>
            <w:gridSpan w:val="3"/>
          </w:tcPr>
          <w:p>
            <w:pPr>
              <w:spacing w:after="0"/>
              <w:rPr>
                <w:sz w:val="20"/>
                <w:szCs w:val="20"/>
                <w:color w:val="auto"/>
              </w:rPr>
            </w:pPr>
            <w:r>
              <w:rPr>
                <w:rFonts w:ascii="Arial" w:cs="Arial" w:eastAsia="Arial" w:hAnsi="Arial"/>
                <w:sz w:val="18"/>
                <w:szCs w:val="18"/>
                <w:color w:val="auto"/>
              </w:rPr>
              <w:t>Performance shares</w:t>
            </w: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6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Performance restricted stock units</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40" w:type="dxa"/>
            <w:vAlign w:val="bottom"/>
            <w:tcBorders>
              <w:bottom w:val="single" w:sz="8" w:color="CCEEFF"/>
            </w:tcBorders>
          </w:tcPr>
          <w:p>
            <w:pPr>
              <w:spacing w:after="0"/>
              <w:rPr>
                <w:sz w:val="24"/>
                <w:szCs w:val="24"/>
                <w:color w:val="auto"/>
              </w:rPr>
            </w:pPr>
          </w:p>
        </w:tc>
        <w:tc>
          <w:tcPr>
            <w:tcW w:w="660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Diluted earnings per common share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5,511</w:t>
            </w:r>
          </w:p>
        </w:tc>
        <w:tc>
          <w:tcPr>
            <w:tcW w:w="220" w:type="dxa"/>
            <w:vAlign w:val="bottom"/>
            <w:tcBorders>
              <w:bottom w:val="single" w:sz="8" w:color="CCEEFF"/>
            </w:tcBorders>
          </w:tcPr>
          <w:p>
            <w:pPr>
              <w:spacing w:after="0"/>
              <w:rPr>
                <w:sz w:val="24"/>
                <w:szCs w:val="24"/>
                <w:color w:val="auto"/>
              </w:rPr>
            </w:pPr>
          </w:p>
        </w:tc>
        <w:tc>
          <w:tcPr>
            <w:tcW w:w="15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32,907</w:t>
            </w:r>
          </w:p>
        </w:tc>
        <w:tc>
          <w:tcPr>
            <w:tcW w:w="40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tcPr>
          <w:p>
            <w:pPr>
              <w:jc w:val="right"/>
              <w:ind w:right="12"/>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163"/>
        </w:trPr>
        <w:tc>
          <w:tcPr>
            <w:tcW w:w="4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6600" w:type="dxa"/>
            <w:vAlign w:val="bottom"/>
            <w:gridSpan w:val="3"/>
          </w:tcPr>
          <w:p>
            <w:pPr>
              <w:spacing w:after="0"/>
              <w:rPr>
                <w:sz w:val="20"/>
                <w:szCs w:val="20"/>
                <w:color w:val="auto"/>
              </w:rPr>
            </w:pPr>
            <w:r>
              <w:rPr>
                <w:rFonts w:ascii="Arial" w:cs="Arial" w:eastAsia="Arial" w:hAnsi="Arial"/>
                <w:sz w:val="16"/>
                <w:szCs w:val="16"/>
                <w:b w:val="1"/>
                <w:bCs w:val="1"/>
                <w:color w:val="auto"/>
              </w:rPr>
              <w:t>Six Months Ended April 30, 2019</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230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4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6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Basic loss per common share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(27,623)</w:t>
            </w: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33,026</w:t>
            </w:r>
          </w:p>
        </w:tc>
        <w:tc>
          <w:tcPr>
            <w:tcW w:w="4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600" w:type="dxa"/>
            <w:vAlign w:val="bottom"/>
            <w:gridSpan w:val="3"/>
          </w:tcPr>
          <w:p>
            <w:pPr>
              <w:spacing w:after="0"/>
              <w:rPr>
                <w:sz w:val="20"/>
                <w:szCs w:val="20"/>
                <w:color w:val="auto"/>
              </w:rPr>
            </w:pPr>
            <w:r>
              <w:rPr>
                <w:rFonts w:ascii="Arial" w:cs="Arial" w:eastAsia="Arial" w:hAnsi="Arial"/>
                <w:sz w:val="18"/>
                <w:szCs w:val="18"/>
                <w:color w:val="auto"/>
              </w:rPr>
              <w:t>Diluted loss per common share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(27,623)</w:t>
            </w:r>
          </w:p>
        </w:tc>
        <w:tc>
          <w:tcPr>
            <w:tcW w:w="22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33,026</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(0.84)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6600" w:type="dxa"/>
            <w:vAlign w:val="bottom"/>
            <w:gridSpan w:val="3"/>
            <w:shd w:val="clear" w:color="auto" w:fill="CCEEFF"/>
          </w:tcPr>
          <w:p>
            <w:pPr>
              <w:spacing w:after="0" w:line="270" w:lineRule="exact"/>
              <w:rPr>
                <w:sz w:val="20"/>
                <w:szCs w:val="20"/>
                <w:color w:val="auto"/>
              </w:rPr>
            </w:pPr>
            <w:r>
              <w:rPr>
                <w:rFonts w:ascii="Arial" w:cs="Arial" w:eastAsia="Arial" w:hAnsi="Arial"/>
                <w:sz w:val="18"/>
                <w:szCs w:val="18"/>
                <w:i w:val="1"/>
                <w:iCs w:val="1"/>
                <w:color w:val="auto"/>
              </w:rPr>
              <w:t>Excluded effect of dilutive securities</w:t>
            </w:r>
            <w:r>
              <w:rPr>
                <w:rFonts w:ascii="Arial" w:cs="Arial" w:eastAsia="Arial" w:hAnsi="Arial"/>
                <w:sz w:val="25"/>
                <w:szCs w:val="25"/>
                <w:i w:val="1"/>
                <w:iCs w:val="1"/>
                <w:color w:val="auto"/>
                <w:vertAlign w:val="superscript"/>
              </w:rPr>
              <w:t>(1)</w:t>
            </w:r>
            <w:r>
              <w:rPr>
                <w:rFonts w:ascii="Arial" w:cs="Arial" w:eastAsia="Arial" w:hAnsi="Arial"/>
                <w:sz w:val="18"/>
                <w:szCs w:val="18"/>
                <w:i w:val="1"/>
                <w:iCs w:val="1"/>
                <w:color w:val="auto"/>
              </w:rPr>
              <w:t>:</w:t>
            </w: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600" w:type="dxa"/>
            <w:vAlign w:val="bottom"/>
            <w:gridSpan w:val="3"/>
          </w:tcPr>
          <w:p>
            <w:pPr>
              <w:ind w:left="140"/>
              <w:spacing w:after="0"/>
              <w:rPr>
                <w:sz w:val="20"/>
                <w:szCs w:val="20"/>
                <w:color w:val="auto"/>
              </w:rPr>
            </w:pPr>
            <w:r>
              <w:rPr>
                <w:rFonts w:ascii="Arial" w:cs="Arial" w:eastAsia="Arial" w:hAnsi="Arial"/>
                <w:sz w:val="18"/>
                <w:szCs w:val="18"/>
                <w:color w:val="auto"/>
              </w:rPr>
              <w:t>Stock options</w:t>
            </w: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60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Restricted stock awards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600" w:type="dxa"/>
            <w:vAlign w:val="bottom"/>
            <w:gridSpan w:val="3"/>
          </w:tcPr>
          <w:p>
            <w:pPr>
              <w:ind w:left="140"/>
              <w:spacing w:after="0"/>
              <w:rPr>
                <w:sz w:val="20"/>
                <w:szCs w:val="20"/>
                <w:color w:val="auto"/>
              </w:rPr>
            </w:pPr>
            <w:r>
              <w:rPr>
                <w:rFonts w:ascii="Arial" w:cs="Arial" w:eastAsia="Arial" w:hAnsi="Arial"/>
                <w:sz w:val="18"/>
                <w:szCs w:val="18"/>
                <w:color w:val="auto"/>
              </w:rPr>
              <w:t>Performance shares</w:t>
            </w: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firstLine="8"/>
        <w:spacing w:after="0" w:line="252" w:lineRule="auto"/>
        <w:tabs>
          <w:tab w:leader="none" w:pos="192" w:val="left"/>
        </w:tabs>
        <w:numPr>
          <w:ilvl w:val="0"/>
          <w:numId w:val="4"/>
        </w:numPr>
        <w:rPr>
          <w:rFonts w:ascii="Arial" w:cs="Arial" w:eastAsia="Arial" w:hAnsi="Arial"/>
          <w:sz w:val="22"/>
          <w:szCs w:val="22"/>
          <w:color w:val="auto"/>
          <w:vertAlign w:val="superscript"/>
        </w:rPr>
      </w:pPr>
      <w:r>
        <w:rPr>
          <w:rFonts w:ascii="Arial" w:cs="Arial" w:eastAsia="Arial" w:hAnsi="Arial"/>
          <w:sz w:val="16"/>
          <w:szCs w:val="16"/>
          <w:color w:val="auto"/>
        </w:rPr>
        <w:t>The computation of diluted earnings per share excludes outstanding stock options and other common stock equivalents when their inclusion would be anti-dilutive. This is always the case when an entity incurs a net loss.</w:t>
      </w:r>
    </w:p>
    <w:p>
      <w:pPr>
        <w:spacing w:after="0" w:line="10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had common stock equivalents that were potentially dilutive in future earnings per share calculations of 1,174,419 and 1,115,541 for the three and six months ended April 30, 2020, respectively, and 1,450,041 and 1,694,464, respectively, for the comparable prior year periods. We also had 50,700 restricted stock award equivalents that were potentially dilutive in future earnings per calculations for the three and six months ended April 30, 2020, respectively, and no corresponding equivalents for the corresponding prior year. Such dilution will be dependent on the excess of the market price of our stock over the exercise price and other components of the treasury stock method.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New Accounting Guidance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Recently Adopted</w:t>
      </w:r>
    </w:p>
    <w:p>
      <w:pPr>
        <w:spacing w:after="0" w:line="14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Effective November 1, 2019, we adopted Accounting Standards Update (ASU) 2016-02, Leases (Topic 842), using the modified retrospective approach and did not have a cumulative-effect adjustment in retained earnings as a result of the adoption.</w:t>
      </w:r>
    </w:p>
    <w:p>
      <w:pPr>
        <w:sectPr>
          <w:pgSz w:w="11900" w:h="16838" w:orient="portrait"/>
          <w:cols w:equalWidth="0" w:num="1">
            <w:col w:w="11240"/>
          </w:cols>
          <w:pgMar w:left="320" w:top="125" w:right="339" w:bottom="1440"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240"/>
          </w:cols>
          <w:pgMar w:left="320" w:top="125" w:right="33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UNAUDITED CONDENSED CONSOLIDATED FINANCIAL STATEMENTS </w:t>
      </w:r>
      <w:r>
        <w:rPr>
          <w:rFonts w:ascii="Arial" w:cs="Arial" w:eastAsia="Arial" w:hAnsi="Arial"/>
          <w:sz w:val="18"/>
          <w:szCs w:val="18"/>
          <w:color w:val="auto"/>
        </w:rPr>
        <w:t>(continued)</w:t>
      </w:r>
    </w:p>
    <w:p>
      <w:pPr>
        <w:spacing w:after="0" w:line="34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Topic 842 significantly changes accounting for leases by requiring that lessees recognize a liability representing the obligation to make lease payments and a related right-of-use (ROU) asset for virtually all lease transactions. Upon adoption, we implemented policy elections and practical expedients which include the following:</w:t>
      </w:r>
    </w:p>
    <w:p>
      <w:pPr>
        <w:spacing w:after="0" w:line="3" w:lineRule="exact"/>
        <w:rPr>
          <w:sz w:val="20"/>
          <w:szCs w:val="20"/>
          <w:color w:val="auto"/>
        </w:rPr>
      </w:pPr>
    </w:p>
    <w:p>
      <w:pPr>
        <w:ind w:left="660" w:hanging="247"/>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package of practical expedients which allows us to avoid reassessing contracts that commenced prior to adoption that were properly evaluated under legacy lease accounting guidance;</w:t>
      </w:r>
    </w:p>
    <w:p>
      <w:pPr>
        <w:ind w:left="660" w:hanging="247"/>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excluding ROU assets and lease liabilities for leases with terms that are less than one year;</w:t>
      </w:r>
    </w:p>
    <w:p>
      <w:pPr>
        <w:spacing w:after="0" w:line="9" w:lineRule="exact"/>
        <w:rPr>
          <w:rFonts w:ascii="Arial" w:cs="Arial" w:eastAsia="Arial" w:hAnsi="Arial"/>
          <w:sz w:val="18"/>
          <w:szCs w:val="18"/>
          <w:color w:val="auto"/>
        </w:rPr>
      </w:pPr>
    </w:p>
    <w:p>
      <w:pPr>
        <w:ind w:left="660" w:hanging="247"/>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combining lease and non-lease components and accounting for them as a single lease (elected by asset class);</w:t>
      </w:r>
    </w:p>
    <w:p>
      <w:pPr>
        <w:spacing w:after="0" w:line="9" w:lineRule="exact"/>
        <w:rPr>
          <w:rFonts w:ascii="Arial" w:cs="Arial" w:eastAsia="Arial" w:hAnsi="Arial"/>
          <w:sz w:val="18"/>
          <w:szCs w:val="18"/>
          <w:color w:val="auto"/>
        </w:rPr>
      </w:pPr>
    </w:p>
    <w:p>
      <w:pPr>
        <w:ind w:left="660" w:hanging="247"/>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excluding land easements that existed or expired prior to adoption; and</w:t>
      </w:r>
    </w:p>
    <w:p>
      <w:pPr>
        <w:spacing w:after="0" w:line="9" w:lineRule="exact"/>
        <w:rPr>
          <w:rFonts w:ascii="Arial" w:cs="Arial" w:eastAsia="Arial" w:hAnsi="Arial"/>
          <w:sz w:val="18"/>
          <w:szCs w:val="18"/>
          <w:color w:val="auto"/>
        </w:rPr>
      </w:pPr>
    </w:p>
    <w:p>
      <w:pPr>
        <w:ind w:left="660" w:hanging="247"/>
        <w:spacing w:after="0" w:line="26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policy election that eliminates the need for adjusting prior period comparable financial statements prepared under legacy (Accounting Standards Codification Topic 840) lease accounting guidance.</w:t>
      </w:r>
    </w:p>
    <w:p>
      <w:pPr>
        <w:spacing w:after="0" w:line="104"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As a result of adopting Topic 842, we recorded additional lease liabilities of approximately $39.3 million and ROU assets of approximately $38.9 million on our consolidated balance sheet. The difference between the lease liabilities and ROU assets is due to rent holiday and lease build-out incentives that were recorded as deferred lease liabilities under legacy accounting guidance. The adoption of Topic 842 did not materially change our consolidated statements of income or consolidated statements of cash flows. See Note 2, "Leases" for further discussion.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Not Yet Adopted</w:t>
      </w:r>
    </w:p>
    <w:p>
      <w:pPr>
        <w:spacing w:after="0" w:line="144"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In June 2016, the Financial Accounting Standards Board issued ASU No. 2016-13, Financial Instruments - Credit Losses (Topic 326). This amendment replaces the incurred loss impairment methodology in current U.S. GAAP and requires that financial assets be measured on an amortized cost basis and presented at the net amount expected to be collected. This new methodology reflects expected credit losses (rather than probable credit losses) and requires consideration of a broader range of supportable information when determining these estimated credit losses, including relevant experience, current conditions and supportable forecasts to determine collectability. In addition, the amendment provides guidance with regard to the use of an allowance for credit losses for purchased financial assets and available-for-sale debt securities. This amendment becomes effective for fiscal years beginning after December 15, 2019, including interim periods within that fiscal year. We expect to adopt this amendment during fiscal 2021, with no material impact on our consolidated financial statements.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Unless the context indicates otherwise, references to "Quanex", the "Company", "we", "us" and "our" refer to the consolidated business operations of Quanex Building Products Corporation and its subsidiaries.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48" w:lineRule="exact"/>
        <w:rPr>
          <w:sz w:val="20"/>
          <w:szCs w:val="20"/>
          <w:color w:val="auto"/>
        </w:rPr>
      </w:pPr>
    </w:p>
    <w:p>
      <w:pPr>
        <w:jc w:val="both"/>
        <w:ind w:firstLine="432"/>
        <w:spacing w:after="0" w:line="269" w:lineRule="auto"/>
        <w:rPr>
          <w:sz w:val="20"/>
          <w:szCs w:val="20"/>
          <w:color w:val="auto"/>
        </w:rPr>
      </w:pPr>
      <w:r>
        <w:rPr>
          <w:rFonts w:ascii="Arial" w:cs="Arial" w:eastAsia="Arial" w:hAnsi="Arial"/>
          <w:sz w:val="17"/>
          <w:szCs w:val="17"/>
          <w:color w:val="auto"/>
        </w:rPr>
        <w:t xml:space="preserve">Certain of the statements contained in this document and in documents incorporated by reference herein, including those made under the caption </w:t>
      </w:r>
      <w:r>
        <w:rPr>
          <w:rFonts w:ascii="Arial" w:cs="Arial" w:eastAsia="Arial" w:hAnsi="Arial"/>
          <w:sz w:val="17"/>
          <w:szCs w:val="17"/>
          <w:i w:val="1"/>
          <w:iCs w:val="1"/>
          <w:color w:val="auto"/>
        </w:rPr>
        <w:t xml:space="preserve">“Management’s Discussion and Analysis of Financial Condition and Results of Operations” </w:t>
      </w:r>
      <w:r>
        <w:rPr>
          <w:rFonts w:ascii="Arial" w:cs="Arial" w:eastAsia="Arial" w:hAnsi="Arial"/>
          <w:sz w:val="17"/>
          <w:szCs w:val="17"/>
          <w:color w:val="auto"/>
        </w:rPr>
        <w:t>are “forward-looking” statements as defined under the Private</w:t>
      </w:r>
      <w:r>
        <w:rPr>
          <w:rFonts w:ascii="Arial" w:cs="Arial" w:eastAsia="Arial" w:hAnsi="Arial"/>
          <w:sz w:val="17"/>
          <w:szCs w:val="17"/>
          <w:i w:val="1"/>
          <w:iCs w:val="1"/>
          <w:color w:val="auto"/>
        </w:rPr>
        <w:t xml:space="preserve"> </w:t>
      </w:r>
      <w:r>
        <w:rPr>
          <w:rFonts w:ascii="Arial" w:cs="Arial" w:eastAsia="Arial" w:hAnsi="Arial"/>
          <w:sz w:val="17"/>
          <w:szCs w:val="17"/>
          <w:color w:val="auto"/>
        </w:rPr>
        <w:t>Securities Litigation Reform Act of 1995. Generally, the words “expect,” “believe,” “intend,” “estimate,” “anticipate,” “project,” “will” and similar expressions identify forward-looking statements, which generally are not historical in nature. Forward looking statements are (1) all statements which address future operating performance, (2) events or developments that we expect or anticipate will occur in the future, including statements relating to volume, sales, operating income and earnings per share, and (3) statements expressing general outlook about future operating results. Forward-looking statements are subject to certain risks and uncertainties that could cause actual results to differ materially from our historical experience and our current projections or expectations. As and when made, we believe that these forward-looking statements are reasonable. However, caution should be taken not to place undue reliance on any such forward-looking statements since such statements speak only as of the date when made and there can be no assurance that such forward-looking statements will occur. We are not obligated to publicly update or revise any forward-looking statements, whether as a result of new information, future events or otherwise.</w:t>
      </w:r>
    </w:p>
    <w:p>
      <w:pPr>
        <w:spacing w:after="0" w:line="128" w:lineRule="exact"/>
        <w:rPr>
          <w:sz w:val="20"/>
          <w:szCs w:val="20"/>
          <w:color w:val="auto"/>
        </w:rPr>
      </w:pPr>
    </w:p>
    <w:p>
      <w:pPr>
        <w:ind w:right="380" w:firstLine="405"/>
        <w:spacing w:after="0" w:line="277" w:lineRule="auto"/>
        <w:rPr>
          <w:sz w:val="20"/>
          <w:szCs w:val="20"/>
          <w:color w:val="auto"/>
        </w:rPr>
      </w:pPr>
      <w:r>
        <w:rPr>
          <w:rFonts w:ascii="Arial" w:cs="Arial" w:eastAsia="Arial" w:hAnsi="Arial"/>
          <w:sz w:val="18"/>
          <w:szCs w:val="18"/>
          <w:color w:val="auto"/>
        </w:rPr>
        <w:t>Factors that could cause actual results to differ materially from those expressed or implied by the forward-looking statements include, but are not limited to the following:</w:t>
      </w:r>
    </w:p>
    <w:p>
      <w:pPr>
        <w:spacing w:after="0" w:line="22" w:lineRule="exact"/>
        <w:rPr>
          <w:sz w:val="20"/>
          <w:szCs w:val="20"/>
          <w:color w:val="auto"/>
        </w:rPr>
      </w:pPr>
    </w:p>
    <w:p>
      <w:pPr>
        <w:ind w:left="660" w:hanging="166"/>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impacts from public health issues (including pandemics, such as the recent COVID-19 pandemic and quarantines) on the economy, demand for our products or our operations, including the responses of governmental authorities to contain such public health issues;</w:t>
      </w:r>
    </w:p>
    <w:p>
      <w:pPr>
        <w:spacing w:after="0" w:line="48" w:lineRule="exact"/>
        <w:rPr>
          <w:rFonts w:ascii="Arial" w:cs="Arial" w:eastAsia="Arial" w:hAnsi="Arial"/>
          <w:sz w:val="18"/>
          <w:szCs w:val="18"/>
          <w:color w:val="auto"/>
        </w:rPr>
      </w:pPr>
    </w:p>
    <w:p>
      <w:pPr>
        <w:ind w:left="660" w:hanging="166"/>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market conditions, particularly in the new home construction, and residential remodeling and replacement (R&amp;R) activity markets in the U.S., U.K. and Germany;</w:t>
      </w:r>
    </w:p>
    <w:p>
      <w:pPr>
        <w:spacing w:after="0" w:line="48" w:lineRule="exact"/>
        <w:rPr>
          <w:rFonts w:ascii="Arial" w:cs="Arial" w:eastAsia="Arial" w:hAnsi="Arial"/>
          <w:sz w:val="18"/>
          <w:szCs w:val="18"/>
          <w:color w:val="auto"/>
        </w:rPr>
      </w:pPr>
    </w:p>
    <w:p>
      <w:pPr>
        <w:ind w:left="660" w:hanging="16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non-pass-through raw material costs;</w:t>
      </w:r>
    </w:p>
    <w:p>
      <w:pPr>
        <w:spacing w:after="0" w:line="103" w:lineRule="exact"/>
        <w:rPr>
          <w:rFonts w:ascii="Arial" w:cs="Arial" w:eastAsia="Arial" w:hAnsi="Arial"/>
          <w:sz w:val="18"/>
          <w:szCs w:val="18"/>
          <w:color w:val="auto"/>
        </w:rPr>
      </w:pPr>
    </w:p>
    <w:p>
      <w:pPr>
        <w:ind w:left="660" w:hanging="166"/>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changes in domestic and international economic conditions, including impacts from public health issues, including the COVID-19 pandemic;</w:t>
      </w:r>
    </w:p>
    <w:p>
      <w:pPr>
        <w:spacing w:after="0" w:line="115" w:lineRule="exact"/>
        <w:rPr>
          <w:rFonts w:ascii="Arial" w:cs="Arial" w:eastAsia="Arial" w:hAnsi="Arial"/>
          <w:sz w:val="17"/>
          <w:szCs w:val="17"/>
          <w:color w:val="auto"/>
        </w:rPr>
      </w:pPr>
    </w:p>
    <w:p>
      <w:pPr>
        <w:ind w:left="660" w:hanging="16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purchases by our principal customers;</w:t>
      </w:r>
    </w:p>
    <w:p>
      <w:pPr>
        <w:spacing w:after="0" w:line="103" w:lineRule="exact"/>
        <w:rPr>
          <w:rFonts w:ascii="Arial" w:cs="Arial" w:eastAsia="Arial" w:hAnsi="Arial"/>
          <w:sz w:val="18"/>
          <w:szCs w:val="18"/>
          <w:color w:val="auto"/>
        </w:rPr>
      </w:pPr>
    </w:p>
    <w:p>
      <w:pPr>
        <w:ind w:left="660" w:hanging="16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fluctuations in foreign currency exchange rates;</w:t>
      </w:r>
    </w:p>
    <w:p>
      <w:pPr>
        <w:spacing w:after="0" w:line="103" w:lineRule="exact"/>
        <w:rPr>
          <w:rFonts w:ascii="Arial" w:cs="Arial" w:eastAsia="Arial" w:hAnsi="Arial"/>
          <w:sz w:val="18"/>
          <w:szCs w:val="18"/>
          <w:color w:val="auto"/>
        </w:rPr>
      </w:pPr>
    </w:p>
    <w:p>
      <w:pPr>
        <w:ind w:left="660" w:hanging="16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maintain an effective system of internal controls;</w:t>
      </w:r>
    </w:p>
    <w:p>
      <w:pPr>
        <w:spacing w:after="0" w:line="103" w:lineRule="exact"/>
        <w:rPr>
          <w:rFonts w:ascii="Arial" w:cs="Arial" w:eastAsia="Arial" w:hAnsi="Arial"/>
          <w:sz w:val="18"/>
          <w:szCs w:val="18"/>
          <w:color w:val="auto"/>
        </w:rPr>
      </w:pPr>
    </w:p>
    <w:p>
      <w:pPr>
        <w:ind w:left="660" w:hanging="16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successfully implement our internal operating plans and acquisition strategies;</w:t>
      </w:r>
    </w:p>
    <w:p>
      <w:pPr>
        <w:spacing w:after="0" w:line="103" w:lineRule="exact"/>
        <w:rPr>
          <w:rFonts w:ascii="Arial" w:cs="Arial" w:eastAsia="Arial" w:hAnsi="Arial"/>
          <w:sz w:val="18"/>
          <w:szCs w:val="18"/>
          <w:color w:val="auto"/>
        </w:rPr>
      </w:pPr>
    </w:p>
    <w:p>
      <w:pPr>
        <w:ind w:left="660" w:hanging="16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successfully implement our plans with respect to information technology (IT) systems and processes;</w:t>
      </w:r>
    </w:p>
    <w:p>
      <w:pPr>
        <w:spacing w:after="0" w:line="103" w:lineRule="exact"/>
        <w:rPr>
          <w:rFonts w:ascii="Arial" w:cs="Arial" w:eastAsia="Arial" w:hAnsi="Arial"/>
          <w:sz w:val="18"/>
          <w:szCs w:val="18"/>
          <w:color w:val="auto"/>
        </w:rPr>
      </w:pPr>
    </w:p>
    <w:p>
      <w:pPr>
        <w:ind w:left="660" w:hanging="16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control costs and increase profitability;</w:t>
      </w:r>
    </w:p>
    <w:p>
      <w:pPr>
        <w:spacing w:after="0" w:line="103" w:lineRule="exact"/>
        <w:rPr>
          <w:rFonts w:ascii="Arial" w:cs="Arial" w:eastAsia="Arial" w:hAnsi="Arial"/>
          <w:sz w:val="18"/>
          <w:szCs w:val="18"/>
          <w:color w:val="auto"/>
        </w:rPr>
      </w:pPr>
    </w:p>
    <w:p>
      <w:pPr>
        <w:ind w:left="660" w:hanging="16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environmental laws and regulations;</w:t>
      </w:r>
    </w:p>
    <w:p>
      <w:pPr>
        <w:spacing w:after="0" w:line="103" w:lineRule="exact"/>
        <w:rPr>
          <w:rFonts w:ascii="Arial" w:cs="Arial" w:eastAsia="Arial" w:hAnsi="Arial"/>
          <w:sz w:val="18"/>
          <w:szCs w:val="18"/>
          <w:color w:val="auto"/>
        </w:rPr>
      </w:pPr>
    </w:p>
    <w:p>
      <w:pPr>
        <w:ind w:left="660" w:hanging="16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warranty obligations;</w:t>
      </w:r>
    </w:p>
    <w:p>
      <w:pPr>
        <w:spacing w:after="0" w:line="103" w:lineRule="exact"/>
        <w:rPr>
          <w:rFonts w:ascii="Arial" w:cs="Arial" w:eastAsia="Arial" w:hAnsi="Arial"/>
          <w:sz w:val="18"/>
          <w:szCs w:val="18"/>
          <w:color w:val="auto"/>
        </w:rPr>
      </w:pPr>
    </w:p>
    <w:p>
      <w:pPr>
        <w:ind w:left="660" w:hanging="16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energy costs;</w:t>
      </w:r>
    </w:p>
    <w:p>
      <w:pPr>
        <w:spacing w:after="0" w:line="103" w:lineRule="exact"/>
        <w:rPr>
          <w:rFonts w:ascii="Arial" w:cs="Arial" w:eastAsia="Arial" w:hAnsi="Arial"/>
          <w:sz w:val="18"/>
          <w:szCs w:val="18"/>
          <w:color w:val="auto"/>
        </w:rPr>
      </w:pPr>
    </w:p>
    <w:p>
      <w:pPr>
        <w:ind w:left="660" w:hanging="16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tax laws, and interpretations thereof;</w:t>
      </w:r>
    </w:p>
    <w:p>
      <w:pPr>
        <w:spacing w:after="0" w:line="103" w:lineRule="exact"/>
        <w:rPr>
          <w:rFonts w:ascii="Arial" w:cs="Arial" w:eastAsia="Arial" w:hAnsi="Arial"/>
          <w:sz w:val="18"/>
          <w:szCs w:val="18"/>
          <w:color w:val="auto"/>
        </w:rPr>
      </w:pPr>
    </w:p>
    <w:p>
      <w:pPr>
        <w:ind w:left="660" w:hanging="16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interest rates;</w:t>
      </w:r>
    </w:p>
    <w:p>
      <w:pPr>
        <w:spacing w:after="0" w:line="103" w:lineRule="exact"/>
        <w:rPr>
          <w:rFonts w:ascii="Arial" w:cs="Arial" w:eastAsia="Arial" w:hAnsi="Arial"/>
          <w:sz w:val="18"/>
          <w:szCs w:val="18"/>
          <w:color w:val="auto"/>
        </w:rPr>
      </w:pPr>
    </w:p>
    <w:p>
      <w:pPr>
        <w:ind w:left="660" w:hanging="16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service our debt facilities and remain in good standing with our lenders;</w:t>
      </w:r>
    </w:p>
    <w:p>
      <w:pPr>
        <w:spacing w:after="0" w:line="103" w:lineRule="exact"/>
        <w:rPr>
          <w:rFonts w:ascii="Arial" w:cs="Arial" w:eastAsia="Arial" w:hAnsi="Arial"/>
          <w:sz w:val="18"/>
          <w:szCs w:val="18"/>
          <w:color w:val="auto"/>
        </w:rPr>
      </w:pPr>
    </w:p>
    <w:p>
      <w:pPr>
        <w:ind w:left="660" w:hanging="16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the availability or applicability of our insurance coverage;</w:t>
      </w:r>
    </w:p>
    <w:p>
      <w:pPr>
        <w:spacing w:after="0" w:line="103" w:lineRule="exact"/>
        <w:rPr>
          <w:rFonts w:ascii="Arial" w:cs="Arial" w:eastAsia="Arial" w:hAnsi="Arial"/>
          <w:sz w:val="18"/>
          <w:szCs w:val="18"/>
          <w:color w:val="auto"/>
        </w:rPr>
      </w:pPr>
    </w:p>
    <w:p>
      <w:pPr>
        <w:ind w:left="660" w:hanging="16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maintain a good relationship with our suppliers, subcontractors, and key customers; and</w:t>
      </w:r>
    </w:p>
    <w:p>
      <w:pPr>
        <w:spacing w:after="0" w:line="103" w:lineRule="exact"/>
        <w:rPr>
          <w:rFonts w:ascii="Arial" w:cs="Arial" w:eastAsia="Arial" w:hAnsi="Arial"/>
          <w:sz w:val="18"/>
          <w:szCs w:val="18"/>
          <w:color w:val="auto"/>
        </w:rPr>
      </w:pPr>
    </w:p>
    <w:p>
      <w:pPr>
        <w:ind w:left="660" w:hanging="16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resolution of litigation and other legal proceedings.</w:t>
      </w:r>
    </w:p>
    <w:p>
      <w:pPr>
        <w:spacing w:after="0" w:line="17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 xml:space="preserve">For information on additional factors that could cause actual results to differ materially, please refer to the section entitled </w:t>
      </w:r>
      <w:r>
        <w:rPr>
          <w:rFonts w:ascii="Arial" w:cs="Arial" w:eastAsia="Arial" w:hAnsi="Arial"/>
          <w:sz w:val="18"/>
          <w:szCs w:val="18"/>
          <w:i w:val="1"/>
          <w:iCs w:val="1"/>
          <w:color w:val="auto"/>
        </w:rPr>
        <w:t>“Item 1A. Risk Factors</w:t>
      </w:r>
      <w:r>
        <w:rPr>
          <w:rFonts w:ascii="Arial" w:cs="Arial" w:eastAsia="Arial" w:hAnsi="Arial"/>
          <w:sz w:val="18"/>
          <w:szCs w:val="18"/>
          <w:color w:val="auto"/>
        </w:rPr>
        <w:t>” in our Annual Report on Form 10-K for the fiscal year ended October 31, 2019.</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Third-Party Information</w:t>
      </w:r>
    </w:p>
    <w:p>
      <w:pPr>
        <w:spacing w:after="0" w:line="148"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In this report, we rely on and refer to information regarding industry data obtained from market research, publicly available information, industry publications, U.S. government sources and other third parties. Although we believe this information is reliable, we cannot guarantee the accuracy or completeness of the information and have not independently verified it.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2. Management’s Discussion and Analysis of Financial Condition and Results of Operations</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The following discussion and analysis should be read in conjunction with the accompanying unaudited condensed consolidated financial statements and related notes as of April 30, 2020, and for the three and six months ended April 30, 2020 and 2019, included elsewhere herein. For additional information pertaining to our business, including risk factors which should be considered before investing in our common stock, refer to our Annual Report on Form 10-K for the fiscal year ended October 31, 2019.</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175"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We manufacture components for original equipment manufacturers (OEMs) in the building products industry. These components can be categorized as window and door (fenestration) components and kitchen and bath cabinet components. Examples of fenestration components include (1) energy-efficient flexible insulating glass spacers, (2) extruded vinyl profiles, (3) window and door screens, and (4) precision-formed metal and wood products. We also manufacture cabinet doors and other components for OEMs in the kitchen and bathroom cabinet industry. In addition, we provide certain other non-fenestration components and products, which include solar panel sealants, trim moldings, vinyl decking, fencing, water retention barriers, and conservatory roof components. We use low-cost, short lead-time production processes and engineering expertise to provide our customers with specialized products for their specific window, door, and cabinet applications. We believe these capabilities provide us with unique competitive advantages. We serve a primary customer base in North America and the U.K., and also serve customers in international markets through our operating plants in the U.K. and Germany, as well as through sales and marketing efforts in other countries.</w:t>
      </w:r>
    </w:p>
    <w:p>
      <w:pPr>
        <w:spacing w:after="0" w:line="127" w:lineRule="exact"/>
        <w:rPr>
          <w:sz w:val="20"/>
          <w:szCs w:val="20"/>
          <w:color w:val="auto"/>
        </w:rPr>
      </w:pPr>
    </w:p>
    <w:p>
      <w:pPr>
        <w:jc w:val="both"/>
        <w:ind w:firstLine="391"/>
        <w:spacing w:after="0" w:line="287" w:lineRule="auto"/>
        <w:rPr>
          <w:sz w:val="20"/>
          <w:szCs w:val="20"/>
          <w:color w:val="auto"/>
        </w:rPr>
      </w:pPr>
      <w:r>
        <w:rPr>
          <w:rFonts w:ascii="Arial" w:cs="Arial" w:eastAsia="Arial" w:hAnsi="Arial"/>
          <w:sz w:val="16"/>
          <w:szCs w:val="16"/>
          <w:color w:val="auto"/>
        </w:rPr>
        <w:t>We currently have three reportable business segments: (1) North American Fenestration segment (NA Fenestration), comprising three operating segments primarily focused on the fenestration market in North America manufacturing vinyl profiles, insulating glass spacers, screens &amp; other fenestration components; (2) European Fenestration segment (EU Fenestration), comprising our U.K.-based vinyl extrusion business, manufacturing vinyl profiles and conservatories, and the European insulating glass business manufacturing insulating glass spacers; and (3) North American Cabinet Components segment (NA Cabinet Components), comprising our cabinet door and components operations. We maintain a grouping called Unallocated Corporate &amp; Other, which includes transaction expenses, stock-based compensation, long-term incentive awards based on performance of our common stock and other factors, certain severance and legal costs not allocable to our operating segments, depreciation of corporate assets, interest expense, other, net, income taxes, inter-segment eliminations, and executive incentive compensation and medical expense fluctuations relative to planned costs as determined during the annual planning process. Other corporate general and administrative costs have been allocated to the reportable business segments, based upon a relative measure of profitability in order to more accurately reflect each reportable business segment's administrative costs. The accounting policies of our operating segments are the same as those used to prepare our accompanying condensed consolidated financial statements.</w:t>
      </w:r>
    </w:p>
    <w:p>
      <w:pPr>
        <w:spacing w:after="0" w:line="11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continue to invest in organic growth initiatives, enhance our product offerings, provide new complementary technology, enhance our leadership position within the markets we serve, expand into new markets or service lines, and explore strategic acquisitions. We have disposed of non-core businesses in the past, and continue to evaluate our business portfolio to ensure that we are investing in markets where we believe there is potential future growth.</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Transactions and Events</w:t>
      </w:r>
    </w:p>
    <w:p>
      <w:pPr>
        <w:spacing w:after="0" w:line="17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On March 11, 2020, the WHO declared the outbreak of COVID-19 to be a global pandemic and recommended containment and mitigation measures. As federal, state and local governments react to the public health crisis, significant uncertainties have been created in the economy. As of the date of this filing, we have been impacted by temporary facility closures and reduced hours of operations.</w:t>
      </w:r>
    </w:p>
    <w:p>
      <w:pPr>
        <w:spacing w:after="0" w:line="130"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We believe that we incurred a reduction to net sales of $20 million to $25 million related to the pandemic and the resulting containment for the three and six months ended April 30, 2020, but some of those effects were mitigated by our ability to continue operations and deliver orders as an essential service provider. The COVID-19 pandemic and actions taken in response thereto are continuing to have a significant adverse effect on many sectors of the economy, including new home building and remodeling activity and we may be further impacted by our role in that supply chain.</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part of our response to the COVID-19 pandemic, we have taken the following measures:</w:t>
      </w:r>
    </w:p>
    <w:p>
      <w:pPr>
        <w:spacing w:after="0" w:line="171" w:lineRule="exact"/>
        <w:rPr>
          <w:sz w:val="20"/>
          <w:szCs w:val="20"/>
          <w:color w:val="auto"/>
        </w:rPr>
      </w:pPr>
    </w:p>
    <w:p>
      <w:pPr>
        <w:jc w:val="both"/>
        <w:ind w:left="260" w:hanging="171"/>
        <w:spacing w:after="0" w:line="293" w:lineRule="auto"/>
        <w:tabs>
          <w:tab w:leader="none" w:pos="260" w:val="left"/>
        </w:tabs>
        <w:numPr>
          <w:ilvl w:val="0"/>
          <w:numId w:val="7"/>
        </w:numPr>
        <w:rPr>
          <w:rFonts w:ascii="Arial" w:cs="Arial" w:eastAsia="Arial" w:hAnsi="Arial"/>
          <w:sz w:val="16"/>
          <w:szCs w:val="16"/>
          <w:color w:val="auto"/>
        </w:rPr>
      </w:pPr>
      <w:r>
        <w:rPr>
          <w:rFonts w:ascii="Arial" w:cs="Arial" w:eastAsia="Arial" w:hAnsi="Arial"/>
          <w:sz w:val="16"/>
          <w:szCs w:val="16"/>
          <w:color w:val="auto"/>
        </w:rPr>
        <w:t>We are continuing to provide our products to support critical infrastructure needs while following national, state, and local guidelines required to continue operations during the existence of the pandemic and related local declarations of emergency. All manufacturing facilities in the United States and Germany have been declared essential by the relevant authorities and have thus remained operational for the duration of the pandemic. Government shutdown orders in the United Kingdom forced us to close both U.K. plants for a number of weeks, but those plants have been reopened. We have instituted rigorous cleaning and social distancing protocols as outlined by the Centers for Disease Control and Prevention, WHO and, where applicable, more stringent local requirements. Employees able to work from home have been doing so since March 16, 2020.</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left="260" w:hanging="171"/>
        <w:spacing w:after="0" w:line="286" w:lineRule="auto"/>
        <w:tabs>
          <w:tab w:leader="none" w:pos="260" w:val="left"/>
        </w:tabs>
        <w:numPr>
          <w:ilvl w:val="0"/>
          <w:numId w:val="8"/>
        </w:numPr>
        <w:rPr>
          <w:rFonts w:ascii="Arial" w:cs="Arial" w:eastAsia="Arial" w:hAnsi="Arial"/>
          <w:sz w:val="17"/>
          <w:szCs w:val="17"/>
          <w:color w:val="auto"/>
        </w:rPr>
      </w:pPr>
      <w:r>
        <w:rPr>
          <w:rFonts w:ascii="Arial" w:cs="Arial" w:eastAsia="Arial" w:hAnsi="Arial"/>
          <w:sz w:val="17"/>
          <w:szCs w:val="17"/>
          <w:color w:val="auto"/>
        </w:rPr>
        <w:t>We have reduced operating schedules, staggered shifts and implemented furloughs to balance production and demand and encourage social distancing. While we currently expect any negative impact on sales to be temporary, the duration of the COVID-19 pandemic, the actions to contain the pandemic and treat its impacts, and the effects on our operations are highly uncertain and cannot be predicted at this time.</w:t>
      </w:r>
    </w:p>
    <w:p>
      <w:pPr>
        <w:spacing w:after="0" w:line="111" w:lineRule="exact"/>
        <w:rPr>
          <w:rFonts w:ascii="Arial" w:cs="Arial" w:eastAsia="Arial" w:hAnsi="Arial"/>
          <w:sz w:val="17"/>
          <w:szCs w:val="17"/>
          <w:color w:val="auto"/>
        </w:rPr>
      </w:pPr>
    </w:p>
    <w:p>
      <w:pPr>
        <w:ind w:left="260" w:hanging="171"/>
        <w:spacing w:after="0" w:line="277" w:lineRule="auto"/>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are taking precautionary measures and adjusting our operational needs, including a reduction of our 2020 capital expenditure plans by approximately 30% to 35%.</w:t>
      </w:r>
    </w:p>
    <w:p>
      <w:pPr>
        <w:spacing w:after="0" w:line="116" w:lineRule="exact"/>
        <w:rPr>
          <w:rFonts w:ascii="Arial" w:cs="Arial" w:eastAsia="Arial" w:hAnsi="Arial"/>
          <w:sz w:val="18"/>
          <w:szCs w:val="18"/>
          <w:color w:val="auto"/>
        </w:rPr>
      </w:pPr>
    </w:p>
    <w:p>
      <w:pPr>
        <w:jc w:val="both"/>
        <w:ind w:left="260" w:hanging="171"/>
        <w:spacing w:after="0" w:line="263" w:lineRule="auto"/>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March 2020, we borrowed $50 million under the Credit Facility as a precautionary measure to ensure funds were available to meet our obligations during the COVID-19 pandemic. This borrowing was subsequently repaid in May 2020. In the future, we may be required to borrow additional funds in order to be prepared for any unforeseen impacts of the COVID-19 pandemic.</w:t>
      </w:r>
    </w:p>
    <w:p>
      <w:pPr>
        <w:spacing w:after="0" w:line="292"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We continue to monitor the rapidly evolving situation and guidance from international and domestic authorities, including federal, state and local public health authorities and may take additional actions based on their recommendations. In these circumstances, there may be developments outside our control requiring us to adjust our operating plan.</w:t>
      </w:r>
    </w:p>
    <w:p>
      <w:pPr>
        <w:spacing w:after="0" w:line="130"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During the year ended October 31, 2019, our North American Cabinet Components segment experienced declines in current and forecasted demand as a result of an industry-wide shift from semi-custom cabinets to stock cabinets, and received notice about a change in strategy at one of our large customers that may result in lower sales volumes in the future. As a result, during the first quarter of fiscal 2020, we began to restructure our operations within that segment by announcing the closure of one of our plants. We incurred expenses for severance, equipment moves, and other exit activities of $0.1 million and $0.3 million related to this plant closure during the three and six months ended April 30, 2020 and we may incur costs related to additional restructuring activities in future periods.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Overview and Outlook</w:t>
      </w:r>
    </w:p>
    <w:p>
      <w:pPr>
        <w:spacing w:after="0" w:line="14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believe the primary drivers of our operating results continue to be North American new home construction and residential remodeling and replacement (R&amp;R) activity. We believe that housing starts and window shipments are indicators of activity levels in the homebuilding and window industries, and we use this data, as published by or derived from third-party sources, to evaluate the market. We have evaluated the market using data from the National Association of Homebuilders (NAHB) with regard to housing starts, and published reports by Ducker Worldwide, LLC (Ducker), a consulting and research firm, with regard to window shipments in the U.S. We obtain market data from Catalina Research, a consulting and research firm, for insight into the U.S. residential wood cabinet demand.</w:t>
      </w:r>
    </w:p>
    <w:p>
      <w:pPr>
        <w:spacing w:after="0" w:line="138" w:lineRule="exact"/>
        <w:rPr>
          <w:sz w:val="20"/>
          <w:szCs w:val="20"/>
          <w:color w:val="auto"/>
        </w:rPr>
      </w:pPr>
    </w:p>
    <w:p>
      <w:pPr>
        <w:jc w:val="both"/>
        <w:ind w:firstLine="391"/>
        <w:spacing w:after="0" w:line="272" w:lineRule="auto"/>
        <w:rPr>
          <w:sz w:val="20"/>
          <w:szCs w:val="20"/>
          <w:color w:val="auto"/>
        </w:rPr>
      </w:pPr>
      <w:r>
        <w:rPr>
          <w:rFonts w:ascii="Arial" w:cs="Arial" w:eastAsia="Arial" w:hAnsi="Arial"/>
          <w:sz w:val="17"/>
          <w:szCs w:val="17"/>
          <w:color w:val="auto"/>
        </w:rPr>
        <w:t>In April 2020, the NAHB has forecasted calendar-year housing starts (excluding manufactured units) to be 1.1 million in 2020, 1.3 million in 2021, and 1.4 million in 2022. The May 2020 Ducker forecast indicated that window shipments in the R&amp;R market are expected to decrease approximately 6% during the calendar year ended 2020 and increase 2% and 4% in 2021 and 2022, respectively. Derived from reports published by Ducker, the overall increase in window shipments for the trailing twelve months ended March 31, 2020 was 4.7%. During this period, new construction and R&amp;R activities increased 9.3% and 1.1%, respectively. In April 2020, Catalina Research estimated that residential semi-custom cabinet demand in the U.S. will decline approximately 10% in 2020 and rebound approximately 2% in 2021. In line with market forecasts, we expect that some sales originally planned for the year ended October 31, 2020 may be realized during the years ended October 31, 2021 and 2022.</w:t>
      </w:r>
    </w:p>
    <w:p>
      <w:pPr>
        <w:spacing w:after="0" w:line="96" w:lineRule="exact"/>
        <w:rPr>
          <w:sz w:val="20"/>
          <w:szCs w:val="20"/>
          <w:color w:val="auto"/>
        </w:rPr>
      </w:pPr>
    </w:p>
    <w:p>
      <w:pPr>
        <w:jc w:val="both"/>
        <w:ind w:firstLine="391"/>
        <w:spacing w:after="0" w:line="290" w:lineRule="auto"/>
        <w:rPr>
          <w:sz w:val="20"/>
          <w:szCs w:val="20"/>
          <w:color w:val="auto"/>
        </w:rPr>
      </w:pPr>
      <w:r>
        <w:rPr>
          <w:rFonts w:ascii="Arial" w:cs="Arial" w:eastAsia="Arial" w:hAnsi="Arial"/>
          <w:sz w:val="16"/>
          <w:szCs w:val="16"/>
          <w:color w:val="auto"/>
        </w:rPr>
        <w:t>We utilize several commodities in our business for which pricing can fluctuate, including polyvinyl resin (PVC), titanium dioxide (TiO2), petroleum products, aluminum and wood. For the majority of our customers and critical suppliers, we have price adjusters in place which effectively share the base pass-through price changes for our primary commodities with our customers commensurate with the market at large. Our long-term exposure to these price fluctuations is somewhat mitigated due to the contractual component of the adjuster program. However, these adjusters are not in place with all customers and for all commodities, and there is a level of exposure to such volatility due to the lag associated with the timing of price updates in accordance with our customer agreements, particularly with regard to hardwoods. In addition, some of these commodities, such as silicone, are in high demand, particularly in Europe, which can affect the cost of the raw materials, a portion of which we may not be able to fully recover. Thus far we have not experienced any supply or logistics disruptions as lower demand has not required us to source the same level of supply.</w:t>
      </w:r>
    </w:p>
    <w:p>
      <w:pPr>
        <w:spacing w:after="0" w:line="84" w:lineRule="exact"/>
        <w:rPr>
          <w:sz w:val="20"/>
          <w:szCs w:val="20"/>
          <w:color w:val="auto"/>
        </w:rPr>
      </w:pPr>
    </w:p>
    <w:p>
      <w:pPr>
        <w:jc w:val="both"/>
        <w:ind w:firstLine="391"/>
        <w:spacing w:after="0" w:line="273" w:lineRule="auto"/>
        <w:rPr>
          <w:sz w:val="20"/>
          <w:szCs w:val="20"/>
          <w:color w:val="auto"/>
        </w:rPr>
      </w:pPr>
      <w:r>
        <w:rPr>
          <w:rFonts w:ascii="Arial" w:cs="Arial" w:eastAsia="Arial" w:hAnsi="Arial"/>
          <w:sz w:val="17"/>
          <w:szCs w:val="17"/>
          <w:color w:val="auto"/>
        </w:rPr>
        <w:t>On June 23, 2016, voters in the U.K. voted for the U.K. to exit the European Union (E.U.) (referred to as Brexit). In October 2019, the U.K. and E.U. ratified a withdrawal agreement, and subsequently the U.K. left the E.U. on January 31, 2020. A transition period is in place until December 31, 2020 while the U.K. and E.U. negotiate additional arrangements. The current rules for trade, travel, and business for the U.K. and E.U. will continue to apply during the transition period and any new rules will take effect January 1, 2021. Since the 2016 vote, the primary impact on Quanex’s financial performance has been related to foreign currency fluctuations of the British Pound Sterling. This fluctuation has driven foreign currency translation impacts, as well as raw material cost increases from upstream suppliers located outside of the U.K.</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ind w:firstLine="391"/>
        <w:spacing w:after="0" w:line="290" w:lineRule="auto"/>
        <w:rPr>
          <w:sz w:val="20"/>
          <w:szCs w:val="20"/>
          <w:color w:val="auto"/>
        </w:rPr>
      </w:pPr>
      <w:r>
        <w:rPr>
          <w:rFonts w:ascii="Arial" w:cs="Arial" w:eastAsia="Arial" w:hAnsi="Arial"/>
          <w:sz w:val="16"/>
          <w:szCs w:val="16"/>
          <w:color w:val="auto"/>
        </w:rPr>
        <w:t>Given the lack of comparable precedent, it is difficult for us to predict the future impacts on our U.K. based operations, which accounted for approximately 15% of our total sales for the year ended October 31, 2019. Due to the fact that we manufacture and sell a majority of our U.K. products within the U.K., there is minimal risk to our ability to physically deliver goods and complete sales. As such, we believe we are well positioned within the U.K. to respond to potential changes to underlying demand as a result of the final Brexit outcome. The primary focus for our U.K. operations centers on the availability and pricing of raw materials. While we source the majority of our raw materials from within the U.K., many of the primary upstream raw materials our vendors utilize are being sourced from outside of the U.K., which could expose us to cross-border issues and raw material price impacts due to foreign currency volatility. In February 2020, the U.K. announced its intention to introduce border controls and our U.K. businesses have positioned themselves well to cope with additional demands that this will bring in order to comply and facilitate the flow of goods in and out of the U.K.</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April 30, 2020 Compared to Three Months Ended April 30, 2019</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80" w:type="dxa"/>
            <w:vAlign w:val="bottom"/>
            <w:gridSpan w:val="4"/>
          </w:tcPr>
          <w:p>
            <w:pPr>
              <w:jc w:val="right"/>
              <w:spacing w:after="0"/>
              <w:rPr>
                <w:sz w:val="20"/>
                <w:szCs w:val="20"/>
                <w:color w:val="auto"/>
              </w:rPr>
            </w:pPr>
            <w:r>
              <w:rPr>
                <w:rFonts w:ascii="Arial" w:cs="Arial" w:eastAsia="Arial" w:hAnsi="Arial"/>
                <w:sz w:val="16"/>
                <w:szCs w:val="16"/>
                <w:b w:val="1"/>
                <w:bCs w:val="1"/>
                <w:color w:val="auto"/>
                <w:w w:val="94"/>
              </w:rPr>
              <w:t>Three Months Ended April 30,</w:t>
            </w:r>
          </w:p>
        </w:tc>
        <w:tc>
          <w:tcPr>
            <w:tcW w:w="1360" w:type="dxa"/>
            <w:vAlign w:val="bottom"/>
          </w:tcPr>
          <w:p>
            <w:pPr>
              <w:spacing w:after="0"/>
              <w:rPr>
                <w:sz w:val="18"/>
                <w:szCs w:val="18"/>
                <w:color w:val="auto"/>
              </w:rPr>
            </w:pPr>
          </w:p>
        </w:tc>
      </w:tr>
      <w:tr>
        <w:trPr>
          <w:trHeight w:val="33"/>
        </w:trPr>
        <w:tc>
          <w:tcPr>
            <w:tcW w:w="63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8"/>
        </w:trPr>
        <w:tc>
          <w:tcPr>
            <w:tcW w:w="63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11"/>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13"/>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Change $</w:t>
            </w:r>
          </w:p>
        </w:tc>
        <w:tc>
          <w:tcPr>
            <w:tcW w:w="13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 Variance</w:t>
            </w:r>
          </w:p>
        </w:tc>
      </w:tr>
      <w:tr>
        <w:trPr>
          <w:trHeight w:val="250"/>
        </w:trPr>
        <w:tc>
          <w:tcPr>
            <w:tcW w:w="6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180" w:type="dxa"/>
            <w:vAlign w:val="bottom"/>
            <w:gridSpan w:val="4"/>
          </w:tcPr>
          <w:p>
            <w:pPr>
              <w:jc w:val="right"/>
              <w:ind w:right="392"/>
              <w:spacing w:after="0"/>
              <w:rPr>
                <w:sz w:val="20"/>
                <w:szCs w:val="20"/>
                <w:color w:val="auto"/>
              </w:rPr>
            </w:pPr>
            <w:r>
              <w:rPr>
                <w:rFonts w:ascii="Arial" w:cs="Arial" w:eastAsia="Arial" w:hAnsi="Arial"/>
                <w:sz w:val="14"/>
                <w:szCs w:val="14"/>
                <w:b w:val="1"/>
                <w:bCs w:val="1"/>
                <w:color w:val="auto"/>
              </w:rPr>
              <w:t>(Dollars in millions)</w:t>
            </w:r>
          </w:p>
        </w:tc>
        <w:tc>
          <w:tcPr>
            <w:tcW w:w="1360" w:type="dxa"/>
            <w:vAlign w:val="bottom"/>
          </w:tcPr>
          <w:p>
            <w:pPr>
              <w:spacing w:after="0"/>
              <w:rPr>
                <w:sz w:val="21"/>
                <w:szCs w:val="21"/>
                <w:color w:val="auto"/>
              </w:rPr>
            </w:pPr>
          </w:p>
        </w:tc>
      </w:tr>
      <w:tr>
        <w:trPr>
          <w:trHeight w:val="256"/>
        </w:trPr>
        <w:tc>
          <w:tcPr>
            <w:tcW w:w="6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187.5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218.2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43"/>
        </w:trPr>
        <w:tc>
          <w:tcPr>
            <w:tcW w:w="6320" w:type="dxa"/>
            <w:vAlign w:val="bottom"/>
          </w:tcPr>
          <w:p>
            <w:pPr>
              <w:ind w:left="180"/>
              <w:spacing w:after="0"/>
              <w:rPr>
                <w:sz w:val="20"/>
                <w:szCs w:val="20"/>
                <w:color w:val="auto"/>
              </w:rPr>
            </w:pPr>
            <w:r>
              <w:rPr>
                <w:rFonts w:ascii="Arial" w:cs="Arial" w:eastAsia="Arial" w:hAnsi="Arial"/>
                <w:sz w:val="18"/>
                <w:szCs w:val="18"/>
                <w:color w:val="auto"/>
              </w:rPr>
              <w:t>Cost of sales (excluding depreciation and amortization)</w:t>
            </w:r>
          </w:p>
        </w:tc>
        <w:tc>
          <w:tcPr>
            <w:tcW w:w="26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149.7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171.4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(21.7)</w:t>
            </w:r>
          </w:p>
        </w:tc>
        <w:tc>
          <w:tcPr>
            <w:tcW w:w="1360" w:type="dxa"/>
            <w:vAlign w:val="bottom"/>
          </w:tcPr>
          <w:p>
            <w:pPr>
              <w:jc w:val="right"/>
              <w:spacing w:after="0"/>
              <w:rPr>
                <w:sz w:val="20"/>
                <w:szCs w:val="20"/>
                <w:color w:val="auto"/>
              </w:rPr>
            </w:pPr>
            <w:r>
              <w:rPr>
                <w:rFonts w:ascii="Arial" w:cs="Arial" w:eastAsia="Arial" w:hAnsi="Arial"/>
                <w:sz w:val="18"/>
                <w:szCs w:val="18"/>
                <w:color w:val="auto"/>
              </w:rPr>
              <w:t>13 %</w:t>
            </w:r>
          </w:p>
        </w:tc>
      </w:tr>
      <w:tr>
        <w:trPr>
          <w:trHeight w:val="27"/>
        </w:trPr>
        <w:tc>
          <w:tcPr>
            <w:tcW w:w="6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30 %</w:t>
            </w:r>
          </w:p>
        </w:tc>
      </w:tr>
      <w:tr>
        <w:trPr>
          <w:trHeight w:val="243"/>
        </w:trPr>
        <w:tc>
          <w:tcPr>
            <w:tcW w:w="6320" w:type="dxa"/>
            <w:vAlign w:val="bottom"/>
          </w:tcPr>
          <w:p>
            <w:pPr>
              <w:ind w:left="180"/>
              <w:spacing w:after="0"/>
              <w:rPr>
                <w:sz w:val="20"/>
                <w:szCs w:val="20"/>
                <w:color w:val="auto"/>
              </w:rPr>
            </w:pPr>
            <w:r>
              <w:rPr>
                <w:rFonts w:ascii="Arial" w:cs="Arial" w:eastAsia="Arial" w:hAnsi="Arial"/>
                <w:sz w:val="18"/>
                <w:szCs w:val="18"/>
                <w:color w:val="auto"/>
              </w:rPr>
              <w:t>Restructuring charges</w:t>
            </w:r>
          </w:p>
        </w:tc>
        <w:tc>
          <w:tcPr>
            <w:tcW w:w="26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0.2</w:t>
            </w:r>
          </w:p>
        </w:tc>
        <w:tc>
          <w:tcPr>
            <w:tcW w:w="136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7"/>
        </w:trPr>
        <w:tc>
          <w:tcPr>
            <w:tcW w:w="6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4 %</w:t>
            </w:r>
          </w:p>
        </w:tc>
      </w:tr>
      <w:tr>
        <w:trPr>
          <w:trHeight w:val="243"/>
        </w:trPr>
        <w:tc>
          <w:tcPr>
            <w:tcW w:w="6320" w:type="dxa"/>
            <w:vAlign w:val="bottom"/>
          </w:tcPr>
          <w:p>
            <w:pPr>
              <w:ind w:left="180"/>
              <w:spacing w:after="0"/>
              <w:rPr>
                <w:sz w:val="20"/>
                <w:szCs w:val="20"/>
                <w:color w:val="auto"/>
              </w:rPr>
            </w:pPr>
            <w:r>
              <w:rPr>
                <w:rFonts w:ascii="Arial" w:cs="Arial" w:eastAsia="Arial" w:hAnsi="Arial"/>
                <w:sz w:val="18"/>
                <w:szCs w:val="18"/>
                <w:color w:val="auto"/>
              </w:rPr>
              <w:t>Asset impairment charges</w:t>
            </w:r>
          </w:p>
        </w:tc>
        <w:tc>
          <w:tcPr>
            <w:tcW w:w="2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(30.0)</w:t>
            </w:r>
          </w:p>
        </w:tc>
        <w:tc>
          <w:tcPr>
            <w:tcW w:w="1360" w:type="dxa"/>
            <w:vAlign w:val="bottom"/>
          </w:tcPr>
          <w:p>
            <w:pPr>
              <w:jc w:val="right"/>
              <w:spacing w:after="0"/>
              <w:rPr>
                <w:sz w:val="20"/>
                <w:szCs w:val="20"/>
                <w:color w:val="auto"/>
              </w:rPr>
            </w:pPr>
            <w:r>
              <w:rPr>
                <w:rFonts w:ascii="Arial" w:cs="Arial" w:eastAsia="Arial" w:hAnsi="Arial"/>
                <w:sz w:val="18"/>
                <w:szCs w:val="18"/>
                <w:color w:val="auto"/>
              </w:rPr>
              <w:t>100 %</w:t>
            </w:r>
          </w:p>
        </w:tc>
      </w:tr>
      <w:tr>
        <w:trPr>
          <w:trHeight w:val="27"/>
        </w:trPr>
        <w:tc>
          <w:tcPr>
            <w:tcW w:w="63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r>
      <w:tr>
        <w:trPr>
          <w:trHeight w:val="243"/>
        </w:trPr>
        <w:tc>
          <w:tcPr>
            <w:tcW w:w="6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28.3</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146 %</w:t>
            </w:r>
          </w:p>
        </w:tc>
      </w:tr>
      <w:tr>
        <w:trPr>
          <w:trHeight w:val="243"/>
        </w:trPr>
        <w:tc>
          <w:tcPr>
            <w:tcW w:w="632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1.0</w:t>
            </w:r>
          </w:p>
        </w:tc>
        <w:tc>
          <w:tcPr>
            <w:tcW w:w="1360" w:type="dxa"/>
            <w:vAlign w:val="bottom"/>
          </w:tcPr>
          <w:p>
            <w:pPr>
              <w:jc w:val="right"/>
              <w:spacing w:after="0"/>
              <w:rPr>
                <w:sz w:val="20"/>
                <w:szCs w:val="20"/>
                <w:color w:val="auto"/>
              </w:rPr>
            </w:pPr>
            <w:r>
              <w:rPr>
                <w:rFonts w:ascii="Arial" w:cs="Arial" w:eastAsia="Arial" w:hAnsi="Arial"/>
                <w:sz w:val="18"/>
                <w:szCs w:val="18"/>
                <w:color w:val="auto"/>
              </w:rPr>
              <w:t>38 %</w:t>
            </w:r>
          </w:p>
        </w:tc>
      </w:tr>
      <w:tr>
        <w:trPr>
          <w:trHeight w:val="27"/>
        </w:trPr>
        <w:tc>
          <w:tcPr>
            <w:tcW w:w="6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net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0.3</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43"/>
        </w:trPr>
        <w:tc>
          <w:tcPr>
            <w:tcW w:w="632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(0.1)</w:t>
            </w:r>
          </w:p>
        </w:tc>
        <w:tc>
          <w:tcPr>
            <w:tcW w:w="13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63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r>
      <w:tr>
        <w:trPr>
          <w:trHeight w:val="257"/>
        </w:trPr>
        <w:tc>
          <w:tcPr>
            <w:tcW w:w="6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29.5</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123 %</w:t>
            </w:r>
          </w:p>
        </w:tc>
      </w:tr>
      <w:tr>
        <w:trPr>
          <w:trHeight w:val="20"/>
        </w:trPr>
        <w:tc>
          <w:tcPr>
            <w:tcW w:w="6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period-over-period results by reportable segment follow.</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Related to Operating Income by Reportable Segment: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NA Fenestration</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20" w:type="dxa"/>
            <w:vAlign w:val="bottom"/>
            <w:gridSpan w:val="4"/>
          </w:tcPr>
          <w:p>
            <w:pPr>
              <w:jc w:val="right"/>
              <w:ind w:right="93"/>
              <w:spacing w:after="0"/>
              <w:rPr>
                <w:sz w:val="20"/>
                <w:szCs w:val="20"/>
                <w:color w:val="auto"/>
              </w:rPr>
            </w:pPr>
            <w:r>
              <w:rPr>
                <w:rFonts w:ascii="Arial" w:cs="Arial" w:eastAsia="Arial" w:hAnsi="Arial"/>
                <w:sz w:val="16"/>
                <w:szCs w:val="16"/>
                <w:b w:val="1"/>
                <w:bCs w:val="1"/>
                <w:color w:val="auto"/>
                <w:w w:val="93"/>
              </w:rPr>
              <w:t>Three Months Ended April 30,</w:t>
            </w:r>
          </w:p>
        </w:tc>
        <w:tc>
          <w:tcPr>
            <w:tcW w:w="1220" w:type="dxa"/>
            <w:vAlign w:val="bottom"/>
          </w:tcPr>
          <w:p>
            <w:pPr>
              <w:spacing w:after="0"/>
              <w:rPr>
                <w:sz w:val="18"/>
                <w:szCs w:val="18"/>
                <w:color w:val="auto"/>
              </w:rPr>
            </w:pPr>
          </w:p>
        </w:tc>
      </w:tr>
      <w:tr>
        <w:trPr>
          <w:trHeight w:val="33"/>
        </w:trPr>
        <w:tc>
          <w:tcPr>
            <w:tcW w:w="62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8"/>
        </w:trPr>
        <w:tc>
          <w:tcPr>
            <w:tcW w:w="62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55"/>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 Change</w:t>
            </w:r>
          </w:p>
        </w:tc>
        <w:tc>
          <w:tcPr>
            <w:tcW w:w="122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 Variance</w:t>
            </w:r>
          </w:p>
        </w:tc>
      </w:tr>
      <w:tr>
        <w:trPr>
          <w:trHeight w:val="173"/>
        </w:trPr>
        <w:tc>
          <w:tcPr>
            <w:tcW w:w="6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20" w:type="dxa"/>
            <w:vAlign w:val="bottom"/>
            <w:gridSpan w:val="4"/>
          </w:tcPr>
          <w:p>
            <w:pPr>
              <w:jc w:val="right"/>
              <w:ind w:right="633"/>
              <w:spacing w:after="0"/>
              <w:rPr>
                <w:sz w:val="20"/>
                <w:szCs w:val="20"/>
                <w:color w:val="auto"/>
              </w:rPr>
            </w:pPr>
            <w:r>
              <w:rPr>
                <w:rFonts w:ascii="Arial" w:cs="Arial" w:eastAsia="Arial" w:hAnsi="Arial"/>
                <w:sz w:val="13"/>
                <w:szCs w:val="13"/>
                <w:b w:val="1"/>
                <w:bCs w:val="1"/>
                <w:color w:val="auto"/>
              </w:rPr>
              <w:t>(Dollars in millions)</w:t>
            </w:r>
          </w:p>
        </w:tc>
        <w:tc>
          <w:tcPr>
            <w:tcW w:w="1220" w:type="dxa"/>
            <w:vAlign w:val="bottom"/>
          </w:tcPr>
          <w:p>
            <w:pPr>
              <w:spacing w:after="0"/>
              <w:rPr>
                <w:sz w:val="15"/>
                <w:szCs w:val="15"/>
                <w:color w:val="auto"/>
              </w:rPr>
            </w:pPr>
          </w:p>
        </w:tc>
      </w:tr>
      <w:tr>
        <w:trPr>
          <w:trHeight w:val="259"/>
        </w:trPr>
        <w:tc>
          <w:tcPr>
            <w:tcW w:w="6280" w:type="dxa"/>
            <w:vAlign w:val="bottom"/>
          </w:tcPr>
          <w:p>
            <w:pPr>
              <w:ind w:left="40"/>
              <w:spacing w:after="0"/>
              <w:rPr>
                <w:sz w:val="20"/>
                <w:szCs w:val="20"/>
                <w:color w:val="auto"/>
              </w:rPr>
            </w:pPr>
            <w:r>
              <w:rPr>
                <w:rFonts w:ascii="Arial" w:cs="Arial" w:eastAsia="Arial" w:hAnsi="Arial"/>
                <w:sz w:val="18"/>
                <w:szCs w:val="18"/>
                <w:color w:val="auto"/>
              </w:rPr>
              <w:t>Net sales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108.6</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95"/>
              <w:spacing w:after="0"/>
              <w:rPr>
                <w:sz w:val="20"/>
                <w:szCs w:val="20"/>
                <w:color w:val="auto"/>
              </w:rPr>
            </w:pPr>
            <w:r>
              <w:rPr>
                <w:rFonts w:ascii="Arial" w:cs="Arial" w:eastAsia="Arial" w:hAnsi="Arial"/>
                <w:sz w:val="18"/>
                <w:szCs w:val="18"/>
                <w:color w:val="auto"/>
              </w:rPr>
              <w:t>115.3</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(6.7)</w:t>
            </w:r>
          </w:p>
        </w:tc>
        <w:tc>
          <w:tcPr>
            <w:tcW w:w="1220" w:type="dxa"/>
            <w:vAlign w:val="bottom"/>
          </w:tcPr>
          <w:p>
            <w:pPr>
              <w:jc w:val="center"/>
              <w:ind w:left="13"/>
              <w:spacing w:after="0"/>
              <w:rPr>
                <w:sz w:val="20"/>
                <w:szCs w:val="20"/>
                <w:color w:val="auto"/>
              </w:rPr>
            </w:pPr>
            <w:r>
              <w:rPr>
                <w:rFonts w:ascii="Arial" w:cs="Arial" w:eastAsia="Arial" w:hAnsi="Arial"/>
                <w:sz w:val="18"/>
                <w:szCs w:val="18"/>
                <w:color w:val="auto"/>
                <w:w w:val="94"/>
              </w:rPr>
              <w:t>(6)%</w:t>
            </w:r>
          </w:p>
        </w:tc>
      </w:tr>
      <w:tr>
        <w:trPr>
          <w:trHeight w:val="27"/>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 (excluding depreciation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85.1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90.0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20" w:type="dxa"/>
            <w:vAlign w:val="bottom"/>
            <w:tcBorders>
              <w:bottom w:val="single" w:sz="8" w:color="CCEEFF"/>
            </w:tcBorders>
            <w:shd w:val="clear" w:color="auto" w:fill="CCEEFF"/>
          </w:tcPr>
          <w:p>
            <w:pPr>
              <w:jc w:val="center"/>
              <w:ind w:left="13"/>
              <w:spacing w:after="0"/>
              <w:rPr>
                <w:sz w:val="20"/>
                <w:szCs w:val="20"/>
                <w:color w:val="auto"/>
              </w:rPr>
            </w:pPr>
            <w:r>
              <w:rPr>
                <w:rFonts w:ascii="Arial" w:cs="Arial" w:eastAsia="Arial" w:hAnsi="Arial"/>
                <w:sz w:val="18"/>
                <w:szCs w:val="18"/>
                <w:color w:val="auto"/>
                <w:w w:val="92"/>
              </w:rPr>
              <w:t>5%</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21"/>
                <w:szCs w:val="21"/>
                <w:color w:val="auto"/>
              </w:rPr>
            </w:pP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ind w:right="95"/>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w:t>
            </w:r>
          </w:p>
        </w:tc>
        <w:tc>
          <w:tcPr>
            <w:tcW w:w="1220" w:type="dxa"/>
            <w:vAlign w:val="bottom"/>
          </w:tcPr>
          <w:p>
            <w:pPr>
              <w:jc w:val="center"/>
              <w:ind w:left="13"/>
              <w:spacing w:after="0"/>
              <w:rPr>
                <w:sz w:val="20"/>
                <w:szCs w:val="20"/>
                <w:color w:val="auto"/>
              </w:rPr>
            </w:pPr>
            <w:r>
              <w:rPr>
                <w:rFonts w:ascii="Arial" w:cs="Arial" w:eastAsia="Arial" w:hAnsi="Arial"/>
                <w:sz w:val="18"/>
                <w:szCs w:val="18"/>
                <w:color w:val="auto"/>
                <w:w w:val="88"/>
              </w:rPr>
              <w:t>18%</w:t>
            </w:r>
          </w:p>
        </w:tc>
      </w:tr>
      <w:tr>
        <w:trPr>
          <w:trHeight w:val="27"/>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charges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center"/>
              <w:ind w:left="13"/>
              <w:spacing w:after="0"/>
              <w:rPr>
                <w:sz w:val="20"/>
                <w:szCs w:val="20"/>
                <w:color w:val="auto"/>
              </w:rPr>
            </w:pPr>
            <w:r>
              <w:rPr>
                <w:rFonts w:ascii="Arial" w:cs="Arial" w:eastAsia="Arial" w:hAnsi="Arial"/>
                <w:sz w:val="18"/>
                <w:szCs w:val="18"/>
                <w:color w:val="auto"/>
                <w:w w:val="93"/>
              </w:rPr>
              <w:t>—%</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21"/>
                <w:szCs w:val="21"/>
                <w:color w:val="auto"/>
              </w:rPr>
            </w:pP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ind w:right="95"/>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(0.8)</w:t>
            </w:r>
          </w:p>
        </w:tc>
        <w:tc>
          <w:tcPr>
            <w:tcW w:w="1220" w:type="dxa"/>
            <w:vAlign w:val="bottom"/>
          </w:tcPr>
          <w:p>
            <w:pPr>
              <w:jc w:val="center"/>
              <w:ind w:left="13"/>
              <w:spacing w:after="0"/>
              <w:rPr>
                <w:sz w:val="20"/>
                <w:szCs w:val="20"/>
                <w:color w:val="auto"/>
              </w:rPr>
            </w:pPr>
            <w:r>
              <w:rPr>
                <w:rFonts w:ascii="Arial" w:cs="Arial" w:eastAsia="Arial" w:hAnsi="Arial"/>
                <w:sz w:val="18"/>
                <w:szCs w:val="18"/>
                <w:color w:val="auto"/>
                <w:w w:val="88"/>
              </w:rPr>
              <w:t>12%</w:t>
            </w:r>
          </w:p>
        </w:tc>
      </w:tr>
      <w:tr>
        <w:trPr>
          <w:trHeight w:val="27"/>
        </w:trPr>
        <w:tc>
          <w:tcPr>
            <w:tcW w:w="6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r>
      <w:tr>
        <w:trPr>
          <w:trHeight w:val="257"/>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1.2</w:t>
            </w:r>
          </w:p>
        </w:tc>
        <w:tc>
          <w:tcPr>
            <w:tcW w:w="1220" w:type="dxa"/>
            <w:vAlign w:val="bottom"/>
            <w:tcBorders>
              <w:bottom w:val="single" w:sz="8" w:color="CCEEFF"/>
            </w:tcBorders>
            <w:shd w:val="clear" w:color="auto" w:fill="CCEEFF"/>
          </w:tcPr>
          <w:p>
            <w:pPr>
              <w:jc w:val="center"/>
              <w:ind w:left="13"/>
              <w:spacing w:after="0"/>
              <w:rPr>
                <w:sz w:val="20"/>
                <w:szCs w:val="20"/>
                <w:color w:val="auto"/>
              </w:rPr>
            </w:pPr>
            <w:r>
              <w:rPr>
                <w:rFonts w:ascii="Arial" w:cs="Arial" w:eastAsia="Arial" w:hAnsi="Arial"/>
                <w:sz w:val="18"/>
                <w:szCs w:val="18"/>
                <w:color w:val="auto"/>
                <w:w w:val="88"/>
              </w:rPr>
              <w:t>19%</w:t>
            </w:r>
          </w:p>
        </w:tc>
      </w:tr>
      <w:tr>
        <w:trPr>
          <w:trHeight w:val="20"/>
        </w:trPr>
        <w:tc>
          <w:tcPr>
            <w:tcW w:w="6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30"/>
        </w:trPr>
        <w:tc>
          <w:tcPr>
            <w:tcW w:w="6280" w:type="dxa"/>
            <w:vAlign w:val="bottom"/>
          </w:tcPr>
          <w:p>
            <w:pPr>
              <w:ind w:left="40"/>
              <w:spacing w:after="0"/>
              <w:rPr>
                <w:sz w:val="20"/>
                <w:szCs w:val="20"/>
                <w:color w:val="auto"/>
              </w:rPr>
            </w:pPr>
            <w:r>
              <w:rPr>
                <w:rFonts w:ascii="Arial" w:cs="Arial" w:eastAsia="Arial" w:hAnsi="Arial"/>
                <w:sz w:val="18"/>
                <w:szCs w:val="18"/>
                <w:color w:val="auto"/>
              </w:rPr>
              <w:t>Operating income margin</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20" w:type="dxa"/>
            <w:vAlign w:val="bottom"/>
          </w:tcPr>
          <w:p>
            <w:pPr>
              <w:spacing w:after="0"/>
              <w:rPr>
                <w:sz w:val="20"/>
                <w:szCs w:val="20"/>
                <w:color w:val="auto"/>
              </w:rPr>
            </w:pPr>
          </w:p>
        </w:tc>
      </w:tr>
    </w:tbl>
    <w:p>
      <w:pPr>
        <w:spacing w:after="0" w:line="14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i w:val="1"/>
          <w:iCs w:val="1"/>
          <w:color w:val="auto"/>
        </w:rPr>
        <w:t xml:space="preserve">Net Sales. </w:t>
      </w:r>
      <w:r>
        <w:rPr>
          <w:rFonts w:ascii="Arial" w:cs="Arial" w:eastAsia="Arial" w:hAnsi="Arial"/>
          <w:sz w:val="18"/>
          <w:szCs w:val="18"/>
          <w:color w:val="auto"/>
        </w:rPr>
        <w:t>Net sales decreased $6.7 million, or 6%, for the three months ended April 30, 2020 compared to the same period in 2019, which was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driven by a decrease in volumes including the impacts of COVID-19.</w:t>
      </w:r>
    </w:p>
    <w:p>
      <w:pPr>
        <w:spacing w:after="0" w:line="89"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i w:val="1"/>
          <w:iCs w:val="1"/>
          <w:color w:val="auto"/>
        </w:rPr>
        <w:t xml:space="preserve">Cost of Sales. </w:t>
      </w:r>
      <w:r>
        <w:rPr>
          <w:rFonts w:ascii="Arial" w:cs="Arial" w:eastAsia="Arial" w:hAnsi="Arial"/>
          <w:sz w:val="18"/>
          <w:szCs w:val="18"/>
          <w:color w:val="auto"/>
        </w:rPr>
        <w:t>The cost of sales decreased $4.9 million when comparing the three months ended April 30, 2020 to the same period in 2019. Cost of</w:t>
      </w:r>
      <w:r>
        <w:rPr>
          <w:rFonts w:ascii="Arial" w:cs="Arial" w:eastAsia="Arial" w:hAnsi="Arial"/>
          <w:sz w:val="18"/>
          <w:szCs w:val="18"/>
          <w:i w:val="1"/>
          <w:iCs w:val="1"/>
          <w:color w:val="auto"/>
        </w:rPr>
        <w:t xml:space="preserve"> </w:t>
      </w:r>
      <w:r>
        <w:rPr>
          <w:rFonts w:ascii="Arial" w:cs="Arial" w:eastAsia="Arial" w:hAnsi="Arial"/>
          <w:sz w:val="18"/>
          <w:szCs w:val="18"/>
          <w:color w:val="auto"/>
        </w:rPr>
        <w:t>sales decreased due to lower volumes during the period, including a corresponding decrease in selling expenses as a result of the impacts of COVID-19 as mentioned above.</w:t>
      </w:r>
    </w:p>
    <w:p>
      <w:pPr>
        <w:spacing w:after="0" w:line="10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i w:val="1"/>
          <w:iCs w:val="1"/>
          <w:color w:val="auto"/>
        </w:rPr>
        <w:t>Selling, General and Administrative. S</w:t>
      </w:r>
      <w:r>
        <w:rPr>
          <w:rFonts w:ascii="Arial" w:cs="Arial" w:eastAsia="Arial" w:hAnsi="Arial"/>
          <w:sz w:val="18"/>
          <w:szCs w:val="18"/>
          <w:color w:val="auto"/>
        </w:rPr>
        <w:t>elling, general and administrative expenses decreased $2.2 million when comparing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April 30, 2020 to the same period in 2019 primarily due to lower incentive compensation expense.</w:t>
      </w:r>
    </w:p>
    <w:p>
      <w:pPr>
        <w:spacing w:after="0" w:line="89"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i w:val="1"/>
          <w:iCs w:val="1"/>
          <w:color w:val="auto"/>
        </w:rPr>
        <w:t xml:space="preserve">Restructuring Charges. </w:t>
      </w:r>
      <w:r>
        <w:rPr>
          <w:rFonts w:ascii="Arial" w:cs="Arial" w:eastAsia="Arial" w:hAnsi="Arial"/>
          <w:sz w:val="16"/>
          <w:szCs w:val="16"/>
          <w:color w:val="auto"/>
        </w:rPr>
        <w:t>Restructuring charges for each of the three month periods ended April 30, 2020 and 2019 of $0.1 million relate to facility</w:t>
      </w:r>
      <w:r>
        <w:rPr>
          <w:rFonts w:ascii="Arial" w:cs="Arial" w:eastAsia="Arial" w:hAnsi="Arial"/>
          <w:sz w:val="16"/>
          <w:szCs w:val="16"/>
          <w:i w:val="1"/>
          <w:iCs w:val="1"/>
          <w:color w:val="auto"/>
        </w:rPr>
        <w:t xml:space="preserve"> </w:t>
      </w:r>
      <w:r>
        <w:rPr>
          <w:rFonts w:ascii="Arial" w:cs="Arial" w:eastAsia="Arial" w:hAnsi="Arial"/>
          <w:sz w:val="16"/>
          <w:szCs w:val="16"/>
          <w:color w:val="auto"/>
        </w:rPr>
        <w:t>lease expense for a vinyl extrusion plant which was closed in January 2017 in the U.S. that has not been sublet or otherwise exited as of April 30, 2020.</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EU Fenestration</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20" w:type="dxa"/>
            <w:vAlign w:val="bottom"/>
            <w:gridSpan w:val="4"/>
          </w:tcPr>
          <w:p>
            <w:pPr>
              <w:jc w:val="right"/>
              <w:ind w:right="93"/>
              <w:spacing w:after="0"/>
              <w:rPr>
                <w:sz w:val="20"/>
                <w:szCs w:val="20"/>
                <w:color w:val="auto"/>
              </w:rPr>
            </w:pPr>
            <w:r>
              <w:rPr>
                <w:rFonts w:ascii="Arial" w:cs="Arial" w:eastAsia="Arial" w:hAnsi="Arial"/>
                <w:sz w:val="16"/>
                <w:szCs w:val="16"/>
                <w:b w:val="1"/>
                <w:bCs w:val="1"/>
                <w:color w:val="auto"/>
                <w:w w:val="93"/>
              </w:rPr>
              <w:t>Three Months Ended April 30,</w:t>
            </w:r>
          </w:p>
        </w:tc>
        <w:tc>
          <w:tcPr>
            <w:tcW w:w="1220" w:type="dxa"/>
            <w:vAlign w:val="bottom"/>
          </w:tcPr>
          <w:p>
            <w:pPr>
              <w:spacing w:after="0"/>
              <w:rPr>
                <w:sz w:val="18"/>
                <w:szCs w:val="18"/>
                <w:color w:val="auto"/>
              </w:rPr>
            </w:pPr>
          </w:p>
        </w:tc>
      </w:tr>
      <w:tr>
        <w:trPr>
          <w:trHeight w:val="33"/>
        </w:trPr>
        <w:tc>
          <w:tcPr>
            <w:tcW w:w="62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8"/>
        </w:trPr>
        <w:tc>
          <w:tcPr>
            <w:tcW w:w="62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55"/>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 Change</w:t>
            </w:r>
          </w:p>
        </w:tc>
        <w:tc>
          <w:tcPr>
            <w:tcW w:w="122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Variance %</w:t>
            </w:r>
          </w:p>
        </w:tc>
      </w:tr>
      <w:tr>
        <w:trPr>
          <w:trHeight w:val="173"/>
        </w:trPr>
        <w:tc>
          <w:tcPr>
            <w:tcW w:w="6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20" w:type="dxa"/>
            <w:vAlign w:val="bottom"/>
            <w:gridSpan w:val="4"/>
          </w:tcPr>
          <w:p>
            <w:pPr>
              <w:jc w:val="right"/>
              <w:ind w:right="633"/>
              <w:spacing w:after="0"/>
              <w:rPr>
                <w:sz w:val="20"/>
                <w:szCs w:val="20"/>
                <w:color w:val="auto"/>
              </w:rPr>
            </w:pPr>
            <w:r>
              <w:rPr>
                <w:rFonts w:ascii="Arial" w:cs="Arial" w:eastAsia="Arial" w:hAnsi="Arial"/>
                <w:sz w:val="13"/>
                <w:szCs w:val="13"/>
                <w:b w:val="1"/>
                <w:bCs w:val="1"/>
                <w:color w:val="auto"/>
              </w:rPr>
              <w:t>(Dollars in millions)</w:t>
            </w:r>
          </w:p>
        </w:tc>
        <w:tc>
          <w:tcPr>
            <w:tcW w:w="1220" w:type="dxa"/>
            <w:vAlign w:val="bottom"/>
          </w:tcPr>
          <w:p>
            <w:pPr>
              <w:spacing w:after="0"/>
              <w:rPr>
                <w:sz w:val="15"/>
                <w:szCs w:val="15"/>
                <w:color w:val="auto"/>
              </w:rPr>
            </w:pPr>
          </w:p>
        </w:tc>
      </w:tr>
      <w:tr>
        <w:trPr>
          <w:trHeight w:val="259"/>
        </w:trPr>
        <w:tc>
          <w:tcPr>
            <w:tcW w:w="6280" w:type="dxa"/>
            <w:vAlign w:val="bottom"/>
          </w:tcPr>
          <w:p>
            <w:pPr>
              <w:ind w:left="40"/>
              <w:spacing w:after="0"/>
              <w:rPr>
                <w:sz w:val="20"/>
                <w:szCs w:val="20"/>
                <w:color w:val="auto"/>
              </w:rPr>
            </w:pPr>
            <w:r>
              <w:rPr>
                <w:rFonts w:ascii="Arial" w:cs="Arial" w:eastAsia="Arial" w:hAnsi="Arial"/>
                <w:sz w:val="18"/>
                <w:szCs w:val="18"/>
                <w:color w:val="auto"/>
              </w:rPr>
              <w:t>Net sales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29.2</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95"/>
              <w:spacing w:after="0"/>
              <w:rPr>
                <w:sz w:val="20"/>
                <w:szCs w:val="20"/>
                <w:color w:val="auto"/>
              </w:rPr>
            </w:pPr>
            <w:r>
              <w:rPr>
                <w:rFonts w:ascii="Arial" w:cs="Arial" w:eastAsia="Arial" w:hAnsi="Arial"/>
                <w:sz w:val="18"/>
                <w:szCs w:val="18"/>
                <w:color w:val="auto"/>
              </w:rPr>
              <w:t>41.6</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(12.4)</w:t>
            </w:r>
          </w:p>
        </w:tc>
        <w:tc>
          <w:tcPr>
            <w:tcW w:w="1220" w:type="dxa"/>
            <w:vAlign w:val="bottom"/>
          </w:tcPr>
          <w:p>
            <w:pPr>
              <w:jc w:val="center"/>
              <w:ind w:left="13"/>
              <w:spacing w:after="0"/>
              <w:rPr>
                <w:sz w:val="20"/>
                <w:szCs w:val="20"/>
                <w:color w:val="auto"/>
              </w:rPr>
            </w:pPr>
            <w:r>
              <w:rPr>
                <w:rFonts w:ascii="Arial" w:cs="Arial" w:eastAsia="Arial" w:hAnsi="Arial"/>
                <w:sz w:val="18"/>
                <w:szCs w:val="18"/>
                <w:color w:val="auto"/>
                <w:w w:val="91"/>
              </w:rPr>
              <w:t>(30)%</w:t>
            </w:r>
          </w:p>
        </w:tc>
      </w:tr>
      <w:tr>
        <w:trPr>
          <w:trHeight w:val="27"/>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 (excluding depreciation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21.0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28.9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220" w:type="dxa"/>
            <w:vAlign w:val="bottom"/>
            <w:tcBorders>
              <w:bottom w:val="single" w:sz="8" w:color="CCEEFF"/>
            </w:tcBorders>
            <w:shd w:val="clear" w:color="auto" w:fill="CCEEFF"/>
          </w:tcPr>
          <w:p>
            <w:pPr>
              <w:jc w:val="center"/>
              <w:ind w:left="13"/>
              <w:spacing w:after="0"/>
              <w:rPr>
                <w:sz w:val="20"/>
                <w:szCs w:val="20"/>
                <w:color w:val="auto"/>
              </w:rPr>
            </w:pPr>
            <w:r>
              <w:rPr>
                <w:rFonts w:ascii="Arial" w:cs="Arial" w:eastAsia="Arial" w:hAnsi="Arial"/>
                <w:sz w:val="18"/>
                <w:szCs w:val="18"/>
                <w:color w:val="auto"/>
                <w:w w:val="88"/>
              </w:rPr>
              <w:t>27%</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21"/>
                <w:szCs w:val="21"/>
                <w:color w:val="auto"/>
              </w:rPr>
            </w:pP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ind w:right="95"/>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(0.4)</w:t>
            </w:r>
          </w:p>
        </w:tc>
        <w:tc>
          <w:tcPr>
            <w:tcW w:w="1220" w:type="dxa"/>
            <w:vAlign w:val="bottom"/>
          </w:tcPr>
          <w:p>
            <w:pPr>
              <w:jc w:val="center"/>
              <w:ind w:left="13"/>
              <w:spacing w:after="0"/>
              <w:rPr>
                <w:sz w:val="20"/>
                <w:szCs w:val="20"/>
                <w:color w:val="auto"/>
              </w:rPr>
            </w:pPr>
            <w:r>
              <w:rPr>
                <w:rFonts w:ascii="Arial" w:cs="Arial" w:eastAsia="Arial" w:hAnsi="Arial"/>
                <w:sz w:val="18"/>
                <w:szCs w:val="18"/>
                <w:color w:val="auto"/>
                <w:w w:val="92"/>
              </w:rPr>
              <w:t>7%</w:t>
            </w:r>
          </w:p>
        </w:tc>
      </w:tr>
      <w:tr>
        <w:trPr>
          <w:trHeight w:val="27"/>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0.1</w:t>
            </w:r>
          </w:p>
        </w:tc>
        <w:tc>
          <w:tcPr>
            <w:tcW w:w="1220" w:type="dxa"/>
            <w:vAlign w:val="bottom"/>
            <w:tcBorders>
              <w:bottom w:val="single" w:sz="8" w:color="CCEEFF"/>
            </w:tcBorders>
            <w:shd w:val="clear" w:color="auto" w:fill="CCEEFF"/>
          </w:tcPr>
          <w:p>
            <w:pPr>
              <w:jc w:val="center"/>
              <w:ind w:left="13"/>
              <w:spacing w:after="0"/>
              <w:rPr>
                <w:sz w:val="20"/>
                <w:szCs w:val="20"/>
                <w:color w:val="auto"/>
              </w:rPr>
            </w:pPr>
            <w:r>
              <w:rPr>
                <w:rFonts w:ascii="Arial" w:cs="Arial" w:eastAsia="Arial" w:hAnsi="Arial"/>
                <w:sz w:val="18"/>
                <w:szCs w:val="18"/>
                <w:color w:val="auto"/>
                <w:w w:val="94"/>
              </w:rPr>
              <w:t>(5)%</w:t>
            </w:r>
          </w:p>
        </w:tc>
      </w:tr>
      <w:tr>
        <w:trPr>
          <w:trHeight w:val="297"/>
        </w:trPr>
        <w:tc>
          <w:tcPr>
            <w:tcW w:w="62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Operating income</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220" w:type="dxa"/>
            <w:vAlign w:val="bottom"/>
            <w:tcBorders>
              <w:bottom w:val="single" w:sz="8" w:color="CCEEFF"/>
            </w:tcBorders>
          </w:tcPr>
          <w:p>
            <w:pPr>
              <w:jc w:val="center"/>
              <w:ind w:left="13"/>
              <w:spacing w:after="0"/>
              <w:rPr>
                <w:sz w:val="20"/>
                <w:szCs w:val="20"/>
                <w:color w:val="auto"/>
              </w:rPr>
            </w:pPr>
            <w:r>
              <w:rPr>
                <w:rFonts w:ascii="Arial" w:cs="Arial" w:eastAsia="Arial" w:hAnsi="Arial"/>
                <w:sz w:val="18"/>
                <w:szCs w:val="18"/>
                <w:color w:val="auto"/>
                <w:w w:val="91"/>
              </w:rPr>
              <w:t>(88)%</w:t>
            </w:r>
          </w:p>
        </w:tc>
      </w:tr>
      <w:tr>
        <w:trPr>
          <w:trHeight w:val="230"/>
        </w:trPr>
        <w:tc>
          <w:tcPr>
            <w:tcW w:w="6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income margin</w:t>
            </w: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7"/>
        </w:trPr>
        <w:tc>
          <w:tcPr>
            <w:tcW w:w="62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121"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i w:val="1"/>
          <w:iCs w:val="1"/>
          <w:color w:val="auto"/>
        </w:rPr>
        <w:t>Net Sales</w:t>
      </w:r>
      <w:r>
        <w:rPr>
          <w:rFonts w:ascii="Arial" w:cs="Arial" w:eastAsia="Arial" w:hAnsi="Arial"/>
          <w:sz w:val="18"/>
          <w:szCs w:val="18"/>
          <w:color w:val="auto"/>
        </w:rPr>
        <w:t>. Net sales decreased $12.4 million, or 30%, when comparing the three months ended April 30, 2020 to the same period in 2019. Net sales</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decreased $11.5 million year-over-year, including the impacts of COVID-19, and $1.5 million due to unfavorable foreign currency rate changes. These decreases were slightly offset by $0.6 million of base price increases.</w:t>
      </w:r>
    </w:p>
    <w:p>
      <w:pPr>
        <w:spacing w:after="0" w:line="103" w:lineRule="exact"/>
        <w:rPr>
          <w:sz w:val="20"/>
          <w:szCs w:val="20"/>
          <w:color w:val="auto"/>
        </w:rPr>
      </w:pPr>
    </w:p>
    <w:p>
      <w:pPr>
        <w:jc w:val="both"/>
        <w:ind w:right="20" w:firstLine="432"/>
        <w:spacing w:after="0" w:line="308" w:lineRule="auto"/>
        <w:rPr>
          <w:sz w:val="20"/>
          <w:szCs w:val="20"/>
          <w:color w:val="auto"/>
        </w:rPr>
      </w:pPr>
      <w:r>
        <w:rPr>
          <w:rFonts w:ascii="Arial" w:cs="Arial" w:eastAsia="Arial" w:hAnsi="Arial"/>
          <w:sz w:val="17"/>
          <w:szCs w:val="17"/>
          <w:i w:val="1"/>
          <w:iCs w:val="1"/>
          <w:color w:val="auto"/>
        </w:rPr>
        <w:t xml:space="preserve">Cost of Sales. </w:t>
      </w:r>
      <w:r>
        <w:rPr>
          <w:rFonts w:ascii="Arial" w:cs="Arial" w:eastAsia="Arial" w:hAnsi="Arial"/>
          <w:sz w:val="17"/>
          <w:szCs w:val="17"/>
          <w:color w:val="auto"/>
        </w:rPr>
        <w:t>The cost of sales decreased $7.9 million for the three months ended April 30, 2020 compared to the same period in 2019. Cost of sales</w:t>
      </w:r>
      <w:r>
        <w:rPr>
          <w:rFonts w:ascii="Arial" w:cs="Arial" w:eastAsia="Arial" w:hAnsi="Arial"/>
          <w:sz w:val="17"/>
          <w:szCs w:val="17"/>
          <w:i w:val="1"/>
          <w:iCs w:val="1"/>
          <w:color w:val="auto"/>
        </w:rPr>
        <w:t xml:space="preserve"> </w:t>
      </w:r>
      <w:r>
        <w:rPr>
          <w:rFonts w:ascii="Arial" w:cs="Arial" w:eastAsia="Arial" w:hAnsi="Arial"/>
          <w:sz w:val="17"/>
          <w:szCs w:val="17"/>
          <w:color w:val="auto"/>
        </w:rPr>
        <w:t>decreased due to lower volumes during the period, primarily resulting from the impacts of COVID-19 as mentioned above.</w:t>
      </w:r>
    </w:p>
    <w:p>
      <w:pPr>
        <w:spacing w:after="0" w:line="65"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i w:val="1"/>
          <w:iCs w:val="1"/>
          <w:color w:val="auto"/>
        </w:rPr>
        <w:t xml:space="preserve">Selling, General and Administrative. </w:t>
      </w:r>
      <w:r>
        <w:rPr>
          <w:rFonts w:ascii="Arial" w:cs="Arial" w:eastAsia="Arial" w:hAnsi="Arial"/>
          <w:sz w:val="18"/>
          <w:szCs w:val="18"/>
          <w:color w:val="auto"/>
        </w:rPr>
        <w:t>Selling, general and administrative expense decreased $0.4 million, or 7%, for the three months ended April 30,</w:t>
      </w:r>
      <w:r>
        <w:rPr>
          <w:rFonts w:ascii="Arial" w:cs="Arial" w:eastAsia="Arial" w:hAnsi="Arial"/>
          <w:sz w:val="18"/>
          <w:szCs w:val="18"/>
          <w:i w:val="1"/>
          <w:iCs w:val="1"/>
          <w:color w:val="auto"/>
        </w:rPr>
        <w:t xml:space="preserve"> </w:t>
      </w:r>
      <w:r>
        <w:rPr>
          <w:rFonts w:ascii="Arial" w:cs="Arial" w:eastAsia="Arial" w:hAnsi="Arial"/>
          <w:sz w:val="18"/>
          <w:szCs w:val="18"/>
          <w:color w:val="auto"/>
        </w:rPr>
        <w:t>2020 compared to the same period in 2019. Savings from temporary COVID-19 related workforce furloughs and favorable foreign currency exchange rate changes were partially offset by normal compensation inflation.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NA Cabinet Components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60" w:type="dxa"/>
            <w:vAlign w:val="bottom"/>
            <w:gridSpan w:val="5"/>
          </w:tcPr>
          <w:p>
            <w:pPr>
              <w:jc w:val="right"/>
              <w:ind w:right="132"/>
              <w:spacing w:after="0"/>
              <w:rPr>
                <w:sz w:val="20"/>
                <w:szCs w:val="20"/>
                <w:color w:val="auto"/>
              </w:rPr>
            </w:pPr>
            <w:r>
              <w:rPr>
                <w:rFonts w:ascii="Arial" w:cs="Arial" w:eastAsia="Arial" w:hAnsi="Arial"/>
                <w:sz w:val="16"/>
                <w:szCs w:val="16"/>
                <w:b w:val="1"/>
                <w:bCs w:val="1"/>
                <w:color w:val="auto"/>
                <w:w w:val="98"/>
              </w:rPr>
              <w:t>Three Months Ended April 30,</w:t>
            </w:r>
          </w:p>
        </w:tc>
        <w:tc>
          <w:tcPr>
            <w:tcW w:w="1220" w:type="dxa"/>
            <w:vAlign w:val="bottom"/>
          </w:tcPr>
          <w:p>
            <w:pPr>
              <w:spacing w:after="0"/>
              <w:rPr>
                <w:sz w:val="18"/>
                <w:szCs w:val="18"/>
                <w:color w:val="auto"/>
              </w:rPr>
            </w:pPr>
          </w:p>
        </w:tc>
      </w:tr>
      <w:tr>
        <w:trPr>
          <w:trHeight w:val="33"/>
        </w:trPr>
        <w:tc>
          <w:tcPr>
            <w:tcW w:w="62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62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54"/>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 Change</w:t>
            </w:r>
          </w:p>
        </w:tc>
        <w:tc>
          <w:tcPr>
            <w:tcW w:w="122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Variance %</w:t>
            </w:r>
          </w:p>
        </w:tc>
      </w:tr>
      <w:tr>
        <w:trPr>
          <w:trHeight w:val="173"/>
        </w:trPr>
        <w:tc>
          <w:tcPr>
            <w:tcW w:w="6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160" w:type="dxa"/>
            <w:vAlign w:val="bottom"/>
            <w:gridSpan w:val="4"/>
          </w:tcPr>
          <w:p>
            <w:pPr>
              <w:jc w:val="right"/>
              <w:ind w:right="652"/>
              <w:spacing w:after="0"/>
              <w:rPr>
                <w:sz w:val="20"/>
                <w:szCs w:val="20"/>
                <w:color w:val="auto"/>
              </w:rPr>
            </w:pPr>
            <w:r>
              <w:rPr>
                <w:rFonts w:ascii="Arial" w:cs="Arial" w:eastAsia="Arial" w:hAnsi="Arial"/>
                <w:sz w:val="13"/>
                <w:szCs w:val="13"/>
                <w:b w:val="1"/>
                <w:bCs w:val="1"/>
                <w:color w:val="auto"/>
              </w:rPr>
              <w:t>(Dollars in millions)</w:t>
            </w:r>
          </w:p>
        </w:tc>
        <w:tc>
          <w:tcPr>
            <w:tcW w:w="1220" w:type="dxa"/>
            <w:vAlign w:val="bottom"/>
          </w:tcPr>
          <w:p>
            <w:pPr>
              <w:spacing w:after="0"/>
              <w:rPr>
                <w:sz w:val="15"/>
                <w:szCs w:val="15"/>
                <w:color w:val="auto"/>
              </w:rPr>
            </w:pPr>
          </w:p>
        </w:tc>
      </w:tr>
      <w:tr>
        <w:trPr>
          <w:trHeight w:val="259"/>
        </w:trPr>
        <w:tc>
          <w:tcPr>
            <w:tcW w:w="6220" w:type="dxa"/>
            <w:vAlign w:val="bottom"/>
          </w:tcPr>
          <w:p>
            <w:pPr>
              <w:ind w:left="40"/>
              <w:spacing w:after="0"/>
              <w:rPr>
                <w:sz w:val="20"/>
                <w:szCs w:val="20"/>
                <w:color w:val="auto"/>
              </w:rPr>
            </w:pPr>
            <w:r>
              <w:rPr>
                <w:rFonts w:ascii="Arial" w:cs="Arial" w:eastAsia="Arial" w:hAnsi="Arial"/>
                <w:sz w:val="18"/>
                <w:szCs w:val="18"/>
                <w:color w:val="auto"/>
              </w:rPr>
              <w:t>Net sales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51"/>
              <w:spacing w:after="0"/>
              <w:rPr>
                <w:sz w:val="20"/>
                <w:szCs w:val="20"/>
                <w:color w:val="auto"/>
              </w:rPr>
            </w:pPr>
            <w:r>
              <w:rPr>
                <w:rFonts w:ascii="Arial" w:cs="Arial" w:eastAsia="Arial" w:hAnsi="Arial"/>
                <w:sz w:val="18"/>
                <w:szCs w:val="18"/>
                <w:color w:val="auto"/>
              </w:rPr>
              <w:t>50.7</w:t>
            </w:r>
          </w:p>
        </w:tc>
        <w:tc>
          <w:tcPr>
            <w:tcW w:w="100" w:type="dxa"/>
            <w:vAlign w:val="bottom"/>
          </w:tcPr>
          <w:p>
            <w:pPr>
              <w:spacing w:after="0"/>
              <w:rPr>
                <w:sz w:val="22"/>
                <w:szCs w:val="22"/>
                <w:color w:val="auto"/>
              </w:rPr>
            </w:pPr>
          </w:p>
        </w:tc>
        <w:tc>
          <w:tcPr>
            <w:tcW w:w="300" w:type="dxa"/>
            <w:vAlign w:val="bottom"/>
          </w:tcPr>
          <w:p>
            <w:pPr>
              <w:jc w:val="right"/>
              <w:ind w:right="93"/>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54"/>
              <w:spacing w:after="0"/>
              <w:rPr>
                <w:sz w:val="20"/>
                <w:szCs w:val="20"/>
                <w:color w:val="auto"/>
              </w:rPr>
            </w:pPr>
            <w:r>
              <w:rPr>
                <w:rFonts w:ascii="Arial" w:cs="Arial" w:eastAsia="Arial" w:hAnsi="Arial"/>
                <w:sz w:val="18"/>
                <w:szCs w:val="18"/>
                <w:color w:val="auto"/>
              </w:rPr>
              <w:t>62.8</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(12.1)</w:t>
            </w:r>
          </w:p>
        </w:tc>
        <w:tc>
          <w:tcPr>
            <w:tcW w:w="1220" w:type="dxa"/>
            <w:vAlign w:val="bottom"/>
          </w:tcPr>
          <w:p>
            <w:pPr>
              <w:jc w:val="center"/>
              <w:ind w:left="32"/>
              <w:spacing w:after="0"/>
              <w:rPr>
                <w:sz w:val="20"/>
                <w:szCs w:val="20"/>
                <w:color w:val="auto"/>
              </w:rPr>
            </w:pPr>
            <w:r>
              <w:rPr>
                <w:rFonts w:ascii="Arial" w:cs="Arial" w:eastAsia="Arial" w:hAnsi="Arial"/>
                <w:sz w:val="18"/>
                <w:szCs w:val="18"/>
                <w:color w:val="auto"/>
                <w:w w:val="95"/>
              </w:rPr>
              <w:t>(19)%</w:t>
            </w:r>
          </w:p>
        </w:tc>
      </w:tr>
      <w:tr>
        <w:trPr>
          <w:trHeight w:val="27"/>
        </w:trPr>
        <w:tc>
          <w:tcPr>
            <w:tcW w:w="6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 (excluding depreciation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44.2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53.7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220" w:type="dxa"/>
            <w:vAlign w:val="bottom"/>
            <w:tcBorders>
              <w:bottom w:val="single" w:sz="8" w:color="CCEEFF"/>
            </w:tcBorders>
            <w:shd w:val="clear" w:color="auto" w:fill="CCEEFF"/>
          </w:tcPr>
          <w:p>
            <w:pPr>
              <w:jc w:val="center"/>
              <w:ind w:left="32"/>
              <w:spacing w:after="0"/>
              <w:rPr>
                <w:sz w:val="20"/>
                <w:szCs w:val="20"/>
                <w:color w:val="auto"/>
              </w:rPr>
            </w:pPr>
            <w:r>
              <w:rPr>
                <w:rFonts w:ascii="Arial" w:cs="Arial" w:eastAsia="Arial" w:hAnsi="Arial"/>
                <w:sz w:val="18"/>
                <w:szCs w:val="18"/>
                <w:color w:val="auto"/>
                <w:w w:val="94"/>
              </w:rPr>
              <w:t>18%</w:t>
            </w:r>
          </w:p>
        </w:tc>
      </w:tr>
      <w:tr>
        <w:trPr>
          <w:trHeight w:val="243"/>
        </w:trPr>
        <w:tc>
          <w:tcPr>
            <w:tcW w:w="622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Pr>
          <w:p>
            <w:pPr>
              <w:spacing w:after="0"/>
              <w:rPr>
                <w:sz w:val="21"/>
                <w:szCs w:val="21"/>
                <w:color w:val="auto"/>
              </w:rPr>
            </w:pPr>
          </w:p>
        </w:tc>
        <w:tc>
          <w:tcPr>
            <w:tcW w:w="960" w:type="dxa"/>
            <w:vAlign w:val="bottom"/>
          </w:tcPr>
          <w:p>
            <w:pPr>
              <w:jc w:val="right"/>
              <w:ind w:right="151"/>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54"/>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(0.5)</w:t>
            </w:r>
          </w:p>
        </w:tc>
        <w:tc>
          <w:tcPr>
            <w:tcW w:w="1220" w:type="dxa"/>
            <w:vAlign w:val="bottom"/>
          </w:tcPr>
          <w:p>
            <w:pPr>
              <w:jc w:val="center"/>
              <w:ind w:left="12"/>
              <w:spacing w:after="0"/>
              <w:rPr>
                <w:sz w:val="20"/>
                <w:szCs w:val="20"/>
                <w:color w:val="auto"/>
              </w:rPr>
            </w:pPr>
            <w:r>
              <w:rPr>
                <w:rFonts w:ascii="Arial" w:cs="Arial" w:eastAsia="Arial" w:hAnsi="Arial"/>
                <w:sz w:val="18"/>
                <w:szCs w:val="18"/>
                <w:color w:val="auto"/>
                <w:w w:val="88"/>
              </w:rPr>
              <w:t>11%</w:t>
            </w:r>
          </w:p>
        </w:tc>
      </w:tr>
      <w:tr>
        <w:trPr>
          <w:trHeight w:val="27"/>
        </w:trPr>
        <w:tc>
          <w:tcPr>
            <w:tcW w:w="6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charges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0.2</w:t>
            </w:r>
          </w:p>
        </w:tc>
        <w:tc>
          <w:tcPr>
            <w:tcW w:w="1220" w:type="dxa"/>
            <w:vAlign w:val="bottom"/>
            <w:tcBorders>
              <w:bottom w:val="single" w:sz="8" w:color="CCEEFF"/>
            </w:tcBorders>
            <w:shd w:val="clear" w:color="auto" w:fill="CCEEFF"/>
          </w:tcPr>
          <w:p>
            <w:pPr>
              <w:jc w:val="center"/>
              <w:ind w:left="32"/>
              <w:spacing w:after="0"/>
              <w:rPr>
                <w:sz w:val="20"/>
                <w:szCs w:val="20"/>
                <w:color w:val="auto"/>
              </w:rPr>
            </w:pPr>
            <w:r>
              <w:rPr>
                <w:rFonts w:ascii="Arial" w:cs="Arial" w:eastAsia="Arial" w:hAnsi="Arial"/>
                <w:sz w:val="18"/>
                <w:szCs w:val="18"/>
                <w:color w:val="auto"/>
                <w:w w:val="92"/>
              </w:rPr>
              <w:t>(100)%</w:t>
            </w:r>
          </w:p>
        </w:tc>
      </w:tr>
      <w:tr>
        <w:trPr>
          <w:trHeight w:val="243"/>
        </w:trPr>
        <w:tc>
          <w:tcPr>
            <w:tcW w:w="622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960" w:type="dxa"/>
            <w:vAlign w:val="bottom"/>
          </w:tcPr>
          <w:p>
            <w:pPr>
              <w:jc w:val="right"/>
              <w:ind w:right="151"/>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54"/>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0.2</w:t>
            </w:r>
          </w:p>
        </w:tc>
        <w:tc>
          <w:tcPr>
            <w:tcW w:w="1220" w:type="dxa"/>
            <w:vAlign w:val="bottom"/>
          </w:tcPr>
          <w:p>
            <w:pPr>
              <w:jc w:val="center"/>
              <w:ind w:left="12"/>
              <w:spacing w:after="0"/>
              <w:rPr>
                <w:sz w:val="20"/>
                <w:szCs w:val="20"/>
                <w:color w:val="auto"/>
              </w:rPr>
            </w:pPr>
            <w:r>
              <w:rPr>
                <w:rFonts w:ascii="Arial" w:cs="Arial" w:eastAsia="Arial" w:hAnsi="Arial"/>
                <w:sz w:val="18"/>
                <w:szCs w:val="18"/>
                <w:color w:val="auto"/>
                <w:w w:val="94"/>
              </w:rPr>
              <w:t>(6)%</w:t>
            </w:r>
          </w:p>
        </w:tc>
      </w:tr>
      <w:tr>
        <w:trPr>
          <w:trHeight w:val="27"/>
        </w:trPr>
        <w:tc>
          <w:tcPr>
            <w:tcW w:w="6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 impairment charges</w:t>
            </w:r>
          </w:p>
        </w:tc>
        <w:tc>
          <w:tcPr>
            <w:tcW w:w="2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30.0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220" w:type="dxa"/>
            <w:vAlign w:val="bottom"/>
            <w:tcBorders>
              <w:bottom w:val="single" w:sz="8" w:color="CCEEFF"/>
            </w:tcBorders>
            <w:shd w:val="clear" w:color="auto" w:fill="CCEEFF"/>
          </w:tcPr>
          <w:p>
            <w:pPr>
              <w:jc w:val="center"/>
              <w:ind w:left="32"/>
              <w:spacing w:after="0"/>
              <w:rPr>
                <w:sz w:val="20"/>
                <w:szCs w:val="20"/>
                <w:color w:val="auto"/>
              </w:rPr>
            </w:pPr>
            <w:r>
              <w:rPr>
                <w:rFonts w:ascii="Arial" w:cs="Arial" w:eastAsia="Arial" w:hAnsi="Arial"/>
                <w:sz w:val="18"/>
                <w:szCs w:val="18"/>
                <w:color w:val="auto"/>
                <w:w w:val="91"/>
              </w:rPr>
              <w:t>100%</w:t>
            </w:r>
          </w:p>
        </w:tc>
      </w:tr>
      <w:tr>
        <w:trPr>
          <w:trHeight w:val="297"/>
        </w:trPr>
        <w:tc>
          <w:tcPr>
            <w:tcW w:w="62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Operating loss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8"/>
                <w:szCs w:val="18"/>
                <w:color w:val="auto"/>
              </w:rPr>
              <w:t>(28.7)</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27.5</w:t>
            </w:r>
          </w:p>
        </w:tc>
        <w:tc>
          <w:tcPr>
            <w:tcW w:w="1220" w:type="dxa"/>
            <w:vAlign w:val="bottom"/>
            <w:tcBorders>
              <w:bottom w:val="single" w:sz="8" w:color="CCEEFF"/>
            </w:tcBorders>
          </w:tcPr>
          <w:p>
            <w:pPr>
              <w:jc w:val="center"/>
              <w:ind w:left="32"/>
              <w:spacing w:after="0"/>
              <w:rPr>
                <w:sz w:val="20"/>
                <w:szCs w:val="20"/>
                <w:color w:val="auto"/>
              </w:rPr>
            </w:pPr>
            <w:r>
              <w:rPr>
                <w:rFonts w:ascii="Arial" w:cs="Arial" w:eastAsia="Arial" w:hAnsi="Arial"/>
                <w:sz w:val="18"/>
                <w:szCs w:val="18"/>
                <w:color w:val="auto"/>
                <w:w w:val="94"/>
              </w:rPr>
              <w:t>96%</w:t>
            </w:r>
          </w:p>
        </w:tc>
      </w:tr>
      <w:tr>
        <w:trPr>
          <w:trHeight w:val="230"/>
        </w:trPr>
        <w:tc>
          <w:tcPr>
            <w:tcW w:w="6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loss margin</w:t>
            </w: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7"/>
        </w:trPr>
        <w:tc>
          <w:tcPr>
            <w:tcW w:w="62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121"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i w:val="1"/>
          <w:iCs w:val="1"/>
          <w:color w:val="auto"/>
        </w:rPr>
        <w:t>Net Sales</w:t>
      </w:r>
      <w:r>
        <w:rPr>
          <w:rFonts w:ascii="Arial" w:cs="Arial" w:eastAsia="Arial" w:hAnsi="Arial"/>
          <w:sz w:val="18"/>
          <w:szCs w:val="18"/>
          <w:color w:val="auto"/>
        </w:rPr>
        <w:t>. Net sales decreased $12.1 million for the three months ended April 30, 2020 compared to the same period in 2019. Approximately $10.7</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of the decrease in sales was due to lower volume related to customer strategic shifts and the impacts of COVID-19. Raw materials surcharges and price declines reduced sales by an additional $1.4 million.</w:t>
      </w:r>
    </w:p>
    <w:p>
      <w:pPr>
        <w:spacing w:after="0" w:line="103"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i w:val="1"/>
          <w:iCs w:val="1"/>
          <w:color w:val="auto"/>
        </w:rPr>
        <w:t>Cost of Sales</w:t>
      </w:r>
      <w:r>
        <w:rPr>
          <w:rFonts w:ascii="Arial" w:cs="Arial" w:eastAsia="Arial" w:hAnsi="Arial"/>
          <w:sz w:val="16"/>
          <w:szCs w:val="16"/>
          <w:color w:val="auto"/>
        </w:rPr>
        <w:t>. Cost of sales decreased $9.5 million, or 18%, for the three months ended April 30, 2020 compared with the same period in 2019</w:t>
      </w:r>
      <w:r>
        <w:rPr>
          <w:rFonts w:ascii="Arial" w:cs="Arial" w:eastAsia="Arial" w:hAnsi="Arial"/>
          <w:sz w:val="16"/>
          <w:szCs w:val="16"/>
          <w:i w:val="1"/>
          <w:iCs w:val="1"/>
          <w:color w:val="auto"/>
        </w:rPr>
        <w:t xml:space="preserve"> </w:t>
      </w:r>
      <w:r>
        <w:rPr>
          <w:rFonts w:ascii="Arial" w:cs="Arial" w:eastAsia="Arial" w:hAnsi="Arial"/>
          <w:sz w:val="16"/>
          <w:szCs w:val="16"/>
          <w:color w:val="auto"/>
        </w:rPr>
        <w:t>primarily as a result of lower volume, including a corresponding decrease in selling expenses as a result of the impacts of COVID-19 as mentioned above.</w:t>
      </w:r>
    </w:p>
    <w:p>
      <w:pPr>
        <w:spacing w:after="0" w:line="43"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i w:val="1"/>
          <w:iCs w:val="1"/>
          <w:color w:val="auto"/>
        </w:rPr>
        <w:t>Selling, General and Administrative</w:t>
      </w:r>
      <w:r>
        <w:rPr>
          <w:rFonts w:ascii="Arial" w:cs="Arial" w:eastAsia="Arial" w:hAnsi="Arial"/>
          <w:sz w:val="18"/>
          <w:szCs w:val="18"/>
          <w:color w:val="auto"/>
        </w:rPr>
        <w:t>. Selling, general and administrative expense decreased $0.5 million for the three months ended April 30, 2020</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same period in 2019, largely driven by lower compensation expense.</w:t>
      </w:r>
    </w:p>
    <w:p>
      <w:pPr>
        <w:spacing w:after="0" w:line="89"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i w:val="1"/>
          <w:iCs w:val="1"/>
          <w:color w:val="auto"/>
        </w:rPr>
        <w:t>Restructuring Charges</w:t>
      </w:r>
      <w:r>
        <w:rPr>
          <w:rFonts w:ascii="Arial" w:cs="Arial" w:eastAsia="Arial" w:hAnsi="Arial"/>
          <w:sz w:val="18"/>
          <w:szCs w:val="18"/>
          <w:color w:val="auto"/>
        </w:rPr>
        <w:t>. Restructuring charges incurred during the three months ended April 30, 2020 related to severance, equipment moving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other charges incurred for a plant closure as further described in Note 1, "Nature of Operations and Basis of Presentation </w:t>
      </w:r>
      <w:r>
        <w:rPr>
          <w:rFonts w:ascii="Arial" w:cs="Arial" w:eastAsia="Arial" w:hAnsi="Arial"/>
          <w:sz w:val="18"/>
          <w:szCs w:val="18"/>
          <w:i w:val="1"/>
          <w:iCs w:val="1"/>
          <w:color w:val="auto"/>
        </w:rPr>
        <w:t>- Restructuring</w:t>
      </w:r>
      <w:r>
        <w:rPr>
          <w:rFonts w:ascii="Arial" w:cs="Arial" w:eastAsia="Arial" w:hAnsi="Arial"/>
          <w:sz w:val="18"/>
          <w:szCs w:val="18"/>
          <w:color w:val="auto"/>
        </w:rPr>
        <w:t>" to the accompanying unaudited condensed consolidated financial statements contained elsewhere herein.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Unallocated Corporate &amp; Other</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gridSpan w:val="4"/>
          </w:tcPr>
          <w:p>
            <w:pPr>
              <w:jc w:val="right"/>
              <w:ind w:right="33"/>
              <w:spacing w:after="0"/>
              <w:rPr>
                <w:sz w:val="20"/>
                <w:szCs w:val="20"/>
                <w:color w:val="auto"/>
              </w:rPr>
            </w:pPr>
            <w:r>
              <w:rPr>
                <w:rFonts w:ascii="Arial" w:cs="Arial" w:eastAsia="Arial" w:hAnsi="Arial"/>
                <w:sz w:val="16"/>
                <w:szCs w:val="16"/>
                <w:b w:val="1"/>
                <w:bCs w:val="1"/>
                <w:color w:val="auto"/>
                <w:w w:val="92"/>
              </w:rPr>
              <w:t>Three Months Ended April 30,</w:t>
            </w:r>
          </w:p>
        </w:tc>
        <w:tc>
          <w:tcPr>
            <w:tcW w:w="1220" w:type="dxa"/>
            <w:vAlign w:val="bottom"/>
          </w:tcPr>
          <w:p>
            <w:pPr>
              <w:spacing w:after="0"/>
              <w:rPr>
                <w:sz w:val="18"/>
                <w:szCs w:val="18"/>
                <w:color w:val="auto"/>
              </w:rPr>
            </w:pPr>
          </w:p>
        </w:tc>
      </w:tr>
      <w:tr>
        <w:trPr>
          <w:trHeight w:val="33"/>
        </w:trPr>
        <w:tc>
          <w:tcPr>
            <w:tcW w:w="64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8"/>
        </w:trPr>
        <w:tc>
          <w:tcPr>
            <w:tcW w:w="6420" w:type="dxa"/>
            <w:vAlign w:val="bottom"/>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16"/>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 Change</w:t>
            </w:r>
          </w:p>
        </w:tc>
        <w:tc>
          <w:tcPr>
            <w:tcW w:w="122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Variance %</w:t>
            </w:r>
          </w:p>
        </w:tc>
      </w:tr>
      <w:tr>
        <w:trPr>
          <w:trHeight w:val="173"/>
        </w:trPr>
        <w:tc>
          <w:tcPr>
            <w:tcW w:w="6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40" w:type="dxa"/>
            <w:vAlign w:val="bottom"/>
            <w:gridSpan w:val="4"/>
          </w:tcPr>
          <w:p>
            <w:pPr>
              <w:jc w:val="right"/>
              <w:ind w:right="553"/>
              <w:spacing w:after="0"/>
              <w:rPr>
                <w:sz w:val="20"/>
                <w:szCs w:val="20"/>
                <w:color w:val="auto"/>
              </w:rPr>
            </w:pPr>
            <w:r>
              <w:rPr>
                <w:rFonts w:ascii="Arial" w:cs="Arial" w:eastAsia="Arial" w:hAnsi="Arial"/>
                <w:sz w:val="13"/>
                <w:szCs w:val="13"/>
                <w:b w:val="1"/>
                <w:bCs w:val="1"/>
                <w:color w:val="auto"/>
              </w:rPr>
              <w:t>(Dollars in millions)</w:t>
            </w:r>
          </w:p>
        </w:tc>
        <w:tc>
          <w:tcPr>
            <w:tcW w:w="1220" w:type="dxa"/>
            <w:vAlign w:val="bottom"/>
          </w:tcPr>
          <w:p>
            <w:pPr>
              <w:spacing w:after="0"/>
              <w:rPr>
                <w:sz w:val="15"/>
                <w:szCs w:val="15"/>
                <w:color w:val="auto"/>
              </w:rPr>
            </w:pPr>
          </w:p>
        </w:tc>
      </w:tr>
      <w:tr>
        <w:trPr>
          <w:trHeight w:val="259"/>
        </w:trPr>
        <w:tc>
          <w:tcPr>
            <w:tcW w:w="6420" w:type="dxa"/>
            <w:vAlign w:val="bottom"/>
          </w:tcPr>
          <w:p>
            <w:pPr>
              <w:ind w:left="40"/>
              <w:spacing w:after="0"/>
              <w:rPr>
                <w:sz w:val="20"/>
                <w:szCs w:val="20"/>
                <w:color w:val="auto"/>
              </w:rPr>
            </w:pPr>
            <w:r>
              <w:rPr>
                <w:rFonts w:ascii="Arial" w:cs="Arial" w:eastAsia="Arial" w:hAnsi="Arial"/>
                <w:sz w:val="18"/>
                <w:szCs w:val="18"/>
                <w:color w:val="auto"/>
              </w:rPr>
              <w:t>Net sales</w:t>
            </w:r>
          </w:p>
        </w:tc>
        <w:tc>
          <w:tcPr>
            <w:tcW w:w="740" w:type="dxa"/>
            <w:vAlign w:val="bottom"/>
          </w:tcPr>
          <w:p>
            <w:pPr>
              <w:jc w:val="right"/>
              <w:ind w:right="533"/>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6"/>
              </w:rPr>
              <w:t>(1.0)</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0.5</w:t>
            </w:r>
          </w:p>
        </w:tc>
        <w:tc>
          <w:tcPr>
            <w:tcW w:w="1220" w:type="dxa"/>
            <w:vAlign w:val="bottom"/>
          </w:tcPr>
          <w:p>
            <w:pPr>
              <w:jc w:val="center"/>
              <w:ind w:left="13"/>
              <w:spacing w:after="0"/>
              <w:rPr>
                <w:sz w:val="20"/>
                <w:szCs w:val="20"/>
                <w:color w:val="auto"/>
              </w:rPr>
            </w:pPr>
            <w:r>
              <w:rPr>
                <w:rFonts w:ascii="Arial" w:cs="Arial" w:eastAsia="Arial" w:hAnsi="Arial"/>
                <w:sz w:val="18"/>
                <w:szCs w:val="18"/>
                <w:color w:val="auto"/>
                <w:w w:val="88"/>
              </w:rPr>
              <w:t>33%</w:t>
            </w:r>
          </w:p>
        </w:tc>
      </w:tr>
      <w:tr>
        <w:trPr>
          <w:trHeight w:val="27"/>
        </w:trPr>
        <w:tc>
          <w:tcPr>
            <w:tcW w:w="6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 (excluding depreciation and amortization)</w:t>
            </w:r>
          </w:p>
        </w:tc>
        <w:tc>
          <w:tcPr>
            <w:tcW w:w="7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(0.6)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0.6</w:t>
            </w:r>
          </w:p>
        </w:tc>
        <w:tc>
          <w:tcPr>
            <w:tcW w:w="1220" w:type="dxa"/>
            <w:vAlign w:val="bottom"/>
            <w:tcBorders>
              <w:bottom w:val="single" w:sz="8" w:color="CCEEFF"/>
            </w:tcBorders>
            <w:shd w:val="clear" w:color="auto" w:fill="CCEEFF"/>
          </w:tcPr>
          <w:p>
            <w:pPr>
              <w:jc w:val="center"/>
              <w:ind w:left="13"/>
              <w:spacing w:after="0"/>
              <w:rPr>
                <w:sz w:val="20"/>
                <w:szCs w:val="20"/>
                <w:color w:val="auto"/>
              </w:rPr>
            </w:pPr>
            <w:r>
              <w:rPr>
                <w:rFonts w:ascii="Arial" w:cs="Arial" w:eastAsia="Arial" w:hAnsi="Arial"/>
                <w:sz w:val="18"/>
                <w:szCs w:val="18"/>
                <w:color w:val="auto"/>
                <w:w w:val="91"/>
              </w:rPr>
              <w:t>(50)%</w:t>
            </w:r>
          </w:p>
        </w:tc>
      </w:tr>
      <w:tr>
        <w:trPr>
          <w:trHeight w:val="243"/>
        </w:trPr>
        <w:tc>
          <w:tcPr>
            <w:tcW w:w="642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74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6"/>
              </w:rPr>
              <w:t>(2.6)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6"/>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w:t>
            </w:r>
          </w:p>
        </w:tc>
        <w:tc>
          <w:tcPr>
            <w:tcW w:w="1220" w:type="dxa"/>
            <w:vAlign w:val="bottom"/>
          </w:tcPr>
          <w:p>
            <w:pPr>
              <w:jc w:val="center"/>
              <w:spacing w:after="0"/>
              <w:rPr>
                <w:sz w:val="20"/>
                <w:szCs w:val="20"/>
                <w:color w:val="auto"/>
              </w:rPr>
            </w:pPr>
            <w:r>
              <w:rPr>
                <w:rFonts w:ascii="Arial" w:cs="Arial" w:eastAsia="Arial" w:hAnsi="Arial"/>
                <w:sz w:val="18"/>
                <w:szCs w:val="18"/>
                <w:color w:val="auto"/>
                <w:w w:val="91"/>
              </w:rPr>
              <w:t>300%</w:t>
            </w:r>
          </w:p>
        </w:tc>
      </w:tr>
      <w:tr>
        <w:trPr>
          <w:trHeight w:val="27"/>
        </w:trPr>
        <w:tc>
          <w:tcPr>
            <w:tcW w:w="6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7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center"/>
              <w:ind w:left="13"/>
              <w:spacing w:after="0"/>
              <w:rPr>
                <w:sz w:val="20"/>
                <w:szCs w:val="20"/>
                <w:color w:val="auto"/>
              </w:rPr>
            </w:pPr>
            <w:r>
              <w:rPr>
                <w:rFonts w:ascii="Arial" w:cs="Arial" w:eastAsia="Arial" w:hAnsi="Arial"/>
                <w:sz w:val="18"/>
                <w:szCs w:val="18"/>
                <w:color w:val="auto"/>
                <w:w w:val="93"/>
              </w:rPr>
              <w:t>—%</w:t>
            </w:r>
          </w:p>
        </w:tc>
      </w:tr>
      <w:tr>
        <w:trPr>
          <w:trHeight w:val="257"/>
        </w:trPr>
        <w:tc>
          <w:tcPr>
            <w:tcW w:w="6420" w:type="dxa"/>
            <w:vAlign w:val="bottom"/>
          </w:tcPr>
          <w:p>
            <w:pPr>
              <w:ind w:left="40"/>
              <w:spacing w:after="0"/>
              <w:rPr>
                <w:sz w:val="20"/>
                <w:szCs w:val="20"/>
                <w:color w:val="auto"/>
              </w:rPr>
            </w:pPr>
            <w:r>
              <w:rPr>
                <w:rFonts w:ascii="Arial" w:cs="Arial" w:eastAsia="Arial" w:hAnsi="Arial"/>
                <w:sz w:val="18"/>
                <w:szCs w:val="18"/>
                <w:color w:val="auto"/>
              </w:rPr>
              <w:t>Operating income (loss)</w:t>
            </w:r>
          </w:p>
        </w:tc>
        <w:tc>
          <w:tcPr>
            <w:tcW w:w="74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3.8</w:t>
            </w:r>
          </w:p>
        </w:tc>
        <w:tc>
          <w:tcPr>
            <w:tcW w:w="1220" w:type="dxa"/>
            <w:vAlign w:val="bottom"/>
          </w:tcPr>
          <w:p>
            <w:pPr>
              <w:jc w:val="center"/>
              <w:spacing w:after="0"/>
              <w:rPr>
                <w:sz w:val="20"/>
                <w:szCs w:val="20"/>
                <w:color w:val="auto"/>
              </w:rPr>
            </w:pPr>
            <w:r>
              <w:rPr>
                <w:rFonts w:ascii="Arial" w:cs="Arial" w:eastAsia="Arial" w:hAnsi="Arial"/>
                <w:sz w:val="18"/>
                <w:szCs w:val="18"/>
                <w:color w:val="auto"/>
                <w:w w:val="91"/>
              </w:rPr>
              <w:t>224%</w:t>
            </w:r>
          </w:p>
        </w:tc>
      </w:tr>
      <w:tr>
        <w:trPr>
          <w:trHeight w:val="20"/>
        </w:trPr>
        <w:tc>
          <w:tcPr>
            <w:tcW w:w="64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i w:val="1"/>
          <w:iCs w:val="1"/>
          <w:color w:val="auto"/>
        </w:rPr>
        <w:t>Net Sales</w:t>
      </w:r>
      <w:r>
        <w:rPr>
          <w:rFonts w:ascii="Arial" w:cs="Arial" w:eastAsia="Arial" w:hAnsi="Arial"/>
          <w:sz w:val="18"/>
          <w:szCs w:val="18"/>
          <w:color w:val="auto"/>
        </w:rPr>
        <w:t>. Net sales for Unallocated Corporate &amp; Other represents the elimination of inter-segment sales for the three months ended April 30, 2020</w:t>
      </w:r>
      <w:r>
        <w:rPr>
          <w:rFonts w:ascii="Arial" w:cs="Arial" w:eastAsia="Arial" w:hAnsi="Arial"/>
          <w:sz w:val="18"/>
          <w:szCs w:val="18"/>
          <w:i w:val="1"/>
          <w:iCs w:val="1"/>
          <w:color w:val="auto"/>
        </w:rPr>
        <w:t xml:space="preserve"> </w:t>
      </w:r>
      <w:r>
        <w:rPr>
          <w:rFonts w:ascii="Arial" w:cs="Arial" w:eastAsia="Arial" w:hAnsi="Arial"/>
          <w:sz w:val="18"/>
          <w:szCs w:val="18"/>
          <w:color w:val="auto"/>
        </w:rPr>
        <w:t>and 2019.</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6"/>
          <w:szCs w:val="16"/>
          <w:i w:val="1"/>
          <w:iCs w:val="1"/>
          <w:color w:val="auto"/>
        </w:rPr>
        <w:t>Cost of Sales</w:t>
      </w:r>
      <w:r>
        <w:rPr>
          <w:rFonts w:ascii="Arial" w:cs="Arial" w:eastAsia="Arial" w:hAnsi="Arial"/>
          <w:sz w:val="16"/>
          <w:szCs w:val="16"/>
          <w:color w:val="auto"/>
        </w:rPr>
        <w:t>. Cost of sales for Unallocated Corporate &amp; Other consists of the elimination of inter-segment sales, profit in inventory, and other costs.</w:t>
      </w:r>
    </w:p>
    <w:p>
      <w:pPr>
        <w:spacing w:after="0" w:line="19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i w:val="1"/>
          <w:iCs w:val="1"/>
          <w:color w:val="auto"/>
        </w:rPr>
        <w:t>Selling, General and Administrative</w:t>
      </w:r>
      <w:r>
        <w:rPr>
          <w:rFonts w:ascii="Arial" w:cs="Arial" w:eastAsia="Arial" w:hAnsi="Arial"/>
          <w:sz w:val="18"/>
          <w:szCs w:val="18"/>
          <w:color w:val="auto"/>
        </w:rPr>
        <w:t>. Selling, general and administrative expenses decreased $3.9 million for the three months ended April 30, 2020</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same period in 2019. This decrease is attributable to (i) $3.5 million of lower compensation expense related to lower incentive accruals and reductions in the valuations of our stock based compensation awards, (ii) $1.0 million of lower medical expenses due to a lower claims experience during the three months ended April 30, 2020 as compared to the prior year period, and (iii) lower transaction costs. The decrease was partially offset by an increase of $0.8 million related to executive severance expense.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related to Non-Operating Items:</w:t>
      </w:r>
    </w:p>
    <w:p>
      <w:pPr>
        <w:spacing w:after="0" w:line="17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Interest expense decreased $1.0 million for the three months ended April 30, 2020 compared to the same period in 2019 as a result</w:t>
      </w:r>
      <w:r>
        <w:rPr>
          <w:rFonts w:ascii="Arial" w:cs="Arial" w:eastAsia="Arial" w:hAnsi="Arial"/>
          <w:sz w:val="18"/>
          <w:szCs w:val="18"/>
          <w:i w:val="1"/>
          <w:iCs w:val="1"/>
          <w:color w:val="auto"/>
        </w:rPr>
        <w:t xml:space="preserve"> </w:t>
      </w:r>
      <w:r>
        <w:rPr>
          <w:rFonts w:ascii="Arial" w:cs="Arial" w:eastAsia="Arial" w:hAnsi="Arial"/>
          <w:sz w:val="18"/>
          <w:szCs w:val="18"/>
          <w:color w:val="auto"/>
        </w:rPr>
        <w:t>of lower interest rates during the period.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i w:val="1"/>
          <w:iCs w:val="1"/>
          <w:color w:val="auto"/>
        </w:rPr>
        <w:t>Other, net</w:t>
      </w:r>
      <w:r>
        <w:rPr>
          <w:rFonts w:ascii="Arial" w:cs="Arial" w:eastAsia="Arial" w:hAnsi="Arial"/>
          <w:sz w:val="18"/>
          <w:szCs w:val="18"/>
          <w:color w:val="auto"/>
        </w:rPr>
        <w:t>. The increase in other, net of $0.3 million for the three months ended April 30, 2020 compared to the same period in 2019 relates to foreign</w:t>
      </w:r>
      <w:r>
        <w:rPr>
          <w:rFonts w:ascii="Arial" w:cs="Arial" w:eastAsia="Arial" w:hAnsi="Arial"/>
          <w:sz w:val="18"/>
          <w:szCs w:val="18"/>
          <w:i w:val="1"/>
          <w:iCs w:val="1"/>
          <w:color w:val="auto"/>
        </w:rPr>
        <w:t xml:space="preserve"> </w:t>
      </w:r>
      <w:r>
        <w:rPr>
          <w:rFonts w:ascii="Arial" w:cs="Arial" w:eastAsia="Arial" w:hAnsi="Arial"/>
          <w:sz w:val="18"/>
          <w:szCs w:val="18"/>
          <w:color w:val="auto"/>
        </w:rPr>
        <w:t>currency translation gains and an increase in the pension service benefit.</w:t>
      </w:r>
    </w:p>
    <w:p>
      <w:pPr>
        <w:spacing w:after="0" w:line="116"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i w:val="1"/>
          <w:iCs w:val="1"/>
          <w:color w:val="auto"/>
        </w:rPr>
        <w:t>Income Taxes</w:t>
      </w:r>
      <w:r>
        <w:rPr>
          <w:rFonts w:ascii="Arial" w:cs="Arial" w:eastAsia="Arial" w:hAnsi="Arial"/>
          <w:sz w:val="18"/>
          <w:szCs w:val="18"/>
          <w:color w:val="auto"/>
        </w:rPr>
        <w:t>. We recorded income tax expense of $2.1 million on pre-tax income of $7.6 million for the three months ended April 30, 2020, an</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rate of 27.9% and income tax expense of $2.0 million on a pre-tax loss of $22.0 million for the three months ended April 30, 2019, an effective rate of 8.9%. The difference in the effective rate between these periods is primarily related to the asset impairment charge recorded during the three months ended April 30, 2019, which did not generate a significant tax benefit.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April 30, 2020 Compared to Six Months Ended April 30, 2019</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40" w:type="dxa"/>
            <w:vAlign w:val="bottom"/>
            <w:gridSpan w:val="4"/>
          </w:tcPr>
          <w:p>
            <w:pPr>
              <w:jc w:val="right"/>
              <w:ind w:right="32"/>
              <w:spacing w:after="0"/>
              <w:rPr>
                <w:sz w:val="20"/>
                <w:szCs w:val="20"/>
                <w:color w:val="auto"/>
              </w:rPr>
            </w:pPr>
            <w:r>
              <w:rPr>
                <w:rFonts w:ascii="Arial" w:cs="Arial" w:eastAsia="Arial" w:hAnsi="Arial"/>
                <w:sz w:val="16"/>
                <w:szCs w:val="16"/>
                <w:b w:val="1"/>
                <w:bCs w:val="1"/>
                <w:color w:val="auto"/>
                <w:w w:val="96"/>
              </w:rPr>
              <w:t>Six Months Ended April 30,</w:t>
            </w:r>
          </w:p>
        </w:tc>
        <w:tc>
          <w:tcPr>
            <w:tcW w:w="1360" w:type="dxa"/>
            <w:vAlign w:val="bottom"/>
          </w:tcPr>
          <w:p>
            <w:pPr>
              <w:spacing w:after="0"/>
              <w:rPr>
                <w:sz w:val="18"/>
                <w:szCs w:val="18"/>
                <w:color w:val="auto"/>
              </w:rPr>
            </w:pPr>
          </w:p>
        </w:tc>
      </w:tr>
      <w:tr>
        <w:trPr>
          <w:trHeight w:val="33"/>
        </w:trPr>
        <w:tc>
          <w:tcPr>
            <w:tcW w:w="63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7"/>
        </w:trPr>
        <w:tc>
          <w:tcPr>
            <w:tcW w:w="63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Change $</w:t>
            </w:r>
          </w:p>
        </w:tc>
        <w:tc>
          <w:tcPr>
            <w:tcW w:w="13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 Variance</w:t>
            </w:r>
          </w:p>
        </w:tc>
      </w:tr>
      <w:tr>
        <w:trPr>
          <w:trHeight w:val="250"/>
        </w:trPr>
        <w:tc>
          <w:tcPr>
            <w:tcW w:w="6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140" w:type="dxa"/>
            <w:vAlign w:val="bottom"/>
            <w:gridSpan w:val="4"/>
          </w:tcPr>
          <w:p>
            <w:pPr>
              <w:jc w:val="right"/>
              <w:ind w:right="392"/>
              <w:spacing w:after="0"/>
              <w:rPr>
                <w:sz w:val="20"/>
                <w:szCs w:val="20"/>
                <w:color w:val="auto"/>
              </w:rPr>
            </w:pPr>
            <w:r>
              <w:rPr>
                <w:rFonts w:ascii="Arial" w:cs="Arial" w:eastAsia="Arial" w:hAnsi="Arial"/>
                <w:sz w:val="14"/>
                <w:szCs w:val="14"/>
                <w:b w:val="1"/>
                <w:bCs w:val="1"/>
                <w:color w:val="auto"/>
              </w:rPr>
              <w:t>(Dollars in millions)</w:t>
            </w:r>
          </w:p>
        </w:tc>
        <w:tc>
          <w:tcPr>
            <w:tcW w:w="1360" w:type="dxa"/>
            <w:vAlign w:val="bottom"/>
          </w:tcPr>
          <w:p>
            <w:pPr>
              <w:spacing w:after="0"/>
              <w:rPr>
                <w:sz w:val="21"/>
                <w:szCs w:val="21"/>
                <w:color w:val="auto"/>
              </w:rPr>
            </w:pPr>
          </w:p>
        </w:tc>
      </w:tr>
      <w:tr>
        <w:trPr>
          <w:trHeight w:val="256"/>
        </w:trPr>
        <w:tc>
          <w:tcPr>
            <w:tcW w:w="6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384.1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415.0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43"/>
        </w:trPr>
        <w:tc>
          <w:tcPr>
            <w:tcW w:w="6320" w:type="dxa"/>
            <w:vAlign w:val="bottom"/>
          </w:tcPr>
          <w:p>
            <w:pPr>
              <w:ind w:left="180"/>
              <w:spacing w:after="0"/>
              <w:rPr>
                <w:sz w:val="20"/>
                <w:szCs w:val="20"/>
                <w:color w:val="auto"/>
              </w:rPr>
            </w:pPr>
            <w:r>
              <w:rPr>
                <w:rFonts w:ascii="Arial" w:cs="Arial" w:eastAsia="Arial" w:hAnsi="Arial"/>
                <w:sz w:val="18"/>
                <w:szCs w:val="18"/>
                <w:color w:val="auto"/>
              </w:rPr>
              <w:t>Cost of sales (excluding depreciation and amortization)</w:t>
            </w:r>
          </w:p>
        </w:tc>
        <w:tc>
          <w:tcPr>
            <w:tcW w:w="26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307.2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329.9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(22.7)</w:t>
            </w:r>
          </w:p>
        </w:tc>
        <w:tc>
          <w:tcPr>
            <w:tcW w:w="1360" w:type="dxa"/>
            <w:vAlign w:val="bottom"/>
          </w:tcPr>
          <w:p>
            <w:pPr>
              <w:jc w:val="right"/>
              <w:spacing w:after="0"/>
              <w:rPr>
                <w:sz w:val="20"/>
                <w:szCs w:val="20"/>
                <w:color w:val="auto"/>
              </w:rPr>
            </w:pPr>
            <w:r>
              <w:rPr>
                <w:rFonts w:ascii="Arial" w:cs="Arial" w:eastAsia="Arial" w:hAnsi="Arial"/>
                <w:sz w:val="18"/>
                <w:szCs w:val="18"/>
                <w:color w:val="auto"/>
              </w:rPr>
              <w:t>7 %</w:t>
            </w:r>
          </w:p>
        </w:tc>
      </w:tr>
      <w:tr>
        <w:trPr>
          <w:trHeight w:val="27"/>
        </w:trPr>
        <w:tc>
          <w:tcPr>
            <w:tcW w:w="6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21 %</w:t>
            </w:r>
          </w:p>
        </w:tc>
      </w:tr>
      <w:tr>
        <w:trPr>
          <w:trHeight w:val="243"/>
        </w:trPr>
        <w:tc>
          <w:tcPr>
            <w:tcW w:w="6320" w:type="dxa"/>
            <w:vAlign w:val="bottom"/>
          </w:tcPr>
          <w:p>
            <w:pPr>
              <w:ind w:left="180"/>
              <w:spacing w:after="0"/>
              <w:rPr>
                <w:sz w:val="20"/>
                <w:szCs w:val="20"/>
                <w:color w:val="auto"/>
              </w:rPr>
            </w:pPr>
            <w:r>
              <w:rPr>
                <w:rFonts w:ascii="Arial" w:cs="Arial" w:eastAsia="Arial" w:hAnsi="Arial"/>
                <w:sz w:val="18"/>
                <w:szCs w:val="18"/>
                <w:color w:val="auto"/>
              </w:rPr>
              <w:t>Restructuring charges</w:t>
            </w:r>
          </w:p>
        </w:tc>
        <w:tc>
          <w:tcPr>
            <w:tcW w:w="26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0.2</w:t>
            </w:r>
          </w:p>
        </w:tc>
        <w:tc>
          <w:tcPr>
            <w:tcW w:w="136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6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43"/>
        </w:trPr>
        <w:tc>
          <w:tcPr>
            <w:tcW w:w="6320" w:type="dxa"/>
            <w:vAlign w:val="bottom"/>
          </w:tcPr>
          <w:p>
            <w:pPr>
              <w:ind w:left="180"/>
              <w:spacing w:after="0"/>
              <w:rPr>
                <w:sz w:val="20"/>
                <w:szCs w:val="20"/>
                <w:color w:val="auto"/>
              </w:rPr>
            </w:pPr>
            <w:r>
              <w:rPr>
                <w:rFonts w:ascii="Arial" w:cs="Arial" w:eastAsia="Arial" w:hAnsi="Arial"/>
                <w:sz w:val="18"/>
                <w:szCs w:val="18"/>
                <w:color w:val="auto"/>
              </w:rPr>
              <w:t>Asset impairment charges</w:t>
            </w:r>
          </w:p>
        </w:tc>
        <w:tc>
          <w:tcPr>
            <w:tcW w:w="2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(30.0)</w:t>
            </w:r>
          </w:p>
        </w:tc>
        <w:tc>
          <w:tcPr>
            <w:tcW w:w="1360" w:type="dxa"/>
            <w:vAlign w:val="bottom"/>
          </w:tcPr>
          <w:p>
            <w:pPr>
              <w:jc w:val="right"/>
              <w:spacing w:after="0"/>
              <w:rPr>
                <w:sz w:val="20"/>
                <w:szCs w:val="20"/>
                <w:color w:val="auto"/>
              </w:rPr>
            </w:pPr>
            <w:r>
              <w:rPr>
                <w:rFonts w:ascii="Arial" w:cs="Arial" w:eastAsia="Arial" w:hAnsi="Arial"/>
                <w:sz w:val="18"/>
                <w:szCs w:val="18"/>
                <w:color w:val="auto"/>
              </w:rPr>
              <w:t>100 %</w:t>
            </w:r>
          </w:p>
        </w:tc>
      </w:tr>
      <w:tr>
        <w:trPr>
          <w:trHeight w:val="27"/>
        </w:trPr>
        <w:tc>
          <w:tcPr>
            <w:tcW w:w="63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r>
      <w:tr>
        <w:trPr>
          <w:trHeight w:val="243"/>
        </w:trPr>
        <w:tc>
          <w:tcPr>
            <w:tcW w:w="6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32.7</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150 %</w:t>
            </w:r>
          </w:p>
        </w:tc>
      </w:tr>
      <w:tr>
        <w:trPr>
          <w:trHeight w:val="243"/>
        </w:trPr>
        <w:tc>
          <w:tcPr>
            <w:tcW w:w="632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1.9</w:t>
            </w:r>
          </w:p>
        </w:tc>
        <w:tc>
          <w:tcPr>
            <w:tcW w:w="1360" w:type="dxa"/>
            <w:vAlign w:val="bottom"/>
          </w:tcPr>
          <w:p>
            <w:pPr>
              <w:jc w:val="right"/>
              <w:spacing w:after="0"/>
              <w:rPr>
                <w:sz w:val="20"/>
                <w:szCs w:val="20"/>
                <w:color w:val="auto"/>
              </w:rPr>
            </w:pPr>
            <w:r>
              <w:rPr>
                <w:rFonts w:ascii="Arial" w:cs="Arial" w:eastAsia="Arial" w:hAnsi="Arial"/>
                <w:sz w:val="18"/>
                <w:szCs w:val="18"/>
                <w:color w:val="auto"/>
              </w:rPr>
              <w:t>38 %</w:t>
            </w:r>
          </w:p>
        </w:tc>
      </w:tr>
      <w:tr>
        <w:trPr>
          <w:trHeight w:val="27"/>
        </w:trPr>
        <w:tc>
          <w:tcPr>
            <w:tcW w:w="6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net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50 %</w:t>
            </w:r>
          </w:p>
        </w:tc>
      </w:tr>
      <w:tr>
        <w:trPr>
          <w:trHeight w:val="243"/>
        </w:trPr>
        <w:tc>
          <w:tcPr>
            <w:tcW w:w="632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w:t>
            </w:r>
          </w:p>
        </w:tc>
        <w:tc>
          <w:tcPr>
            <w:tcW w:w="1360" w:type="dxa"/>
            <w:vAlign w:val="bottom"/>
          </w:tcPr>
          <w:p>
            <w:pPr>
              <w:jc w:val="right"/>
              <w:spacing w:after="0"/>
              <w:rPr>
                <w:sz w:val="20"/>
                <w:szCs w:val="20"/>
                <w:color w:val="auto"/>
              </w:rPr>
            </w:pPr>
            <w:r>
              <w:rPr>
                <w:rFonts w:ascii="Arial" w:cs="Arial" w:eastAsia="Arial" w:hAnsi="Arial"/>
                <w:sz w:val="18"/>
                <w:szCs w:val="18"/>
                <w:color w:val="auto"/>
              </w:rPr>
              <w:t>(160)%</w:t>
            </w:r>
          </w:p>
        </w:tc>
      </w:tr>
      <w:tr>
        <w:trPr>
          <w:trHeight w:val="27"/>
        </w:trPr>
        <w:tc>
          <w:tcPr>
            <w:tcW w:w="63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r>
      <w:tr>
        <w:trPr>
          <w:trHeight w:val="257"/>
        </w:trPr>
        <w:tc>
          <w:tcPr>
            <w:tcW w:w="6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33.1</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120 %</w:t>
            </w:r>
          </w:p>
        </w:tc>
      </w:tr>
      <w:tr>
        <w:trPr>
          <w:trHeight w:val="20"/>
        </w:trPr>
        <w:tc>
          <w:tcPr>
            <w:tcW w:w="6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period-over-period results by reportable segment follow.</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Related to Operating Income by Reportable Segment: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NA Fenestration</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60" w:type="dxa"/>
            <w:vAlign w:val="bottom"/>
            <w:gridSpan w:val="4"/>
          </w:tcPr>
          <w:p>
            <w:pPr>
              <w:jc w:val="right"/>
              <w:ind w:right="193"/>
              <w:spacing w:after="0"/>
              <w:rPr>
                <w:sz w:val="20"/>
                <w:szCs w:val="20"/>
                <w:color w:val="auto"/>
              </w:rPr>
            </w:pPr>
            <w:r>
              <w:rPr>
                <w:rFonts w:ascii="Arial" w:cs="Arial" w:eastAsia="Arial" w:hAnsi="Arial"/>
                <w:sz w:val="16"/>
                <w:szCs w:val="16"/>
                <w:b w:val="1"/>
                <w:bCs w:val="1"/>
                <w:color w:val="auto"/>
                <w:w w:val="94"/>
              </w:rPr>
              <w:t>Six Months Ended April 30,</w:t>
            </w:r>
          </w:p>
        </w:tc>
        <w:tc>
          <w:tcPr>
            <w:tcW w:w="1220" w:type="dxa"/>
            <w:vAlign w:val="bottom"/>
          </w:tcPr>
          <w:p>
            <w:pPr>
              <w:spacing w:after="0"/>
              <w:rPr>
                <w:sz w:val="18"/>
                <w:szCs w:val="18"/>
                <w:color w:val="auto"/>
              </w:rPr>
            </w:pPr>
          </w:p>
        </w:tc>
      </w:tr>
      <w:tr>
        <w:trPr>
          <w:trHeight w:val="33"/>
        </w:trPr>
        <w:tc>
          <w:tcPr>
            <w:tcW w:w="62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8"/>
        </w:trPr>
        <w:tc>
          <w:tcPr>
            <w:tcW w:w="62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13"/>
              <w:spacing w:after="0"/>
              <w:rPr>
                <w:sz w:val="20"/>
                <w:szCs w:val="20"/>
                <w:color w:val="auto"/>
              </w:rPr>
            </w:pPr>
            <w:r>
              <w:rPr>
                <w:rFonts w:ascii="Arial" w:cs="Arial" w:eastAsia="Arial" w:hAnsi="Arial"/>
                <w:sz w:val="13"/>
                <w:szCs w:val="13"/>
                <w:b w:val="1"/>
                <w:bCs w:val="1"/>
                <w:color w:val="auto"/>
              </w:rPr>
              <w:t>$ Change</w:t>
            </w:r>
          </w:p>
        </w:tc>
        <w:tc>
          <w:tcPr>
            <w:tcW w:w="1220" w:type="dxa"/>
            <w:vAlign w:val="bottom"/>
            <w:tcBorders>
              <w:bottom w:val="single" w:sz="8" w:color="auto"/>
            </w:tcBorders>
          </w:tcPr>
          <w:p>
            <w:pPr>
              <w:ind w:left="320"/>
              <w:spacing w:after="0"/>
              <w:rPr>
                <w:sz w:val="20"/>
                <w:szCs w:val="20"/>
                <w:color w:val="auto"/>
              </w:rPr>
            </w:pPr>
            <w:r>
              <w:rPr>
                <w:rFonts w:ascii="Arial" w:cs="Arial" w:eastAsia="Arial" w:hAnsi="Arial"/>
                <w:sz w:val="13"/>
                <w:szCs w:val="13"/>
                <w:b w:val="1"/>
                <w:bCs w:val="1"/>
                <w:color w:val="auto"/>
              </w:rPr>
              <w:t>% Variance</w:t>
            </w:r>
          </w:p>
        </w:tc>
      </w:tr>
      <w:tr>
        <w:trPr>
          <w:trHeight w:val="173"/>
        </w:trPr>
        <w:tc>
          <w:tcPr>
            <w:tcW w:w="6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60" w:type="dxa"/>
            <w:vAlign w:val="bottom"/>
            <w:gridSpan w:val="4"/>
          </w:tcPr>
          <w:p>
            <w:pPr>
              <w:jc w:val="right"/>
              <w:ind w:right="633"/>
              <w:spacing w:after="0"/>
              <w:rPr>
                <w:sz w:val="20"/>
                <w:szCs w:val="20"/>
                <w:color w:val="auto"/>
              </w:rPr>
            </w:pPr>
            <w:r>
              <w:rPr>
                <w:rFonts w:ascii="Arial" w:cs="Arial" w:eastAsia="Arial" w:hAnsi="Arial"/>
                <w:sz w:val="13"/>
                <w:szCs w:val="13"/>
                <w:b w:val="1"/>
                <w:bCs w:val="1"/>
                <w:color w:val="auto"/>
              </w:rPr>
              <w:t>(Dollars in millions)</w:t>
            </w:r>
          </w:p>
        </w:tc>
        <w:tc>
          <w:tcPr>
            <w:tcW w:w="1220" w:type="dxa"/>
            <w:vAlign w:val="bottom"/>
          </w:tcPr>
          <w:p>
            <w:pPr>
              <w:spacing w:after="0"/>
              <w:rPr>
                <w:sz w:val="15"/>
                <w:szCs w:val="15"/>
                <w:color w:val="auto"/>
              </w:rPr>
            </w:pPr>
          </w:p>
        </w:tc>
      </w:tr>
      <w:tr>
        <w:trPr>
          <w:trHeight w:val="259"/>
        </w:trPr>
        <w:tc>
          <w:tcPr>
            <w:tcW w:w="6280" w:type="dxa"/>
            <w:vAlign w:val="bottom"/>
          </w:tcPr>
          <w:p>
            <w:pPr>
              <w:ind w:left="40"/>
              <w:spacing w:after="0"/>
              <w:rPr>
                <w:sz w:val="20"/>
                <w:szCs w:val="20"/>
                <w:color w:val="auto"/>
              </w:rPr>
            </w:pPr>
            <w:r>
              <w:rPr>
                <w:rFonts w:ascii="Arial" w:cs="Arial" w:eastAsia="Arial" w:hAnsi="Arial"/>
                <w:sz w:val="18"/>
                <w:szCs w:val="18"/>
                <w:color w:val="auto"/>
              </w:rPr>
              <w:t>Net sales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12"/>
              <w:spacing w:after="0"/>
              <w:rPr>
                <w:sz w:val="20"/>
                <w:szCs w:val="20"/>
                <w:color w:val="auto"/>
              </w:rPr>
            </w:pPr>
            <w:r>
              <w:rPr>
                <w:rFonts w:ascii="Arial" w:cs="Arial" w:eastAsia="Arial" w:hAnsi="Arial"/>
                <w:sz w:val="18"/>
                <w:szCs w:val="18"/>
                <w:color w:val="auto"/>
              </w:rPr>
              <w:t>219.0</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5"/>
              <w:spacing w:after="0"/>
              <w:rPr>
                <w:sz w:val="20"/>
                <w:szCs w:val="20"/>
                <w:color w:val="auto"/>
              </w:rPr>
            </w:pPr>
            <w:r>
              <w:rPr>
                <w:rFonts w:ascii="Arial" w:cs="Arial" w:eastAsia="Arial" w:hAnsi="Arial"/>
                <w:sz w:val="18"/>
                <w:szCs w:val="18"/>
                <w:color w:val="auto"/>
              </w:rPr>
              <w:t>224.4</w:t>
            </w:r>
          </w:p>
        </w:tc>
        <w:tc>
          <w:tcPr>
            <w:tcW w:w="120" w:type="dxa"/>
            <w:vAlign w:val="bottom"/>
          </w:tcPr>
          <w:p>
            <w:pPr>
              <w:spacing w:after="0"/>
              <w:rPr>
                <w:sz w:val="22"/>
                <w:szCs w:val="22"/>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(5.4)</w:t>
            </w:r>
          </w:p>
        </w:tc>
        <w:tc>
          <w:tcPr>
            <w:tcW w:w="1220" w:type="dxa"/>
            <w:vAlign w:val="bottom"/>
          </w:tcPr>
          <w:p>
            <w:pPr>
              <w:jc w:val="center"/>
              <w:ind w:left="13"/>
              <w:spacing w:after="0"/>
              <w:rPr>
                <w:sz w:val="20"/>
                <w:szCs w:val="20"/>
                <w:color w:val="auto"/>
              </w:rPr>
            </w:pPr>
            <w:r>
              <w:rPr>
                <w:rFonts w:ascii="Arial" w:cs="Arial" w:eastAsia="Arial" w:hAnsi="Arial"/>
                <w:sz w:val="18"/>
                <w:szCs w:val="18"/>
                <w:color w:val="auto"/>
                <w:w w:val="94"/>
              </w:rPr>
              <w:t>(2)%</w:t>
            </w:r>
          </w:p>
        </w:tc>
      </w:tr>
      <w:tr>
        <w:trPr>
          <w:trHeight w:val="27"/>
        </w:trPr>
        <w:tc>
          <w:tcPr>
            <w:tcW w:w="6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 (excluding depreciation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173.8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177.2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20" w:type="dxa"/>
            <w:vAlign w:val="bottom"/>
            <w:tcBorders>
              <w:bottom w:val="single" w:sz="8" w:color="CCEEFF"/>
            </w:tcBorders>
            <w:shd w:val="clear" w:color="auto" w:fill="CCEEFF"/>
          </w:tcPr>
          <w:p>
            <w:pPr>
              <w:jc w:val="center"/>
              <w:ind w:left="13"/>
              <w:spacing w:after="0"/>
              <w:rPr>
                <w:sz w:val="20"/>
                <w:szCs w:val="20"/>
                <w:color w:val="auto"/>
              </w:rPr>
            </w:pPr>
            <w:r>
              <w:rPr>
                <w:rFonts w:ascii="Arial" w:cs="Arial" w:eastAsia="Arial" w:hAnsi="Arial"/>
                <w:sz w:val="18"/>
                <w:szCs w:val="18"/>
                <w:color w:val="auto"/>
                <w:w w:val="92"/>
              </w:rPr>
              <w:t>2%</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Pr>
          <w:p>
            <w:pPr>
              <w:spacing w:after="0"/>
              <w:rPr>
                <w:sz w:val="21"/>
                <w:szCs w:val="21"/>
                <w:color w:val="auto"/>
              </w:rPr>
            </w:pPr>
          </w:p>
        </w:tc>
        <w:tc>
          <w:tcPr>
            <w:tcW w:w="920" w:type="dxa"/>
            <w:vAlign w:val="bottom"/>
          </w:tcPr>
          <w:p>
            <w:pPr>
              <w:jc w:val="right"/>
              <w:ind w:right="112"/>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95"/>
              <w:spacing w:after="0"/>
              <w:rPr>
                <w:sz w:val="20"/>
                <w:szCs w:val="20"/>
                <w:color w:val="auto"/>
              </w:rPr>
            </w:pPr>
            <w:r>
              <w:rPr>
                <w:rFonts w:ascii="Arial" w:cs="Arial" w:eastAsia="Arial" w:hAnsi="Arial"/>
                <w:sz w:val="18"/>
                <w:szCs w:val="18"/>
                <w:color w:val="auto"/>
              </w:rPr>
              <w:t>25.3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w:t>
            </w:r>
          </w:p>
        </w:tc>
        <w:tc>
          <w:tcPr>
            <w:tcW w:w="1220" w:type="dxa"/>
            <w:vAlign w:val="bottom"/>
          </w:tcPr>
          <w:p>
            <w:pPr>
              <w:jc w:val="center"/>
              <w:ind w:left="13"/>
              <w:spacing w:after="0"/>
              <w:rPr>
                <w:sz w:val="20"/>
                <w:szCs w:val="20"/>
                <w:color w:val="auto"/>
              </w:rPr>
            </w:pPr>
            <w:r>
              <w:rPr>
                <w:rFonts w:ascii="Arial" w:cs="Arial" w:eastAsia="Arial" w:hAnsi="Arial"/>
                <w:sz w:val="18"/>
                <w:szCs w:val="18"/>
                <w:color w:val="auto"/>
                <w:w w:val="92"/>
              </w:rPr>
              <w:t>9%</w:t>
            </w:r>
          </w:p>
        </w:tc>
      </w:tr>
      <w:tr>
        <w:trPr>
          <w:trHeight w:val="27"/>
        </w:trPr>
        <w:tc>
          <w:tcPr>
            <w:tcW w:w="6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charges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center"/>
              <w:ind w:left="13"/>
              <w:spacing w:after="0"/>
              <w:rPr>
                <w:sz w:val="20"/>
                <w:szCs w:val="20"/>
                <w:color w:val="auto"/>
              </w:rPr>
            </w:pPr>
            <w:r>
              <w:rPr>
                <w:rFonts w:ascii="Arial" w:cs="Arial" w:eastAsia="Arial" w:hAnsi="Arial"/>
                <w:sz w:val="18"/>
                <w:szCs w:val="18"/>
                <w:color w:val="auto"/>
                <w:w w:val="93"/>
              </w:rPr>
              <w:t>—%</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920" w:type="dxa"/>
            <w:vAlign w:val="bottom"/>
          </w:tcPr>
          <w:p>
            <w:pPr>
              <w:jc w:val="right"/>
              <w:ind w:right="112"/>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95"/>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(0.7)</w:t>
            </w:r>
          </w:p>
        </w:tc>
        <w:tc>
          <w:tcPr>
            <w:tcW w:w="1220" w:type="dxa"/>
            <w:vAlign w:val="bottom"/>
          </w:tcPr>
          <w:p>
            <w:pPr>
              <w:jc w:val="center"/>
              <w:ind w:left="13"/>
              <w:spacing w:after="0"/>
              <w:rPr>
                <w:sz w:val="20"/>
                <w:szCs w:val="20"/>
                <w:color w:val="auto"/>
              </w:rPr>
            </w:pPr>
            <w:r>
              <w:rPr>
                <w:rFonts w:ascii="Arial" w:cs="Arial" w:eastAsia="Arial" w:hAnsi="Arial"/>
                <w:sz w:val="18"/>
                <w:szCs w:val="18"/>
                <w:color w:val="auto"/>
                <w:w w:val="92"/>
              </w:rPr>
              <w:t>5%</w:t>
            </w:r>
          </w:p>
        </w:tc>
      </w:tr>
      <w:tr>
        <w:trPr>
          <w:trHeight w:val="27"/>
        </w:trPr>
        <w:tc>
          <w:tcPr>
            <w:tcW w:w="62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r>
      <w:tr>
        <w:trPr>
          <w:trHeight w:val="257"/>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1.0</w:t>
            </w:r>
          </w:p>
        </w:tc>
        <w:tc>
          <w:tcPr>
            <w:tcW w:w="1220" w:type="dxa"/>
            <w:vAlign w:val="bottom"/>
            <w:tcBorders>
              <w:bottom w:val="single" w:sz="8" w:color="CCEEFF"/>
            </w:tcBorders>
            <w:shd w:val="clear" w:color="auto" w:fill="CCEEFF"/>
          </w:tcPr>
          <w:p>
            <w:pPr>
              <w:jc w:val="center"/>
              <w:ind w:left="13"/>
              <w:spacing w:after="0"/>
              <w:rPr>
                <w:sz w:val="20"/>
                <w:szCs w:val="20"/>
                <w:color w:val="auto"/>
              </w:rPr>
            </w:pPr>
            <w:r>
              <w:rPr>
                <w:rFonts w:ascii="Arial" w:cs="Arial" w:eastAsia="Arial" w:hAnsi="Arial"/>
                <w:sz w:val="18"/>
                <w:szCs w:val="18"/>
                <w:color w:val="auto"/>
                <w:w w:val="88"/>
              </w:rPr>
              <w:t>12%</w:t>
            </w:r>
          </w:p>
        </w:tc>
      </w:tr>
      <w:tr>
        <w:trPr>
          <w:trHeight w:val="20"/>
        </w:trPr>
        <w:tc>
          <w:tcPr>
            <w:tcW w:w="6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30"/>
        </w:trPr>
        <w:tc>
          <w:tcPr>
            <w:tcW w:w="6280" w:type="dxa"/>
            <w:vAlign w:val="bottom"/>
          </w:tcPr>
          <w:p>
            <w:pPr>
              <w:ind w:left="40"/>
              <w:spacing w:after="0"/>
              <w:rPr>
                <w:sz w:val="20"/>
                <w:szCs w:val="20"/>
                <w:color w:val="auto"/>
              </w:rPr>
            </w:pPr>
            <w:r>
              <w:rPr>
                <w:rFonts w:ascii="Arial" w:cs="Arial" w:eastAsia="Arial" w:hAnsi="Arial"/>
                <w:sz w:val="18"/>
                <w:szCs w:val="18"/>
                <w:color w:val="auto"/>
              </w:rPr>
              <w:t>Operating income margin</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20" w:type="dxa"/>
            <w:vAlign w:val="bottom"/>
          </w:tcPr>
          <w:p>
            <w:pPr>
              <w:spacing w:after="0"/>
              <w:rPr>
                <w:sz w:val="20"/>
                <w:szCs w:val="20"/>
                <w:color w:val="auto"/>
              </w:rPr>
            </w:pPr>
          </w:p>
        </w:tc>
      </w:tr>
    </w:tbl>
    <w:p>
      <w:pPr>
        <w:spacing w:after="0" w:line="148"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i w:val="1"/>
          <w:iCs w:val="1"/>
          <w:color w:val="auto"/>
        </w:rPr>
        <w:t xml:space="preserve">Net Sales. </w:t>
      </w:r>
      <w:r>
        <w:rPr>
          <w:rFonts w:ascii="Arial" w:cs="Arial" w:eastAsia="Arial" w:hAnsi="Arial"/>
          <w:sz w:val="18"/>
          <w:szCs w:val="18"/>
          <w:color w:val="auto"/>
        </w:rPr>
        <w:t>Net sales decreased $5.4 million, or 2%, for the six months ended April 30, 2020 compared to the same period in 2019, which was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driven by a decrease in volumes of $6.8 million, which includes the impacts of COVID-19. The decrease in volume was partially offset by increases in prices and surcharges of $1.4 million.</w:t>
      </w:r>
    </w:p>
    <w:p>
      <w:pPr>
        <w:spacing w:after="0" w:line="103"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i w:val="1"/>
          <w:iCs w:val="1"/>
          <w:color w:val="auto"/>
        </w:rPr>
        <w:t xml:space="preserve">Cost of Sales. </w:t>
      </w:r>
      <w:r>
        <w:rPr>
          <w:rFonts w:ascii="Arial" w:cs="Arial" w:eastAsia="Arial" w:hAnsi="Arial"/>
          <w:sz w:val="18"/>
          <w:szCs w:val="18"/>
          <w:color w:val="auto"/>
        </w:rPr>
        <w:t>The cost of sales decreased $3.4 million, or 2%, when comparing the six months ended April 30, 2020 to the same period in 2019. Cost</w:t>
      </w:r>
      <w:r>
        <w:rPr>
          <w:rFonts w:ascii="Arial" w:cs="Arial" w:eastAsia="Arial" w:hAnsi="Arial"/>
          <w:sz w:val="18"/>
          <w:szCs w:val="18"/>
          <w:i w:val="1"/>
          <w:iCs w:val="1"/>
          <w:color w:val="auto"/>
        </w:rPr>
        <w:t xml:space="preserve"> </w:t>
      </w:r>
      <w:r>
        <w:rPr>
          <w:rFonts w:ascii="Arial" w:cs="Arial" w:eastAsia="Arial" w:hAnsi="Arial"/>
          <w:sz w:val="18"/>
          <w:szCs w:val="18"/>
          <w:color w:val="auto"/>
        </w:rPr>
        <w:t>of sales decreased due to lower volumes during the period, including a corresponding decrease in selling expenses as a result of the impacts of COVID-19 as mentioned above.</w:t>
      </w:r>
    </w:p>
    <w:p>
      <w:pPr>
        <w:spacing w:after="0" w:line="10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i w:val="1"/>
          <w:iCs w:val="1"/>
          <w:color w:val="auto"/>
        </w:rPr>
        <w:t>Selling, General and Administrative. S</w:t>
      </w:r>
      <w:r>
        <w:rPr>
          <w:rFonts w:ascii="Arial" w:cs="Arial" w:eastAsia="Arial" w:hAnsi="Arial"/>
          <w:sz w:val="18"/>
          <w:szCs w:val="18"/>
          <w:color w:val="auto"/>
        </w:rPr>
        <w:t>elling, general and administrative expenses decreased $2.3 million, or 9%, when comparing the six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April 30, 2020 to the same period in 2019. This decrease was due primarily to lower incentive compensation expense.</w:t>
      </w:r>
    </w:p>
    <w:p>
      <w:pPr>
        <w:spacing w:after="0" w:line="89"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i w:val="1"/>
          <w:iCs w:val="1"/>
          <w:color w:val="auto"/>
        </w:rPr>
        <w:t xml:space="preserve">Restructuring Charges. </w:t>
      </w:r>
      <w:r>
        <w:rPr>
          <w:rFonts w:ascii="Arial" w:cs="Arial" w:eastAsia="Arial" w:hAnsi="Arial"/>
          <w:sz w:val="16"/>
          <w:szCs w:val="16"/>
          <w:color w:val="auto"/>
        </w:rPr>
        <w:t>Restructuring charges for each of the six month periods ended April 30, 2020 and 2019 of $0.2 million relate to facility lease</w:t>
      </w:r>
      <w:r>
        <w:rPr>
          <w:rFonts w:ascii="Arial" w:cs="Arial" w:eastAsia="Arial" w:hAnsi="Arial"/>
          <w:sz w:val="16"/>
          <w:szCs w:val="16"/>
          <w:i w:val="1"/>
          <w:iCs w:val="1"/>
          <w:color w:val="auto"/>
        </w:rPr>
        <w:t xml:space="preserve"> </w:t>
      </w:r>
      <w:r>
        <w:rPr>
          <w:rFonts w:ascii="Arial" w:cs="Arial" w:eastAsia="Arial" w:hAnsi="Arial"/>
          <w:sz w:val="16"/>
          <w:szCs w:val="16"/>
          <w:color w:val="auto"/>
        </w:rPr>
        <w:t>expense for a vinyl extrusion plant which was closed in January 2017 in the U.S. that has not been sublet or otherwise exited as of April 30, 2020.</w:t>
      </w:r>
    </w:p>
    <w:p>
      <w:pPr>
        <w:spacing w:after="0" w:line="4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expense decreased $0.7 million when comparing the six months ended April 30, 2020</w:t>
      </w:r>
      <w:r>
        <w:rPr>
          <w:rFonts w:ascii="Arial" w:cs="Arial" w:eastAsia="Arial" w:hAnsi="Arial"/>
          <w:sz w:val="18"/>
          <w:szCs w:val="18"/>
          <w:i w:val="1"/>
          <w:iCs w:val="1"/>
          <w:color w:val="auto"/>
        </w:rPr>
        <w:t xml:space="preserve"> </w:t>
      </w:r>
      <w:r>
        <w:rPr>
          <w:rFonts w:ascii="Arial" w:cs="Arial" w:eastAsia="Arial" w:hAnsi="Arial"/>
          <w:sz w:val="18"/>
          <w:szCs w:val="18"/>
          <w:color w:val="auto"/>
        </w:rPr>
        <w:t>and 2019, reflecting the run-off of depreciation expense related to existing assets and disposals during the period.</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EU Fenestration</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60" w:type="dxa"/>
            <w:vAlign w:val="bottom"/>
            <w:gridSpan w:val="4"/>
          </w:tcPr>
          <w:p>
            <w:pPr>
              <w:jc w:val="right"/>
              <w:ind w:right="194"/>
              <w:spacing w:after="0"/>
              <w:rPr>
                <w:sz w:val="20"/>
                <w:szCs w:val="20"/>
                <w:color w:val="auto"/>
              </w:rPr>
            </w:pPr>
            <w:r>
              <w:rPr>
                <w:rFonts w:ascii="Arial" w:cs="Arial" w:eastAsia="Arial" w:hAnsi="Arial"/>
                <w:sz w:val="16"/>
                <w:szCs w:val="16"/>
                <w:b w:val="1"/>
                <w:bCs w:val="1"/>
                <w:color w:val="auto"/>
                <w:w w:val="94"/>
              </w:rPr>
              <w:t>Six Months Ended April 30,</w:t>
            </w:r>
          </w:p>
        </w:tc>
        <w:tc>
          <w:tcPr>
            <w:tcW w:w="1220" w:type="dxa"/>
            <w:vAlign w:val="bottom"/>
          </w:tcPr>
          <w:p>
            <w:pPr>
              <w:spacing w:after="0"/>
              <w:rPr>
                <w:sz w:val="18"/>
                <w:szCs w:val="18"/>
                <w:color w:val="auto"/>
              </w:rPr>
            </w:pPr>
          </w:p>
        </w:tc>
      </w:tr>
      <w:tr>
        <w:trPr>
          <w:trHeight w:val="33"/>
        </w:trPr>
        <w:tc>
          <w:tcPr>
            <w:tcW w:w="62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62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14"/>
              <w:spacing w:after="0"/>
              <w:rPr>
                <w:sz w:val="20"/>
                <w:szCs w:val="20"/>
                <w:color w:val="auto"/>
              </w:rPr>
            </w:pPr>
            <w:r>
              <w:rPr>
                <w:rFonts w:ascii="Arial" w:cs="Arial" w:eastAsia="Arial" w:hAnsi="Arial"/>
                <w:sz w:val="13"/>
                <w:szCs w:val="13"/>
                <w:b w:val="1"/>
                <w:bCs w:val="1"/>
                <w:color w:val="auto"/>
              </w:rPr>
              <w:t>$ Change</w:t>
            </w:r>
          </w:p>
        </w:tc>
        <w:tc>
          <w:tcPr>
            <w:tcW w:w="1220" w:type="dxa"/>
            <w:vAlign w:val="bottom"/>
            <w:tcBorders>
              <w:bottom w:val="single" w:sz="8" w:color="auto"/>
            </w:tcBorders>
          </w:tcPr>
          <w:p>
            <w:pPr>
              <w:ind w:left="320"/>
              <w:spacing w:after="0"/>
              <w:rPr>
                <w:sz w:val="20"/>
                <w:szCs w:val="20"/>
                <w:color w:val="auto"/>
              </w:rPr>
            </w:pPr>
            <w:r>
              <w:rPr>
                <w:rFonts w:ascii="Arial" w:cs="Arial" w:eastAsia="Arial" w:hAnsi="Arial"/>
                <w:sz w:val="13"/>
                <w:szCs w:val="13"/>
                <w:b w:val="1"/>
                <w:bCs w:val="1"/>
                <w:color w:val="auto"/>
              </w:rPr>
              <w:t>Variance %</w:t>
            </w:r>
          </w:p>
        </w:tc>
      </w:tr>
      <w:tr>
        <w:trPr>
          <w:trHeight w:val="173"/>
        </w:trPr>
        <w:tc>
          <w:tcPr>
            <w:tcW w:w="6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60" w:type="dxa"/>
            <w:vAlign w:val="bottom"/>
            <w:gridSpan w:val="4"/>
          </w:tcPr>
          <w:p>
            <w:pPr>
              <w:jc w:val="right"/>
              <w:ind w:right="634"/>
              <w:spacing w:after="0"/>
              <w:rPr>
                <w:sz w:val="20"/>
                <w:szCs w:val="20"/>
                <w:color w:val="auto"/>
              </w:rPr>
            </w:pPr>
            <w:r>
              <w:rPr>
                <w:rFonts w:ascii="Arial" w:cs="Arial" w:eastAsia="Arial" w:hAnsi="Arial"/>
                <w:sz w:val="13"/>
                <w:szCs w:val="13"/>
                <w:b w:val="1"/>
                <w:bCs w:val="1"/>
                <w:color w:val="auto"/>
              </w:rPr>
              <w:t>(Dollars in millions)</w:t>
            </w:r>
          </w:p>
        </w:tc>
        <w:tc>
          <w:tcPr>
            <w:tcW w:w="1220" w:type="dxa"/>
            <w:vAlign w:val="bottom"/>
          </w:tcPr>
          <w:p>
            <w:pPr>
              <w:spacing w:after="0"/>
              <w:rPr>
                <w:sz w:val="15"/>
                <w:szCs w:val="15"/>
                <w:color w:val="auto"/>
              </w:rPr>
            </w:pPr>
          </w:p>
        </w:tc>
      </w:tr>
      <w:tr>
        <w:trPr>
          <w:trHeight w:val="259"/>
        </w:trPr>
        <w:tc>
          <w:tcPr>
            <w:tcW w:w="6280" w:type="dxa"/>
            <w:vAlign w:val="bottom"/>
          </w:tcPr>
          <w:p>
            <w:pPr>
              <w:ind w:left="40"/>
              <w:spacing w:after="0"/>
              <w:rPr>
                <w:sz w:val="20"/>
                <w:szCs w:val="20"/>
                <w:color w:val="auto"/>
              </w:rPr>
            </w:pPr>
            <w:r>
              <w:rPr>
                <w:rFonts w:ascii="Arial" w:cs="Arial" w:eastAsia="Arial" w:hAnsi="Arial"/>
                <w:sz w:val="18"/>
                <w:szCs w:val="18"/>
                <w:color w:val="auto"/>
              </w:rPr>
              <w:t>Net sales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13"/>
              <w:spacing w:after="0"/>
              <w:rPr>
                <w:sz w:val="20"/>
                <w:szCs w:val="20"/>
                <w:color w:val="auto"/>
              </w:rPr>
            </w:pPr>
            <w:r>
              <w:rPr>
                <w:rFonts w:ascii="Arial" w:cs="Arial" w:eastAsia="Arial" w:hAnsi="Arial"/>
                <w:sz w:val="18"/>
                <w:szCs w:val="18"/>
                <w:color w:val="auto"/>
              </w:rPr>
              <w:t>66.0</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6"/>
              <w:spacing w:after="0"/>
              <w:rPr>
                <w:sz w:val="20"/>
                <w:szCs w:val="20"/>
                <w:color w:val="auto"/>
              </w:rPr>
            </w:pPr>
            <w:r>
              <w:rPr>
                <w:rFonts w:ascii="Arial" w:cs="Arial" w:eastAsia="Arial" w:hAnsi="Arial"/>
                <w:sz w:val="18"/>
                <w:szCs w:val="18"/>
                <w:color w:val="auto"/>
              </w:rPr>
              <w:t>76.9</w:t>
            </w:r>
          </w:p>
        </w:tc>
        <w:tc>
          <w:tcPr>
            <w:tcW w:w="120" w:type="dxa"/>
            <w:vAlign w:val="bottom"/>
          </w:tcPr>
          <w:p>
            <w:pPr>
              <w:spacing w:after="0"/>
              <w:rPr>
                <w:sz w:val="22"/>
                <w:szCs w:val="22"/>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(10.9)</w:t>
            </w:r>
          </w:p>
        </w:tc>
        <w:tc>
          <w:tcPr>
            <w:tcW w:w="1220" w:type="dxa"/>
            <w:vAlign w:val="bottom"/>
          </w:tcPr>
          <w:p>
            <w:pPr>
              <w:jc w:val="center"/>
              <w:ind w:left="14"/>
              <w:spacing w:after="0"/>
              <w:rPr>
                <w:sz w:val="20"/>
                <w:szCs w:val="20"/>
                <w:color w:val="auto"/>
              </w:rPr>
            </w:pPr>
            <w:r>
              <w:rPr>
                <w:rFonts w:ascii="Arial" w:cs="Arial" w:eastAsia="Arial" w:hAnsi="Arial"/>
                <w:sz w:val="18"/>
                <w:szCs w:val="18"/>
                <w:color w:val="auto"/>
                <w:w w:val="91"/>
              </w:rPr>
              <w:t>(14)%</w:t>
            </w:r>
          </w:p>
        </w:tc>
      </w:tr>
      <w:tr>
        <w:trPr>
          <w:trHeight w:val="27"/>
        </w:trPr>
        <w:tc>
          <w:tcPr>
            <w:tcW w:w="6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 (excluding depreciation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46.2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53.4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20" w:type="dxa"/>
            <w:vAlign w:val="bottom"/>
            <w:tcBorders>
              <w:bottom w:val="single" w:sz="8" w:color="CCEEFF"/>
            </w:tcBorders>
            <w:shd w:val="clear" w:color="auto" w:fill="CCEEFF"/>
          </w:tcPr>
          <w:p>
            <w:pPr>
              <w:jc w:val="center"/>
              <w:ind w:left="14"/>
              <w:spacing w:after="0"/>
              <w:rPr>
                <w:sz w:val="20"/>
                <w:szCs w:val="20"/>
                <w:color w:val="auto"/>
              </w:rPr>
            </w:pPr>
            <w:r>
              <w:rPr>
                <w:rFonts w:ascii="Arial" w:cs="Arial" w:eastAsia="Arial" w:hAnsi="Arial"/>
                <w:sz w:val="18"/>
                <w:szCs w:val="18"/>
                <w:color w:val="auto"/>
                <w:w w:val="88"/>
              </w:rPr>
              <w:t>13%</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Pr>
          <w:p>
            <w:pPr>
              <w:spacing w:after="0"/>
              <w:rPr>
                <w:sz w:val="21"/>
                <w:szCs w:val="21"/>
                <w:color w:val="auto"/>
              </w:rPr>
            </w:pPr>
          </w:p>
        </w:tc>
        <w:tc>
          <w:tcPr>
            <w:tcW w:w="920" w:type="dxa"/>
            <w:vAlign w:val="bottom"/>
          </w:tcPr>
          <w:p>
            <w:pPr>
              <w:jc w:val="right"/>
              <w:ind w:right="113"/>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96"/>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(0.1)</w:t>
            </w:r>
          </w:p>
        </w:tc>
        <w:tc>
          <w:tcPr>
            <w:tcW w:w="1220" w:type="dxa"/>
            <w:vAlign w:val="bottom"/>
          </w:tcPr>
          <w:p>
            <w:pPr>
              <w:jc w:val="center"/>
              <w:ind w:left="14"/>
              <w:spacing w:after="0"/>
              <w:rPr>
                <w:sz w:val="20"/>
                <w:szCs w:val="20"/>
                <w:color w:val="auto"/>
              </w:rPr>
            </w:pPr>
            <w:r>
              <w:rPr>
                <w:rFonts w:ascii="Arial" w:cs="Arial" w:eastAsia="Arial" w:hAnsi="Arial"/>
                <w:sz w:val="18"/>
                <w:szCs w:val="18"/>
                <w:color w:val="auto"/>
                <w:w w:val="92"/>
              </w:rPr>
              <w:t>1%</w:t>
            </w:r>
          </w:p>
        </w:tc>
      </w:tr>
      <w:tr>
        <w:trPr>
          <w:trHeight w:val="27"/>
        </w:trPr>
        <w:tc>
          <w:tcPr>
            <w:tcW w:w="6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0.2</w:t>
            </w:r>
          </w:p>
        </w:tc>
        <w:tc>
          <w:tcPr>
            <w:tcW w:w="1220" w:type="dxa"/>
            <w:vAlign w:val="bottom"/>
            <w:tcBorders>
              <w:bottom w:val="single" w:sz="8" w:color="CCEEFF"/>
            </w:tcBorders>
            <w:shd w:val="clear" w:color="auto" w:fill="CCEEFF"/>
          </w:tcPr>
          <w:p>
            <w:pPr>
              <w:jc w:val="center"/>
              <w:ind w:left="14"/>
              <w:spacing w:after="0"/>
              <w:rPr>
                <w:sz w:val="20"/>
                <w:szCs w:val="20"/>
                <w:color w:val="auto"/>
              </w:rPr>
            </w:pPr>
            <w:r>
              <w:rPr>
                <w:rFonts w:ascii="Arial" w:cs="Arial" w:eastAsia="Arial" w:hAnsi="Arial"/>
                <w:sz w:val="18"/>
                <w:szCs w:val="18"/>
                <w:color w:val="auto"/>
                <w:w w:val="94"/>
              </w:rPr>
              <w:t>(4)%</w:t>
            </w:r>
          </w:p>
        </w:tc>
      </w:tr>
      <w:tr>
        <w:trPr>
          <w:trHeight w:val="297"/>
        </w:trPr>
        <w:tc>
          <w:tcPr>
            <w:tcW w:w="62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Operating income</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8"/>
                <w:szCs w:val="18"/>
                <w:color w:val="auto"/>
              </w:rPr>
              <w:t>7.6</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220" w:type="dxa"/>
            <w:vAlign w:val="bottom"/>
            <w:tcBorders>
              <w:bottom w:val="single" w:sz="8" w:color="CCEEFF"/>
            </w:tcBorders>
          </w:tcPr>
          <w:p>
            <w:pPr>
              <w:jc w:val="center"/>
              <w:ind w:left="14"/>
              <w:spacing w:after="0"/>
              <w:rPr>
                <w:sz w:val="20"/>
                <w:szCs w:val="20"/>
                <w:color w:val="auto"/>
              </w:rPr>
            </w:pPr>
            <w:r>
              <w:rPr>
                <w:rFonts w:ascii="Arial" w:cs="Arial" w:eastAsia="Arial" w:hAnsi="Arial"/>
                <w:sz w:val="18"/>
                <w:szCs w:val="18"/>
                <w:color w:val="auto"/>
                <w:w w:val="91"/>
              </w:rPr>
              <w:t>(50)%</w:t>
            </w:r>
          </w:p>
        </w:tc>
      </w:tr>
      <w:tr>
        <w:trPr>
          <w:trHeight w:val="230"/>
        </w:trPr>
        <w:tc>
          <w:tcPr>
            <w:tcW w:w="6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income margin</w:t>
            </w: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7"/>
        </w:trPr>
        <w:tc>
          <w:tcPr>
            <w:tcW w:w="62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121"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i w:val="1"/>
          <w:iCs w:val="1"/>
          <w:color w:val="auto"/>
        </w:rPr>
        <w:t>Net Sales</w:t>
      </w:r>
      <w:r>
        <w:rPr>
          <w:rFonts w:ascii="Arial" w:cs="Arial" w:eastAsia="Arial" w:hAnsi="Arial"/>
          <w:sz w:val="18"/>
          <w:szCs w:val="18"/>
          <w:color w:val="auto"/>
        </w:rPr>
        <w:t>. Net sales decreased $10.9 million, or 14%, when comparing the six months ended April 30, 2020 to the same period in 2019. Net sales</w:t>
      </w:r>
      <w:r>
        <w:rPr>
          <w:rFonts w:ascii="Arial" w:cs="Arial" w:eastAsia="Arial" w:hAnsi="Arial"/>
          <w:sz w:val="18"/>
          <w:szCs w:val="18"/>
          <w:i w:val="1"/>
          <w:iCs w:val="1"/>
          <w:color w:val="auto"/>
        </w:rPr>
        <w:t xml:space="preserve"> </w:t>
      </w:r>
      <w:r>
        <w:rPr>
          <w:rFonts w:ascii="Arial" w:cs="Arial" w:eastAsia="Arial" w:hAnsi="Arial"/>
          <w:sz w:val="18"/>
          <w:szCs w:val="18"/>
          <w:color w:val="auto"/>
        </w:rPr>
        <w:t>volumes decreased $10.6 million year-over-year, which includes of the impacts of COVID-19, and $1.2 million due to unfavorable foreign currency rate changes. These decreases were slightly offset by $0.9 million of base price increases.</w:t>
      </w:r>
    </w:p>
    <w:p>
      <w:pPr>
        <w:spacing w:after="0" w:line="103"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i w:val="1"/>
          <w:iCs w:val="1"/>
          <w:color w:val="auto"/>
        </w:rPr>
        <w:t xml:space="preserve">Cost of Sales. </w:t>
      </w:r>
      <w:r>
        <w:rPr>
          <w:rFonts w:ascii="Arial" w:cs="Arial" w:eastAsia="Arial" w:hAnsi="Arial"/>
          <w:sz w:val="18"/>
          <w:szCs w:val="18"/>
          <w:color w:val="auto"/>
        </w:rPr>
        <w:t>The cost of sales increased $7.2 million, or 13%, for the six months ended April 30, 2020 compared to the same period in 2019. Cost of</w:t>
      </w:r>
      <w:r>
        <w:rPr>
          <w:rFonts w:ascii="Arial" w:cs="Arial" w:eastAsia="Arial" w:hAnsi="Arial"/>
          <w:sz w:val="18"/>
          <w:szCs w:val="18"/>
          <w:i w:val="1"/>
          <w:iCs w:val="1"/>
          <w:color w:val="auto"/>
        </w:rPr>
        <w:t xml:space="preserve"> </w:t>
      </w:r>
      <w:r>
        <w:rPr>
          <w:rFonts w:ascii="Arial" w:cs="Arial" w:eastAsia="Arial" w:hAnsi="Arial"/>
          <w:sz w:val="18"/>
          <w:szCs w:val="18"/>
          <w:color w:val="auto"/>
        </w:rPr>
        <w:t>sales decreased due to lower volumes during the period, including a corresponding decrease in selling expenses as a result of the impacts of COVID-19 as mentioned above.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i w:val="1"/>
          <w:iCs w:val="1"/>
          <w:color w:val="auto"/>
        </w:rPr>
        <w:t xml:space="preserve">Selling, General and Administrative. </w:t>
      </w:r>
      <w:r>
        <w:rPr>
          <w:rFonts w:ascii="Arial" w:cs="Arial" w:eastAsia="Arial" w:hAnsi="Arial"/>
          <w:sz w:val="18"/>
          <w:szCs w:val="18"/>
          <w:color w:val="auto"/>
        </w:rPr>
        <w:t>Selling, general and administrative expense remained flat for the six months ended April 30, 2020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same period in 2019. Savings from temporary COVID-19 related workforce furloughs and favorable foreign currency exchange rate changes were partially offset by normal compensation inflation.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NA Cabinet Components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80" w:type="dxa"/>
            <w:vAlign w:val="bottom"/>
            <w:gridSpan w:val="4"/>
          </w:tcPr>
          <w:p>
            <w:pPr>
              <w:jc w:val="right"/>
              <w:ind w:right="233"/>
              <w:spacing w:after="0"/>
              <w:rPr>
                <w:sz w:val="20"/>
                <w:szCs w:val="20"/>
                <w:color w:val="auto"/>
              </w:rPr>
            </w:pPr>
            <w:r>
              <w:rPr>
                <w:rFonts w:ascii="Arial" w:cs="Arial" w:eastAsia="Arial" w:hAnsi="Arial"/>
                <w:sz w:val="16"/>
                <w:szCs w:val="16"/>
                <w:b w:val="1"/>
                <w:bCs w:val="1"/>
                <w:color w:val="auto"/>
                <w:w w:val="94"/>
              </w:rPr>
              <w:t>Six Months Ended April 30,</w:t>
            </w:r>
          </w:p>
        </w:tc>
        <w:tc>
          <w:tcPr>
            <w:tcW w:w="1220" w:type="dxa"/>
            <w:vAlign w:val="bottom"/>
          </w:tcPr>
          <w:p>
            <w:pPr>
              <w:spacing w:after="0"/>
              <w:rPr>
                <w:sz w:val="18"/>
                <w:szCs w:val="18"/>
                <w:color w:val="auto"/>
              </w:rPr>
            </w:pPr>
          </w:p>
        </w:tc>
      </w:tr>
      <w:tr>
        <w:trPr>
          <w:trHeight w:val="33"/>
        </w:trPr>
        <w:tc>
          <w:tcPr>
            <w:tcW w:w="62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8"/>
        </w:trPr>
        <w:tc>
          <w:tcPr>
            <w:tcW w:w="62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93"/>
              <w:spacing w:after="0"/>
              <w:rPr>
                <w:sz w:val="20"/>
                <w:szCs w:val="20"/>
                <w:color w:val="auto"/>
              </w:rPr>
            </w:pPr>
            <w:r>
              <w:rPr>
                <w:rFonts w:ascii="Arial" w:cs="Arial" w:eastAsia="Arial" w:hAnsi="Arial"/>
                <w:sz w:val="13"/>
                <w:szCs w:val="13"/>
                <w:b w:val="1"/>
                <w:bCs w:val="1"/>
                <w:color w:val="auto"/>
              </w:rPr>
              <w:t>$ Change</w:t>
            </w:r>
          </w:p>
        </w:tc>
        <w:tc>
          <w:tcPr>
            <w:tcW w:w="1220" w:type="dxa"/>
            <w:vAlign w:val="bottom"/>
            <w:tcBorders>
              <w:bottom w:val="single" w:sz="8" w:color="auto"/>
            </w:tcBorders>
          </w:tcPr>
          <w:p>
            <w:pPr>
              <w:ind w:left="320"/>
              <w:spacing w:after="0"/>
              <w:rPr>
                <w:sz w:val="20"/>
                <w:szCs w:val="20"/>
                <w:color w:val="auto"/>
              </w:rPr>
            </w:pPr>
            <w:r>
              <w:rPr>
                <w:rFonts w:ascii="Arial" w:cs="Arial" w:eastAsia="Arial" w:hAnsi="Arial"/>
                <w:sz w:val="13"/>
                <w:szCs w:val="13"/>
                <w:b w:val="1"/>
                <w:bCs w:val="1"/>
                <w:color w:val="auto"/>
              </w:rPr>
              <w:t>Variance %</w:t>
            </w:r>
          </w:p>
        </w:tc>
      </w:tr>
      <w:tr>
        <w:trPr>
          <w:trHeight w:val="173"/>
        </w:trPr>
        <w:tc>
          <w:tcPr>
            <w:tcW w:w="6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80" w:type="dxa"/>
            <w:vAlign w:val="bottom"/>
            <w:gridSpan w:val="4"/>
          </w:tcPr>
          <w:p>
            <w:pPr>
              <w:jc w:val="right"/>
              <w:ind w:right="653"/>
              <w:spacing w:after="0"/>
              <w:rPr>
                <w:sz w:val="20"/>
                <w:szCs w:val="20"/>
                <w:color w:val="auto"/>
              </w:rPr>
            </w:pPr>
            <w:r>
              <w:rPr>
                <w:rFonts w:ascii="Arial" w:cs="Arial" w:eastAsia="Arial" w:hAnsi="Arial"/>
                <w:sz w:val="13"/>
                <w:szCs w:val="13"/>
                <w:b w:val="1"/>
                <w:bCs w:val="1"/>
                <w:color w:val="auto"/>
              </w:rPr>
              <w:t>(Dollars in millions)</w:t>
            </w:r>
          </w:p>
        </w:tc>
        <w:tc>
          <w:tcPr>
            <w:tcW w:w="1220" w:type="dxa"/>
            <w:vAlign w:val="bottom"/>
          </w:tcPr>
          <w:p>
            <w:pPr>
              <w:spacing w:after="0"/>
              <w:rPr>
                <w:sz w:val="15"/>
                <w:szCs w:val="15"/>
                <w:color w:val="auto"/>
              </w:rPr>
            </w:pPr>
          </w:p>
        </w:tc>
      </w:tr>
      <w:tr>
        <w:trPr>
          <w:trHeight w:val="259"/>
        </w:trPr>
        <w:tc>
          <w:tcPr>
            <w:tcW w:w="6220" w:type="dxa"/>
            <w:vAlign w:val="bottom"/>
          </w:tcPr>
          <w:p>
            <w:pPr>
              <w:ind w:left="40"/>
              <w:spacing w:after="0"/>
              <w:rPr>
                <w:sz w:val="20"/>
                <w:szCs w:val="20"/>
                <w:color w:val="auto"/>
              </w:rPr>
            </w:pPr>
            <w:r>
              <w:rPr>
                <w:rFonts w:ascii="Arial" w:cs="Arial" w:eastAsia="Arial" w:hAnsi="Arial"/>
                <w:sz w:val="18"/>
                <w:szCs w:val="18"/>
                <w:color w:val="auto"/>
              </w:rPr>
              <w:t>Net sales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52"/>
              <w:spacing w:after="0"/>
              <w:rPr>
                <w:sz w:val="20"/>
                <w:szCs w:val="20"/>
                <w:color w:val="auto"/>
              </w:rPr>
            </w:pPr>
            <w:r>
              <w:rPr>
                <w:rFonts w:ascii="Arial" w:cs="Arial" w:eastAsia="Arial" w:hAnsi="Arial"/>
                <w:sz w:val="18"/>
                <w:szCs w:val="18"/>
                <w:color w:val="auto"/>
              </w:rPr>
              <w:t>100.7</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55"/>
              <w:spacing w:after="0"/>
              <w:rPr>
                <w:sz w:val="20"/>
                <w:szCs w:val="20"/>
                <w:color w:val="auto"/>
              </w:rPr>
            </w:pPr>
            <w:r>
              <w:rPr>
                <w:rFonts w:ascii="Arial" w:cs="Arial" w:eastAsia="Arial" w:hAnsi="Arial"/>
                <w:sz w:val="18"/>
                <w:szCs w:val="18"/>
                <w:color w:val="auto"/>
              </w:rPr>
              <w:t>116.7</w:t>
            </w:r>
          </w:p>
        </w:tc>
        <w:tc>
          <w:tcPr>
            <w:tcW w:w="12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(16.0)</w:t>
            </w:r>
          </w:p>
        </w:tc>
        <w:tc>
          <w:tcPr>
            <w:tcW w:w="1220" w:type="dxa"/>
            <w:vAlign w:val="bottom"/>
          </w:tcPr>
          <w:p>
            <w:pPr>
              <w:jc w:val="center"/>
              <w:ind w:left="33"/>
              <w:spacing w:after="0"/>
              <w:rPr>
                <w:sz w:val="20"/>
                <w:szCs w:val="20"/>
                <w:color w:val="auto"/>
              </w:rPr>
            </w:pPr>
            <w:r>
              <w:rPr>
                <w:rFonts w:ascii="Arial" w:cs="Arial" w:eastAsia="Arial" w:hAnsi="Arial"/>
                <w:sz w:val="18"/>
                <w:szCs w:val="18"/>
                <w:color w:val="auto"/>
                <w:w w:val="95"/>
              </w:rPr>
              <w:t>(14)%</w:t>
            </w:r>
          </w:p>
        </w:tc>
      </w:tr>
      <w:tr>
        <w:trPr>
          <w:trHeight w:val="27"/>
        </w:trPr>
        <w:tc>
          <w:tcPr>
            <w:tcW w:w="6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 (excluding 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88.0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101.6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220" w:type="dxa"/>
            <w:vAlign w:val="bottom"/>
            <w:tcBorders>
              <w:bottom w:val="single" w:sz="8" w:color="CCEEFF"/>
            </w:tcBorders>
            <w:shd w:val="clear" w:color="auto" w:fill="CCEEFF"/>
          </w:tcPr>
          <w:p>
            <w:pPr>
              <w:jc w:val="center"/>
              <w:ind w:left="33"/>
              <w:spacing w:after="0"/>
              <w:rPr>
                <w:sz w:val="20"/>
                <w:szCs w:val="20"/>
                <w:color w:val="auto"/>
              </w:rPr>
            </w:pPr>
            <w:r>
              <w:rPr>
                <w:rFonts w:ascii="Arial" w:cs="Arial" w:eastAsia="Arial" w:hAnsi="Arial"/>
                <w:sz w:val="18"/>
                <w:szCs w:val="18"/>
                <w:color w:val="auto"/>
                <w:w w:val="94"/>
              </w:rPr>
              <w:t>13%</w:t>
            </w:r>
          </w:p>
        </w:tc>
      </w:tr>
      <w:tr>
        <w:trPr>
          <w:trHeight w:val="243"/>
        </w:trPr>
        <w:tc>
          <w:tcPr>
            <w:tcW w:w="622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Pr>
          <w:p>
            <w:pPr>
              <w:spacing w:after="0"/>
              <w:rPr>
                <w:sz w:val="21"/>
                <w:szCs w:val="21"/>
                <w:color w:val="auto"/>
              </w:rPr>
            </w:pPr>
          </w:p>
        </w:tc>
        <w:tc>
          <w:tcPr>
            <w:tcW w:w="940" w:type="dxa"/>
            <w:vAlign w:val="bottom"/>
          </w:tcPr>
          <w:p>
            <w:pPr>
              <w:jc w:val="right"/>
              <w:ind w:right="152"/>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55"/>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(0.6)</w:t>
            </w:r>
          </w:p>
        </w:tc>
        <w:tc>
          <w:tcPr>
            <w:tcW w:w="1220" w:type="dxa"/>
            <w:vAlign w:val="bottom"/>
          </w:tcPr>
          <w:p>
            <w:pPr>
              <w:jc w:val="center"/>
              <w:ind w:left="13"/>
              <w:spacing w:after="0"/>
              <w:rPr>
                <w:sz w:val="20"/>
                <w:szCs w:val="20"/>
                <w:color w:val="auto"/>
              </w:rPr>
            </w:pPr>
            <w:r>
              <w:rPr>
                <w:rFonts w:ascii="Arial" w:cs="Arial" w:eastAsia="Arial" w:hAnsi="Arial"/>
                <w:sz w:val="18"/>
                <w:szCs w:val="18"/>
                <w:color w:val="auto"/>
                <w:w w:val="92"/>
              </w:rPr>
              <w:t>6%</w:t>
            </w:r>
          </w:p>
        </w:tc>
      </w:tr>
      <w:tr>
        <w:trPr>
          <w:trHeight w:val="27"/>
        </w:trPr>
        <w:tc>
          <w:tcPr>
            <w:tcW w:w="6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charges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0.2</w:t>
            </w:r>
          </w:p>
        </w:tc>
        <w:tc>
          <w:tcPr>
            <w:tcW w:w="1220" w:type="dxa"/>
            <w:vAlign w:val="bottom"/>
            <w:tcBorders>
              <w:bottom w:val="single" w:sz="8" w:color="CCEEFF"/>
            </w:tcBorders>
            <w:shd w:val="clear" w:color="auto" w:fill="CCEEFF"/>
          </w:tcPr>
          <w:p>
            <w:pPr>
              <w:jc w:val="center"/>
              <w:ind w:left="33"/>
              <w:spacing w:after="0"/>
              <w:rPr>
                <w:sz w:val="20"/>
                <w:szCs w:val="20"/>
                <w:color w:val="auto"/>
              </w:rPr>
            </w:pPr>
            <w:r>
              <w:rPr>
                <w:rFonts w:ascii="Arial" w:cs="Arial" w:eastAsia="Arial" w:hAnsi="Arial"/>
                <w:sz w:val="18"/>
                <w:szCs w:val="18"/>
                <w:color w:val="auto"/>
                <w:w w:val="92"/>
              </w:rPr>
              <w:t>(100)%</w:t>
            </w:r>
          </w:p>
        </w:tc>
      </w:tr>
      <w:tr>
        <w:trPr>
          <w:trHeight w:val="243"/>
        </w:trPr>
        <w:tc>
          <w:tcPr>
            <w:tcW w:w="622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1"/>
                <w:szCs w:val="21"/>
                <w:color w:val="auto"/>
              </w:rPr>
            </w:pPr>
          </w:p>
        </w:tc>
        <w:tc>
          <w:tcPr>
            <w:tcW w:w="940" w:type="dxa"/>
            <w:vAlign w:val="bottom"/>
          </w:tcPr>
          <w:p>
            <w:pPr>
              <w:jc w:val="right"/>
              <w:ind w:right="152"/>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55"/>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0.3</w:t>
            </w:r>
          </w:p>
        </w:tc>
        <w:tc>
          <w:tcPr>
            <w:tcW w:w="1220" w:type="dxa"/>
            <w:vAlign w:val="bottom"/>
          </w:tcPr>
          <w:p>
            <w:pPr>
              <w:jc w:val="center"/>
              <w:ind w:left="13"/>
              <w:spacing w:after="0"/>
              <w:rPr>
                <w:sz w:val="20"/>
                <w:szCs w:val="20"/>
                <w:color w:val="auto"/>
              </w:rPr>
            </w:pPr>
            <w:r>
              <w:rPr>
                <w:rFonts w:ascii="Arial" w:cs="Arial" w:eastAsia="Arial" w:hAnsi="Arial"/>
                <w:sz w:val="18"/>
                <w:szCs w:val="18"/>
                <w:color w:val="auto"/>
                <w:w w:val="94"/>
              </w:rPr>
              <w:t>(5)%</w:t>
            </w:r>
          </w:p>
        </w:tc>
      </w:tr>
      <w:tr>
        <w:trPr>
          <w:trHeight w:val="27"/>
        </w:trPr>
        <w:tc>
          <w:tcPr>
            <w:tcW w:w="6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 impairment charges</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30.0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220" w:type="dxa"/>
            <w:vAlign w:val="bottom"/>
            <w:tcBorders>
              <w:bottom w:val="single" w:sz="8" w:color="CCEEFF"/>
            </w:tcBorders>
            <w:shd w:val="clear" w:color="auto" w:fill="CCEEFF"/>
          </w:tcPr>
          <w:p>
            <w:pPr>
              <w:jc w:val="center"/>
              <w:ind w:left="33"/>
              <w:spacing w:after="0"/>
              <w:rPr>
                <w:sz w:val="20"/>
                <w:szCs w:val="20"/>
                <w:color w:val="auto"/>
              </w:rPr>
            </w:pPr>
            <w:r>
              <w:rPr>
                <w:rFonts w:ascii="Arial" w:cs="Arial" w:eastAsia="Arial" w:hAnsi="Arial"/>
                <w:sz w:val="18"/>
                <w:szCs w:val="18"/>
                <w:color w:val="auto"/>
                <w:w w:val="91"/>
              </w:rPr>
              <w:t>100%</w:t>
            </w:r>
          </w:p>
        </w:tc>
      </w:tr>
      <w:tr>
        <w:trPr>
          <w:trHeight w:val="297"/>
        </w:trPr>
        <w:tc>
          <w:tcPr>
            <w:tcW w:w="62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Operating loss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8"/>
                <w:szCs w:val="18"/>
                <w:color w:val="auto"/>
              </w:rPr>
              <w:t>(30.9)</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27.7</w:t>
            </w:r>
          </w:p>
        </w:tc>
        <w:tc>
          <w:tcPr>
            <w:tcW w:w="1220" w:type="dxa"/>
            <w:vAlign w:val="bottom"/>
            <w:tcBorders>
              <w:bottom w:val="single" w:sz="8" w:color="CCEEFF"/>
            </w:tcBorders>
          </w:tcPr>
          <w:p>
            <w:pPr>
              <w:jc w:val="center"/>
              <w:ind w:left="33"/>
              <w:spacing w:after="0"/>
              <w:rPr>
                <w:sz w:val="20"/>
                <w:szCs w:val="20"/>
                <w:color w:val="auto"/>
              </w:rPr>
            </w:pPr>
            <w:r>
              <w:rPr>
                <w:rFonts w:ascii="Arial" w:cs="Arial" w:eastAsia="Arial" w:hAnsi="Arial"/>
                <w:sz w:val="18"/>
                <w:szCs w:val="18"/>
                <w:color w:val="auto"/>
                <w:w w:val="94"/>
              </w:rPr>
              <w:t>90%</w:t>
            </w:r>
          </w:p>
        </w:tc>
      </w:tr>
      <w:tr>
        <w:trPr>
          <w:trHeight w:val="230"/>
        </w:trPr>
        <w:tc>
          <w:tcPr>
            <w:tcW w:w="6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loss margin</w:t>
            </w: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7"/>
        </w:trPr>
        <w:tc>
          <w:tcPr>
            <w:tcW w:w="62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121"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i w:val="1"/>
          <w:iCs w:val="1"/>
          <w:color w:val="auto"/>
        </w:rPr>
        <w:t>Net Sales</w:t>
      </w:r>
      <w:r>
        <w:rPr>
          <w:rFonts w:ascii="Arial" w:cs="Arial" w:eastAsia="Arial" w:hAnsi="Arial"/>
          <w:sz w:val="18"/>
          <w:szCs w:val="18"/>
          <w:color w:val="auto"/>
        </w:rPr>
        <w:t>. Net sales decreased $16.0 million, or 14%, for the six months ended April 30, 2020 compared to the same period in 2019. Approximately</w:t>
      </w:r>
      <w:r>
        <w:rPr>
          <w:rFonts w:ascii="Arial" w:cs="Arial" w:eastAsia="Arial" w:hAnsi="Arial"/>
          <w:sz w:val="18"/>
          <w:szCs w:val="18"/>
          <w:i w:val="1"/>
          <w:iCs w:val="1"/>
          <w:color w:val="auto"/>
        </w:rPr>
        <w:t xml:space="preserve"> </w:t>
      </w:r>
      <w:r>
        <w:rPr>
          <w:rFonts w:ascii="Arial" w:cs="Arial" w:eastAsia="Arial" w:hAnsi="Arial"/>
          <w:sz w:val="18"/>
          <w:szCs w:val="18"/>
          <w:color w:val="auto"/>
        </w:rPr>
        <w:t>$13.5 million of the decrease in sales was due to lower volume related to customer strategic shifts and the impacts of COVID-19. Raw materials surcharges and price declines reduced sales by an additional $2.5 million.</w:t>
      </w:r>
    </w:p>
    <w:p>
      <w:pPr>
        <w:spacing w:after="0" w:line="103"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i w:val="1"/>
          <w:iCs w:val="1"/>
          <w:color w:val="auto"/>
        </w:rPr>
        <w:t>Cost of Sales</w:t>
      </w:r>
      <w:r>
        <w:rPr>
          <w:rFonts w:ascii="Arial" w:cs="Arial" w:eastAsia="Arial" w:hAnsi="Arial"/>
          <w:sz w:val="17"/>
          <w:szCs w:val="17"/>
          <w:color w:val="auto"/>
        </w:rPr>
        <w:t>. Cost of sales decreased $13.6 million, or 13%, for the six months ended April 30, 2020 compared with the same period in 2019 as a</w:t>
      </w:r>
      <w:r>
        <w:rPr>
          <w:rFonts w:ascii="Arial" w:cs="Arial" w:eastAsia="Arial" w:hAnsi="Arial"/>
          <w:sz w:val="17"/>
          <w:szCs w:val="17"/>
          <w:i w:val="1"/>
          <w:iCs w:val="1"/>
          <w:color w:val="auto"/>
        </w:rPr>
        <w:t xml:space="preserve"> </w:t>
      </w:r>
      <w:r>
        <w:rPr>
          <w:rFonts w:ascii="Arial" w:cs="Arial" w:eastAsia="Arial" w:hAnsi="Arial"/>
          <w:sz w:val="17"/>
          <w:szCs w:val="17"/>
          <w:color w:val="auto"/>
        </w:rPr>
        <w:t>result of lower volume, including a corresponding decrease in selling expenses as a result of the impacts of COVID-19 as mentioned above.</w:t>
      </w:r>
    </w:p>
    <w:p>
      <w:pPr>
        <w:spacing w:after="0" w:line="6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i w:val="1"/>
          <w:iCs w:val="1"/>
          <w:color w:val="auto"/>
        </w:rPr>
        <w:t>Selling, General and Administrative</w:t>
      </w:r>
      <w:r>
        <w:rPr>
          <w:rFonts w:ascii="Arial" w:cs="Arial" w:eastAsia="Arial" w:hAnsi="Arial"/>
          <w:sz w:val="18"/>
          <w:szCs w:val="18"/>
          <w:color w:val="auto"/>
        </w:rPr>
        <w:t>. Selling, general and administrative expense decreased $0.6 million, or 6%, for the six months ended April 30,</w:t>
      </w:r>
      <w:r>
        <w:rPr>
          <w:rFonts w:ascii="Arial" w:cs="Arial" w:eastAsia="Arial" w:hAnsi="Arial"/>
          <w:sz w:val="18"/>
          <w:szCs w:val="18"/>
          <w:i w:val="1"/>
          <w:iCs w:val="1"/>
          <w:color w:val="auto"/>
        </w:rPr>
        <w:t xml:space="preserve"> </w:t>
      </w:r>
      <w:r>
        <w:rPr>
          <w:rFonts w:ascii="Arial" w:cs="Arial" w:eastAsia="Arial" w:hAnsi="Arial"/>
          <w:sz w:val="18"/>
          <w:szCs w:val="18"/>
          <w:color w:val="auto"/>
        </w:rPr>
        <w:t>2020 compared to the same period in 2019, largely driven by lower compensation expense.</w:t>
      </w:r>
    </w:p>
    <w:p>
      <w:pPr>
        <w:spacing w:after="0" w:line="89"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i w:val="1"/>
          <w:iCs w:val="1"/>
          <w:color w:val="auto"/>
        </w:rPr>
        <w:t>Restructuring Charges</w:t>
      </w:r>
      <w:r>
        <w:rPr>
          <w:rFonts w:ascii="Arial" w:cs="Arial" w:eastAsia="Arial" w:hAnsi="Arial"/>
          <w:sz w:val="18"/>
          <w:szCs w:val="18"/>
          <w:color w:val="auto"/>
        </w:rPr>
        <w:t>. Restructuring charges of $0.2 million in the six months ended April 30, 2020 related to severance, equipment moving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other charges incurred for a plant closure as further described in Note 1, "Nature of Operations and Basis of Presentation </w:t>
      </w:r>
      <w:r>
        <w:rPr>
          <w:rFonts w:ascii="Arial" w:cs="Arial" w:eastAsia="Arial" w:hAnsi="Arial"/>
          <w:sz w:val="18"/>
          <w:szCs w:val="18"/>
          <w:i w:val="1"/>
          <w:iCs w:val="1"/>
          <w:color w:val="auto"/>
        </w:rPr>
        <w:t>- Restructuring</w:t>
      </w:r>
      <w:r>
        <w:rPr>
          <w:rFonts w:ascii="Arial" w:cs="Arial" w:eastAsia="Arial" w:hAnsi="Arial"/>
          <w:sz w:val="18"/>
          <w:szCs w:val="18"/>
          <w:color w:val="auto"/>
        </w:rPr>
        <w:t>" to the accompanying unaudited condensed consolidated financial statements contained elsewhere herein.</w:t>
      </w:r>
    </w:p>
    <w:p>
      <w:pPr>
        <w:spacing w:after="0" w:line="10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i w:val="1"/>
          <w:iCs w:val="1"/>
          <w:color w:val="auto"/>
        </w:rPr>
        <w:t xml:space="preserve">Asset impairment charges. </w:t>
      </w:r>
      <w:r>
        <w:rPr>
          <w:rFonts w:ascii="Arial" w:cs="Arial" w:eastAsia="Arial" w:hAnsi="Arial"/>
          <w:sz w:val="18"/>
          <w:szCs w:val="18"/>
          <w:color w:val="auto"/>
        </w:rPr>
        <w:t>Asset impairment charges of $30.0 million for the six months ended April 30, 2019 represent a goodwill impairment</w:t>
      </w:r>
      <w:r>
        <w:rPr>
          <w:rFonts w:ascii="Arial" w:cs="Arial" w:eastAsia="Arial" w:hAnsi="Arial"/>
          <w:sz w:val="18"/>
          <w:szCs w:val="18"/>
          <w:i w:val="1"/>
          <w:iCs w:val="1"/>
          <w:color w:val="auto"/>
        </w:rPr>
        <w:t xml:space="preserve"> </w:t>
      </w:r>
      <w:r>
        <w:rPr>
          <w:rFonts w:ascii="Arial" w:cs="Arial" w:eastAsia="Arial" w:hAnsi="Arial"/>
          <w:sz w:val="18"/>
          <w:szCs w:val="18"/>
          <w:color w:val="auto"/>
        </w:rPr>
        <w:t>which was recorded as a result of an industry-wide shift from custom cabinets to stock cabinets.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Unallocated Corporate &amp; Other</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0" w:type="dxa"/>
            <w:vAlign w:val="bottom"/>
            <w:gridSpan w:val="4"/>
          </w:tcPr>
          <w:p>
            <w:pPr>
              <w:jc w:val="right"/>
              <w:ind w:right="134"/>
              <w:spacing w:after="0"/>
              <w:rPr>
                <w:sz w:val="20"/>
                <w:szCs w:val="20"/>
                <w:color w:val="auto"/>
              </w:rPr>
            </w:pPr>
            <w:r>
              <w:rPr>
                <w:rFonts w:ascii="Arial" w:cs="Arial" w:eastAsia="Arial" w:hAnsi="Arial"/>
                <w:sz w:val="16"/>
                <w:szCs w:val="16"/>
                <w:b w:val="1"/>
                <w:bCs w:val="1"/>
                <w:color w:val="auto"/>
                <w:w w:val="94"/>
              </w:rPr>
              <w:t>Six Months Ended April 30,</w:t>
            </w:r>
          </w:p>
        </w:tc>
        <w:tc>
          <w:tcPr>
            <w:tcW w:w="1220" w:type="dxa"/>
            <w:vAlign w:val="bottom"/>
          </w:tcPr>
          <w:p>
            <w:pPr>
              <w:spacing w:after="0"/>
              <w:rPr>
                <w:sz w:val="18"/>
                <w:szCs w:val="18"/>
                <w:color w:val="auto"/>
              </w:rPr>
            </w:pPr>
          </w:p>
        </w:tc>
      </w:tr>
      <w:tr>
        <w:trPr>
          <w:trHeight w:val="33"/>
        </w:trPr>
        <w:tc>
          <w:tcPr>
            <w:tcW w:w="642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8"/>
        </w:trPr>
        <w:tc>
          <w:tcPr>
            <w:tcW w:w="6420" w:type="dxa"/>
            <w:vAlign w:val="bottom"/>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14"/>
              <w:spacing w:after="0"/>
              <w:rPr>
                <w:sz w:val="20"/>
                <w:szCs w:val="20"/>
                <w:color w:val="auto"/>
              </w:rPr>
            </w:pPr>
            <w:r>
              <w:rPr>
                <w:rFonts w:ascii="Arial" w:cs="Arial" w:eastAsia="Arial" w:hAnsi="Arial"/>
                <w:sz w:val="13"/>
                <w:szCs w:val="13"/>
                <w:b w:val="1"/>
                <w:bCs w:val="1"/>
                <w:color w:val="auto"/>
              </w:rPr>
              <w:t>$ Change</w:t>
            </w:r>
          </w:p>
        </w:tc>
        <w:tc>
          <w:tcPr>
            <w:tcW w:w="1220" w:type="dxa"/>
            <w:vAlign w:val="bottom"/>
            <w:tcBorders>
              <w:bottom w:val="single" w:sz="8" w:color="auto"/>
            </w:tcBorders>
          </w:tcPr>
          <w:p>
            <w:pPr>
              <w:ind w:left="320"/>
              <w:spacing w:after="0"/>
              <w:rPr>
                <w:sz w:val="20"/>
                <w:szCs w:val="20"/>
                <w:color w:val="auto"/>
              </w:rPr>
            </w:pPr>
            <w:r>
              <w:rPr>
                <w:rFonts w:ascii="Arial" w:cs="Arial" w:eastAsia="Arial" w:hAnsi="Arial"/>
                <w:sz w:val="13"/>
                <w:szCs w:val="13"/>
                <w:b w:val="1"/>
                <w:bCs w:val="1"/>
                <w:color w:val="auto"/>
              </w:rPr>
              <w:t>Variance %</w:t>
            </w:r>
          </w:p>
        </w:tc>
      </w:tr>
      <w:tr>
        <w:trPr>
          <w:trHeight w:val="173"/>
        </w:trPr>
        <w:tc>
          <w:tcPr>
            <w:tcW w:w="6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0" w:type="dxa"/>
            <w:vAlign w:val="bottom"/>
            <w:gridSpan w:val="4"/>
          </w:tcPr>
          <w:p>
            <w:pPr>
              <w:jc w:val="right"/>
              <w:ind w:right="554"/>
              <w:spacing w:after="0"/>
              <w:rPr>
                <w:sz w:val="20"/>
                <w:szCs w:val="20"/>
                <w:color w:val="auto"/>
              </w:rPr>
            </w:pPr>
            <w:r>
              <w:rPr>
                <w:rFonts w:ascii="Arial" w:cs="Arial" w:eastAsia="Arial" w:hAnsi="Arial"/>
                <w:sz w:val="13"/>
                <w:szCs w:val="13"/>
                <w:b w:val="1"/>
                <w:bCs w:val="1"/>
                <w:color w:val="auto"/>
              </w:rPr>
              <w:t>(Dollars in millions)</w:t>
            </w:r>
          </w:p>
        </w:tc>
        <w:tc>
          <w:tcPr>
            <w:tcW w:w="1220" w:type="dxa"/>
            <w:vAlign w:val="bottom"/>
          </w:tcPr>
          <w:p>
            <w:pPr>
              <w:spacing w:after="0"/>
              <w:rPr>
                <w:sz w:val="15"/>
                <w:szCs w:val="15"/>
                <w:color w:val="auto"/>
              </w:rPr>
            </w:pPr>
          </w:p>
        </w:tc>
      </w:tr>
      <w:tr>
        <w:trPr>
          <w:trHeight w:val="259"/>
        </w:trPr>
        <w:tc>
          <w:tcPr>
            <w:tcW w:w="6420" w:type="dxa"/>
            <w:vAlign w:val="bottom"/>
          </w:tcPr>
          <w:p>
            <w:pPr>
              <w:ind w:left="40"/>
              <w:spacing w:after="0"/>
              <w:rPr>
                <w:sz w:val="20"/>
                <w:szCs w:val="20"/>
                <w:color w:val="auto"/>
              </w:rPr>
            </w:pPr>
            <w:r>
              <w:rPr>
                <w:rFonts w:ascii="Arial" w:cs="Arial" w:eastAsia="Arial" w:hAnsi="Arial"/>
                <w:sz w:val="18"/>
                <w:szCs w:val="18"/>
                <w:color w:val="auto"/>
              </w:rPr>
              <w:t>Net sales</w:t>
            </w:r>
          </w:p>
        </w:tc>
        <w:tc>
          <w:tcPr>
            <w:tcW w:w="720" w:type="dxa"/>
            <w:vAlign w:val="bottom"/>
          </w:tcPr>
          <w:p>
            <w:pPr>
              <w:jc w:val="right"/>
              <w:ind w:right="516"/>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91"/>
              </w:rPr>
              <w:t>(1.6)</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2"/>
                <w:szCs w:val="22"/>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1.4</w:t>
            </w:r>
          </w:p>
        </w:tc>
        <w:tc>
          <w:tcPr>
            <w:tcW w:w="1220" w:type="dxa"/>
            <w:vAlign w:val="bottom"/>
          </w:tcPr>
          <w:p>
            <w:pPr>
              <w:jc w:val="center"/>
              <w:ind w:left="14"/>
              <w:spacing w:after="0"/>
              <w:rPr>
                <w:sz w:val="20"/>
                <w:szCs w:val="20"/>
                <w:color w:val="auto"/>
              </w:rPr>
            </w:pPr>
            <w:r>
              <w:rPr>
                <w:rFonts w:ascii="Arial" w:cs="Arial" w:eastAsia="Arial" w:hAnsi="Arial"/>
                <w:sz w:val="18"/>
                <w:szCs w:val="18"/>
                <w:color w:val="auto"/>
                <w:w w:val="88"/>
              </w:rPr>
              <w:t>47%</w:t>
            </w:r>
          </w:p>
        </w:tc>
      </w:tr>
      <w:tr>
        <w:trPr>
          <w:trHeight w:val="27"/>
        </w:trPr>
        <w:tc>
          <w:tcPr>
            <w:tcW w:w="6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 (excluding depreciation and amortization)</w:t>
            </w:r>
          </w:p>
        </w:tc>
        <w:tc>
          <w:tcPr>
            <w:tcW w:w="7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w:t>
            </w:r>
          </w:p>
        </w:tc>
        <w:tc>
          <w:tcPr>
            <w:tcW w:w="1220" w:type="dxa"/>
            <w:vAlign w:val="bottom"/>
            <w:tcBorders>
              <w:bottom w:val="single" w:sz="8" w:color="CCEEFF"/>
            </w:tcBorders>
            <w:shd w:val="clear" w:color="auto" w:fill="CCEEFF"/>
          </w:tcPr>
          <w:p>
            <w:pPr>
              <w:jc w:val="center"/>
              <w:ind w:left="14"/>
              <w:spacing w:after="0"/>
              <w:rPr>
                <w:sz w:val="20"/>
                <w:szCs w:val="20"/>
                <w:color w:val="auto"/>
              </w:rPr>
            </w:pPr>
            <w:r>
              <w:rPr>
                <w:rFonts w:ascii="Arial" w:cs="Arial" w:eastAsia="Arial" w:hAnsi="Arial"/>
                <w:sz w:val="18"/>
                <w:szCs w:val="18"/>
                <w:color w:val="auto"/>
                <w:w w:val="91"/>
              </w:rPr>
              <w:t>(65)%</w:t>
            </w:r>
          </w:p>
        </w:tc>
      </w:tr>
      <w:tr>
        <w:trPr>
          <w:trHeight w:val="243"/>
        </w:trPr>
        <w:tc>
          <w:tcPr>
            <w:tcW w:w="642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7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1"/>
              </w:rPr>
              <w:t>(2.3)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7"/>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(7.9)</w:t>
            </w:r>
          </w:p>
        </w:tc>
        <w:tc>
          <w:tcPr>
            <w:tcW w:w="1220" w:type="dxa"/>
            <w:vAlign w:val="bottom"/>
          </w:tcPr>
          <w:p>
            <w:pPr>
              <w:jc w:val="center"/>
              <w:spacing w:after="0"/>
              <w:rPr>
                <w:sz w:val="20"/>
                <w:szCs w:val="20"/>
                <w:color w:val="auto"/>
              </w:rPr>
            </w:pPr>
            <w:r>
              <w:rPr>
                <w:rFonts w:ascii="Arial" w:cs="Arial" w:eastAsia="Arial" w:hAnsi="Arial"/>
                <w:sz w:val="18"/>
                <w:szCs w:val="18"/>
                <w:color w:val="auto"/>
                <w:w w:val="91"/>
              </w:rPr>
              <w:t>141%</w:t>
            </w:r>
          </w:p>
        </w:tc>
      </w:tr>
      <w:tr>
        <w:trPr>
          <w:trHeight w:val="27"/>
        </w:trPr>
        <w:tc>
          <w:tcPr>
            <w:tcW w:w="6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7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center"/>
              <w:ind w:left="14"/>
              <w:spacing w:after="0"/>
              <w:rPr>
                <w:sz w:val="20"/>
                <w:szCs w:val="20"/>
                <w:color w:val="auto"/>
              </w:rPr>
            </w:pPr>
            <w:r>
              <w:rPr>
                <w:rFonts w:ascii="Arial" w:cs="Arial" w:eastAsia="Arial" w:hAnsi="Arial"/>
                <w:sz w:val="18"/>
                <w:szCs w:val="18"/>
                <w:color w:val="auto"/>
                <w:w w:val="93"/>
              </w:rPr>
              <w:t>—%</w:t>
            </w:r>
          </w:p>
        </w:tc>
      </w:tr>
      <w:tr>
        <w:trPr>
          <w:trHeight w:val="257"/>
        </w:trPr>
        <w:tc>
          <w:tcPr>
            <w:tcW w:w="6420" w:type="dxa"/>
            <w:vAlign w:val="bottom"/>
          </w:tcPr>
          <w:p>
            <w:pPr>
              <w:ind w:left="40"/>
              <w:spacing w:after="0"/>
              <w:rPr>
                <w:sz w:val="20"/>
                <w:szCs w:val="20"/>
                <w:color w:val="auto"/>
              </w:rPr>
            </w:pPr>
            <w:r>
              <w:rPr>
                <w:rFonts w:ascii="Arial" w:cs="Arial" w:eastAsia="Arial" w:hAnsi="Arial"/>
                <w:sz w:val="18"/>
                <w:szCs w:val="18"/>
                <w:color w:val="auto"/>
              </w:rPr>
              <w:t>Operating income (loss)</w:t>
            </w:r>
          </w:p>
        </w:tc>
        <w:tc>
          <w:tcPr>
            <w:tcW w:w="72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7.8</w:t>
            </w:r>
          </w:p>
        </w:tc>
        <w:tc>
          <w:tcPr>
            <w:tcW w:w="1220" w:type="dxa"/>
            <w:vAlign w:val="bottom"/>
          </w:tcPr>
          <w:p>
            <w:pPr>
              <w:jc w:val="center"/>
              <w:ind w:left="14"/>
              <w:spacing w:after="0"/>
              <w:rPr>
                <w:sz w:val="20"/>
                <w:szCs w:val="20"/>
                <w:color w:val="auto"/>
              </w:rPr>
            </w:pPr>
            <w:r>
              <w:rPr>
                <w:rFonts w:ascii="Arial" w:cs="Arial" w:eastAsia="Arial" w:hAnsi="Arial"/>
                <w:sz w:val="18"/>
                <w:szCs w:val="18"/>
                <w:color w:val="auto"/>
                <w:w w:val="86"/>
              </w:rPr>
              <w:t>118%</w:t>
            </w:r>
          </w:p>
        </w:tc>
      </w:tr>
      <w:tr>
        <w:trPr>
          <w:trHeight w:val="20"/>
        </w:trPr>
        <w:tc>
          <w:tcPr>
            <w:tcW w:w="64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6"/>
          <w:szCs w:val="16"/>
          <w:i w:val="1"/>
          <w:iCs w:val="1"/>
          <w:color w:val="auto"/>
        </w:rPr>
        <w:t>Net Sales</w:t>
      </w:r>
      <w:r>
        <w:rPr>
          <w:rFonts w:ascii="Arial" w:cs="Arial" w:eastAsia="Arial" w:hAnsi="Arial"/>
          <w:sz w:val="16"/>
          <w:szCs w:val="16"/>
          <w:color w:val="auto"/>
        </w:rPr>
        <w:t>. Net sales for Unallocated Corporate &amp; Other represents the elimination of inter-segment sales for the six months ended April 30, 2020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2019.</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6"/>
          <w:szCs w:val="16"/>
          <w:i w:val="1"/>
          <w:iCs w:val="1"/>
          <w:color w:val="auto"/>
        </w:rPr>
        <w:t>Cost of Sales</w:t>
      </w:r>
      <w:r>
        <w:rPr>
          <w:rFonts w:ascii="Arial" w:cs="Arial" w:eastAsia="Arial" w:hAnsi="Arial"/>
          <w:sz w:val="16"/>
          <w:szCs w:val="16"/>
          <w:color w:val="auto"/>
        </w:rPr>
        <w:t>. Cost of sales for Unallocated Corporate &amp; Other consists of the elimination of inter-segment sales, profit in inventory, and other costs.</w:t>
      </w:r>
    </w:p>
    <w:p>
      <w:pPr>
        <w:spacing w:after="0" w:line="19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i w:val="1"/>
          <w:iCs w:val="1"/>
          <w:color w:val="auto"/>
        </w:rPr>
        <w:t>Selling, General and Administrative</w:t>
      </w:r>
      <w:r>
        <w:rPr>
          <w:rFonts w:ascii="Arial" w:cs="Arial" w:eastAsia="Arial" w:hAnsi="Arial"/>
          <w:sz w:val="18"/>
          <w:szCs w:val="18"/>
          <w:color w:val="auto"/>
        </w:rPr>
        <w:t>. Selling, general and administrative expenses decreased $7.9 million for the six months ended April 30, 2020</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same period in 2019. This decrease is attributable to (i) $3.9 million of lower medical expenses due to a lower claims experience during the six months ended April 30, 2020 as compared to the prior year period, (ii) $3.3 million of lower compensation expense related to the valuations of our stock based compensation awards and reductions in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incentive accruals, and (iii) lower transaction costs of $0.9 million. The overall decrease was partially offset by higher executive severance expense of $0.2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related to Non-Operating Items:</w:t>
      </w:r>
    </w:p>
    <w:p>
      <w:pPr>
        <w:spacing w:after="0" w:line="21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Interest expense decreased $1.9 million for the six months ended April 30, 2020 compared to the same period in 2019 as a result of</w:t>
      </w:r>
      <w:r>
        <w:rPr>
          <w:rFonts w:ascii="Arial" w:cs="Arial" w:eastAsia="Arial" w:hAnsi="Arial"/>
          <w:sz w:val="18"/>
          <w:szCs w:val="18"/>
          <w:i w:val="1"/>
          <w:iCs w:val="1"/>
          <w:color w:val="auto"/>
        </w:rPr>
        <w:t xml:space="preserve"> </w:t>
      </w:r>
      <w:r>
        <w:rPr>
          <w:rFonts w:ascii="Arial" w:cs="Arial" w:eastAsia="Arial" w:hAnsi="Arial"/>
          <w:sz w:val="18"/>
          <w:szCs w:val="18"/>
          <w:color w:val="auto"/>
        </w:rPr>
        <w:t>lower interest rates.</w:t>
      </w:r>
    </w:p>
    <w:p>
      <w:pPr>
        <w:spacing w:after="0" w:line="11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i w:val="1"/>
          <w:iCs w:val="1"/>
          <w:color w:val="auto"/>
        </w:rPr>
        <w:t>Other, net</w:t>
      </w:r>
      <w:r>
        <w:rPr>
          <w:rFonts w:ascii="Arial" w:cs="Arial" w:eastAsia="Arial" w:hAnsi="Arial"/>
          <w:sz w:val="18"/>
          <w:szCs w:val="18"/>
          <w:color w:val="auto"/>
        </w:rPr>
        <w:t>. The increase in other, net of $0.1 million at April 30, 2020 compared to the same period in 2019 relates primarily to an increase in net</w:t>
      </w:r>
      <w:r>
        <w:rPr>
          <w:rFonts w:ascii="Arial" w:cs="Arial" w:eastAsia="Arial" w:hAnsi="Arial"/>
          <w:sz w:val="18"/>
          <w:szCs w:val="18"/>
          <w:i w:val="1"/>
          <w:iCs w:val="1"/>
          <w:color w:val="auto"/>
        </w:rPr>
        <w:t xml:space="preserve"> </w:t>
      </w:r>
      <w:r>
        <w:rPr>
          <w:rFonts w:ascii="Arial" w:cs="Arial" w:eastAsia="Arial" w:hAnsi="Arial"/>
          <w:sz w:val="18"/>
          <w:szCs w:val="18"/>
          <w:color w:val="auto"/>
        </w:rPr>
        <w:t>pension service benefits.</w:t>
      </w:r>
    </w:p>
    <w:p>
      <w:pPr>
        <w:spacing w:after="0" w:line="116"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i w:val="1"/>
          <w:iCs w:val="1"/>
          <w:color w:val="auto"/>
        </w:rPr>
        <w:t>Income Taxes</w:t>
      </w:r>
      <w:r>
        <w:rPr>
          <w:rFonts w:ascii="Arial" w:cs="Arial" w:eastAsia="Arial" w:hAnsi="Arial"/>
          <w:sz w:val="17"/>
          <w:szCs w:val="17"/>
          <w:color w:val="auto"/>
        </w:rPr>
        <w:t>. We recorded income tax expense of $2.6 million on pre-tax income of $8.1 million for the six months ended April 30, 2020, an</w:t>
      </w:r>
      <w:r>
        <w:rPr>
          <w:rFonts w:ascii="Arial" w:cs="Arial" w:eastAsia="Arial" w:hAnsi="Arial"/>
          <w:sz w:val="17"/>
          <w:szCs w:val="17"/>
          <w:i w:val="1"/>
          <w:iCs w:val="1"/>
          <w:color w:val="auto"/>
        </w:rPr>
        <w:t xml:space="preserve"> </w:t>
      </w:r>
      <w:r>
        <w:rPr>
          <w:rFonts w:ascii="Arial" w:cs="Arial" w:eastAsia="Arial" w:hAnsi="Arial"/>
          <w:sz w:val="17"/>
          <w:szCs w:val="17"/>
          <w:color w:val="auto"/>
        </w:rPr>
        <w:t>effective rate of 31.7% and income tax expense of $1.0 million on a pre-tax loss of $26.7 million for the six months ended April 30, 2019, an effective rate of 3.6%. The difference in the effective rates between these periods is primarily due to the fact that a majority of the asset impairment charge in the North American Cabinet Components segment recorded during the six months ended April 30, 2019 did not generate a tax benefit.</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Historically, our principal sources of funds have been cash on hand, cash flow from operations, and borrowings under our credit facilities.</w:t>
      </w:r>
    </w:p>
    <w:p>
      <w:pPr>
        <w:spacing w:after="0" w:line="156"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We maintain a $325.0 million revolving credit facility (the Credit Facility) that matures in 2023 (5-year term) and requires interest payments calculated at a variable market rate depending upon our Consolidated Leverage Ratio. The applicable rate during the six months ended April 30, 2020 was LIBOR + 1.50%. Our cost of capital could increase depending upon the Consolidated Leverage Ratio at the end of any given quarter. In addition to the Consolidated Leverage Ratio covenant, we are required to meet a Consolidated Interest Coverage Ratio covenant, and there are limitations on certain transactions including our ability to incur indebtedness, incur liens, dispose of material assets, acquire businesses, make restricted payments and pay dividends (limited to $20.0 million per year). We are amortizing deferred financing fees of $1.1 million straight-line over the remaining term of the facility. For further details of the Credit Facility, refer to Note 5, "Debt and Finance Lease Obligations" to the accompanying unaudited condensed consolidated financial statements contained elsewhere herein.</w:t>
      </w:r>
    </w:p>
    <w:p>
      <w:pPr>
        <w:spacing w:after="0" w:line="11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As of April 30, 2020, we had $80.3 million of cash and equivalents, $216.0 million outstanding under the Credit Facility, $4.8 million of outstanding letters of credit and $15.4 million outstanding under finance leases and other debt. We had $104.2 million available for use under the Credit Facility at April 30, 2020.</w:t>
      </w:r>
    </w:p>
    <w:p>
      <w:pPr>
        <w:spacing w:after="0" w:line="103"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We repatriated $3.1 million and $5.3 million of foreign cash during the six months ended April 30, 2020 and 2019, respectively. We expect to repatriate excess cash moving forward and utilize the funds to retire debt or meet current working capital needs. Funds from operations may be impacted by softer demand and liquidity concerns of our customers as a result of COVID-19. In the U.K., we insure against a portion of our credit losses. In light of the COVID-19 pandemic, the Company has implemented a range of actions aimed at reducing costs and preserving liquidity. We believe our business model, our current cash reserves and the recent steps we have taken to strengthen our balance sheet leave us well-positioned to manage our business as a going concern and remain in compliance with our debt covenants through the COVID-19 crisis as it continues to unfold.</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Analysis of Cash Flow</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our cash flow results for the six months ended April 30, 2020 and 2019:</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60" w:type="dxa"/>
            <w:vAlign w:val="bottom"/>
            <w:gridSpan w:val="2"/>
          </w:tcPr>
          <w:p>
            <w:pPr>
              <w:jc w:val="center"/>
              <w:ind w:left="580"/>
              <w:spacing w:after="0"/>
              <w:rPr>
                <w:sz w:val="20"/>
                <w:szCs w:val="20"/>
                <w:color w:val="auto"/>
              </w:rPr>
            </w:pPr>
            <w:r>
              <w:rPr>
                <w:rFonts w:ascii="Arial" w:cs="Arial" w:eastAsia="Arial" w:hAnsi="Arial"/>
                <w:sz w:val="14"/>
                <w:szCs w:val="14"/>
                <w:b w:val="1"/>
                <w:bCs w:val="1"/>
                <w:color w:val="auto"/>
                <w:w w:val="93"/>
              </w:rPr>
              <w:t>Six Months Ended</w:t>
            </w:r>
          </w:p>
        </w:tc>
        <w:tc>
          <w:tcPr>
            <w:tcW w:w="1020" w:type="dxa"/>
            <w:vAlign w:val="bottom"/>
          </w:tcPr>
          <w:p>
            <w:pPr>
              <w:spacing w:after="0"/>
              <w:rPr>
                <w:sz w:val="16"/>
                <w:szCs w:val="16"/>
                <w:color w:val="auto"/>
              </w:rPr>
            </w:pPr>
          </w:p>
        </w:tc>
      </w:tr>
      <w:tr>
        <w:trPr>
          <w:trHeight w:val="276"/>
        </w:trPr>
        <w:tc>
          <w:tcPr>
            <w:tcW w:w="78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2"/>
          </w:tcPr>
          <w:p>
            <w:pPr>
              <w:jc w:val="center"/>
              <w:ind w:left="580"/>
              <w:spacing w:after="0"/>
              <w:rPr>
                <w:sz w:val="20"/>
                <w:szCs w:val="20"/>
                <w:color w:val="auto"/>
              </w:rPr>
            </w:pPr>
            <w:r>
              <w:rPr>
                <w:rFonts w:ascii="Arial" w:cs="Arial" w:eastAsia="Arial" w:hAnsi="Arial"/>
                <w:sz w:val="14"/>
                <w:szCs w:val="14"/>
                <w:b w:val="1"/>
                <w:bCs w:val="1"/>
                <w:color w:val="auto"/>
                <w:w w:val="97"/>
              </w:rPr>
              <w:t>April 30,</w:t>
            </w:r>
          </w:p>
        </w:tc>
        <w:tc>
          <w:tcPr>
            <w:tcW w:w="1020" w:type="dxa"/>
            <w:vAlign w:val="bottom"/>
            <w:tcBorders>
              <w:bottom w:val="single" w:sz="8" w:color="auto"/>
            </w:tcBorders>
          </w:tcPr>
          <w:p>
            <w:pPr>
              <w:spacing w:after="0"/>
              <w:rPr>
                <w:sz w:val="24"/>
                <w:szCs w:val="24"/>
                <w:color w:val="auto"/>
              </w:rPr>
            </w:pPr>
          </w:p>
        </w:tc>
      </w:tr>
      <w:tr>
        <w:trPr>
          <w:trHeight w:val="263"/>
        </w:trPr>
        <w:tc>
          <w:tcPr>
            <w:tcW w:w="788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60"/>
              <w:spacing w:after="0"/>
              <w:rPr>
                <w:sz w:val="20"/>
                <w:szCs w:val="20"/>
                <w:color w:val="auto"/>
              </w:rPr>
            </w:pPr>
            <w:r>
              <w:rPr>
                <w:rFonts w:ascii="Arial" w:cs="Arial" w:eastAsia="Arial" w:hAnsi="Arial"/>
                <w:sz w:val="14"/>
                <w:szCs w:val="14"/>
                <w:b w:val="1"/>
                <w:bCs w:val="1"/>
                <w:color w:val="auto"/>
              </w:rPr>
              <w:t>2020</w:t>
            </w:r>
          </w:p>
        </w:tc>
        <w:tc>
          <w:tcPr>
            <w:tcW w:w="6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2019</w:t>
            </w:r>
          </w:p>
        </w:tc>
      </w:tr>
      <w:tr>
        <w:trPr>
          <w:trHeight w:val="196"/>
        </w:trPr>
        <w:tc>
          <w:tcPr>
            <w:tcW w:w="7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60" w:type="dxa"/>
            <w:vAlign w:val="bottom"/>
            <w:gridSpan w:val="2"/>
          </w:tcPr>
          <w:p>
            <w:pPr>
              <w:jc w:val="center"/>
              <w:ind w:left="600"/>
              <w:spacing w:after="0"/>
              <w:rPr>
                <w:sz w:val="20"/>
                <w:szCs w:val="20"/>
                <w:color w:val="auto"/>
              </w:rPr>
            </w:pPr>
            <w:r>
              <w:rPr>
                <w:rFonts w:ascii="Arial" w:cs="Arial" w:eastAsia="Arial" w:hAnsi="Arial"/>
                <w:sz w:val="14"/>
                <w:szCs w:val="14"/>
                <w:b w:val="1"/>
                <w:bCs w:val="1"/>
                <w:color w:val="auto"/>
                <w:w w:val="96"/>
              </w:rPr>
              <w:t>(In millions)</w:t>
            </w:r>
          </w:p>
        </w:tc>
        <w:tc>
          <w:tcPr>
            <w:tcW w:w="1020" w:type="dxa"/>
            <w:vAlign w:val="bottom"/>
          </w:tcPr>
          <w:p>
            <w:pPr>
              <w:spacing w:after="0"/>
              <w:rPr>
                <w:sz w:val="17"/>
                <w:szCs w:val="17"/>
                <w:color w:val="auto"/>
              </w:rPr>
            </w:pPr>
          </w:p>
        </w:tc>
      </w:tr>
      <w:tr>
        <w:trPr>
          <w:trHeight w:val="256"/>
        </w:trPr>
        <w:tc>
          <w:tcPr>
            <w:tcW w:w="7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provided by operating activities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8"/>
                <w:szCs w:val="18"/>
                <w:color w:val="auto"/>
              </w:rPr>
              <w:t>2.5</w:t>
            </w:r>
          </w:p>
        </w:tc>
        <w:tc>
          <w:tcPr>
            <w:tcW w:w="66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0.1</w:t>
            </w:r>
          </w:p>
        </w:tc>
      </w:tr>
      <w:tr>
        <w:trPr>
          <w:trHeight w:val="243"/>
        </w:trPr>
        <w:tc>
          <w:tcPr>
            <w:tcW w:w="7880" w:type="dxa"/>
            <w:vAlign w:val="bottom"/>
          </w:tcPr>
          <w:p>
            <w:pPr>
              <w:ind w:left="40"/>
              <w:spacing w:after="0"/>
              <w:rPr>
                <w:sz w:val="20"/>
                <w:szCs w:val="20"/>
                <w:color w:val="auto"/>
              </w:rPr>
            </w:pPr>
            <w:r>
              <w:rPr>
                <w:rFonts w:ascii="Arial" w:cs="Arial" w:eastAsia="Arial" w:hAnsi="Arial"/>
                <w:sz w:val="18"/>
                <w:szCs w:val="18"/>
                <w:color w:val="auto"/>
              </w:rPr>
              <w:t>Cash used for investing activities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60"/>
              <w:spacing w:after="0"/>
              <w:rPr>
                <w:sz w:val="20"/>
                <w:szCs w:val="20"/>
                <w:color w:val="auto"/>
              </w:rPr>
            </w:pPr>
            <w:r>
              <w:rPr>
                <w:rFonts w:ascii="Arial" w:cs="Arial" w:eastAsia="Arial" w:hAnsi="Arial"/>
                <w:sz w:val="18"/>
                <w:szCs w:val="18"/>
                <w:color w:val="auto"/>
              </w:rPr>
              <w:t>(16.3)</w:t>
            </w:r>
          </w:p>
        </w:tc>
        <w:tc>
          <w:tcPr>
            <w:tcW w:w="6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27"/>
        </w:trPr>
        <w:tc>
          <w:tcPr>
            <w:tcW w:w="7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7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provided by financing activities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20"/>
              <w:spacing w:after="0"/>
              <w:rPr>
                <w:sz w:val="20"/>
                <w:szCs w:val="20"/>
                <w:color w:val="auto"/>
              </w:rPr>
            </w:pPr>
            <w:r>
              <w:rPr>
                <w:rFonts w:ascii="Arial" w:cs="Arial" w:eastAsia="Arial" w:hAnsi="Arial"/>
                <w:sz w:val="18"/>
                <w:szCs w:val="18"/>
                <w:color w:val="auto"/>
              </w:rPr>
              <w:t>63.5</w:t>
            </w:r>
          </w:p>
        </w:tc>
        <w:tc>
          <w:tcPr>
            <w:tcW w:w="6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3.9</w:t>
            </w:r>
          </w:p>
        </w:tc>
      </w:tr>
      <w:tr>
        <w:trPr>
          <w:trHeight w:val="27"/>
        </w:trPr>
        <w:tc>
          <w:tcPr>
            <w:tcW w:w="78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12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i w:val="1"/>
          <w:iCs w:val="1"/>
          <w:color w:val="auto"/>
        </w:rPr>
        <w:t>Operating Activities</w:t>
      </w:r>
      <w:r>
        <w:rPr>
          <w:rFonts w:ascii="Arial" w:cs="Arial" w:eastAsia="Arial" w:hAnsi="Arial"/>
          <w:sz w:val="18"/>
          <w:szCs w:val="18"/>
          <w:color w:val="auto"/>
        </w:rPr>
        <w:t>. Cash provided by operating activities for the six months ended April 30, 2020 increased approximately $2.4 million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the six months ended April 30, 2019. Cash receipts were favorably impacted by an increase in net income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due to favorable operating results prior to the impacts of COVID-19. Our ability to continue operations and deliver orders as an essential service provider mitigated some of the effects of COVID-19, allowing overall growth in cash provided by operating activities as compared to 2019. To date, slower paying customers as a result of COVID-19 have not significantly impacted our liquidity, but this could become a concern in the future.</w:t>
      </w:r>
    </w:p>
    <w:p>
      <w:pPr>
        <w:spacing w:after="0" w:line="84"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Cash used for investing activities increased $3.6 million when comparing the six months ended April 30, 2020 to the same period</w:t>
      </w:r>
      <w:r>
        <w:rPr>
          <w:rFonts w:ascii="Arial" w:cs="Arial" w:eastAsia="Arial" w:hAnsi="Arial"/>
          <w:sz w:val="18"/>
          <w:szCs w:val="18"/>
          <w:i w:val="1"/>
          <w:iCs w:val="1"/>
          <w:color w:val="auto"/>
        </w:rPr>
        <w:t xml:space="preserve"> </w:t>
      </w:r>
      <w:r>
        <w:rPr>
          <w:rFonts w:ascii="Arial" w:cs="Arial" w:eastAsia="Arial" w:hAnsi="Arial"/>
          <w:sz w:val="18"/>
          <w:szCs w:val="18"/>
          <w:color w:val="auto"/>
        </w:rPr>
        <w:t>in 2019 as a result of higher capital expenditures.</w:t>
      </w:r>
    </w:p>
    <w:p>
      <w:pPr>
        <w:spacing w:after="0" w:line="170"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As a result of the outbreak of the COVID-19 pandemic, we reduced capital expenditure plans by approximately 30% to 35% for the year ended October 31, 2020. We expect to fund our capital expenditures through cash on hand, cash generated from operations, and cash borrowed under our Credit Facility, as necessary.</w:t>
      </w:r>
    </w:p>
    <w:p>
      <w:pPr>
        <w:spacing w:after="0" w:line="103"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i w:val="1"/>
          <w:iCs w:val="1"/>
          <w:color w:val="auto"/>
        </w:rPr>
        <w:t xml:space="preserve">Financing Activities. </w:t>
      </w:r>
      <w:r>
        <w:rPr>
          <w:rFonts w:ascii="Arial" w:cs="Arial" w:eastAsia="Arial" w:hAnsi="Arial"/>
          <w:sz w:val="17"/>
          <w:szCs w:val="17"/>
          <w:color w:val="auto"/>
        </w:rPr>
        <w:t>Cash provided by financing activities was $63.5 million for the six months ended April 30, 2020, primarily attributable to $73.0</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of net debt borrowings. In March 2020, we borrowed $50.0 million under our credit facility. We did this as a precautionary measure to ensure funds were available to meet our obligations during the COVID-19 pandemic. This borrowing was subsequently repaid in May 2020. In the future, we may be required to borrow additional funds in order to be prepared for any unforeseen impacts of the COVID-19 pandemic.</w:t>
      </w:r>
    </w:p>
    <w:p>
      <w:pPr>
        <w:spacing w:after="0" w:line="9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In addition to our net debt borrowings, we also received $3.0 million of proceeds from stock option exercises. Our proceeds were partially offset by $6.7 million related to the purchase of treasury stock and $5.3 million of dividends paid to our shareholders.</w:t>
      </w:r>
    </w:p>
    <w:p>
      <w:pPr>
        <w:spacing w:after="0" w:line="89"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For the six months ended April 30, 2019, cash provided by financing activities was $3.9 million, primarily attributable to $14.2 million of net borrowings of debt, partially offset by dividends paid to our shareholders of $5.3 million, and $4.7 million related to the purchase of treasury stock.</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 Requirements</w:t>
      </w:r>
    </w:p>
    <w:p>
      <w:pPr>
        <w:spacing w:after="0" w:line="171" w:lineRule="exact"/>
        <w:rPr>
          <w:sz w:val="20"/>
          <w:szCs w:val="20"/>
          <w:color w:val="auto"/>
        </w:rPr>
      </w:pPr>
    </w:p>
    <w:p>
      <w:pPr>
        <w:jc w:val="both"/>
        <w:ind w:firstLine="391"/>
        <w:spacing w:after="0" w:line="257" w:lineRule="auto"/>
        <w:rPr>
          <w:sz w:val="20"/>
          <w:szCs w:val="20"/>
          <w:color w:val="auto"/>
        </w:rPr>
      </w:pPr>
      <w:r>
        <w:rPr>
          <w:rFonts w:ascii="Arial" w:cs="Arial" w:eastAsia="Arial" w:hAnsi="Arial"/>
          <w:sz w:val="18"/>
          <w:szCs w:val="18"/>
          <w:color w:val="auto"/>
        </w:rPr>
        <w:t>Historically, our strategy for deploying cash has been to invest in organic growth opportunities, develop our infrastructure, and explore strategic acquisitions. Other uses of cash include paying cash dividends to our shareholders and repurchasing our common stock. As of April 30, 2020, we also had a higher than usual cash balance in order to be prepared for any unforeseen impacts of the COVID-19 pandemic. During the six months ended April 30, 2020 and 2019, we repatriated $3.1 million and $5.3 million, respectively, of foreign earnings from our foreign locations. We maintain cash balances in foreign countries which total $15.1 million as of April 30, 2020.</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jc w:val="both"/>
        <w:ind w:firstLine="391"/>
        <w:spacing w:after="0" w:line="272" w:lineRule="auto"/>
        <w:rPr>
          <w:sz w:val="20"/>
          <w:szCs w:val="20"/>
          <w:color w:val="auto"/>
        </w:rPr>
      </w:pPr>
      <w:r>
        <w:rPr>
          <w:rFonts w:ascii="Arial" w:cs="Arial" w:eastAsia="Arial" w:hAnsi="Arial"/>
          <w:sz w:val="17"/>
          <w:szCs w:val="17"/>
          <w:color w:val="auto"/>
        </w:rPr>
        <w:t>The preparation of our financial statements in accordance with accounting principles generally accepted in the U.S. (U.S. GAAP) requires us to make estimates and assumptions that affect the reported amount of assets, liabilities, revenues and expenses and related disclosures of contingent assets and liabilities. Estimates and assumptions about future events and their effects cannot be perceived with certainty. Estimates may change as new events occur, as more experience is acquired, as additional information becomes available and as our operating environment changes. We base our estimates on historical experience and on various other assumptions that we believe are reasonable under the circumstances, and that we believe provide a basis for making judgments about the carrying value of assets and liabilities that are not readily available through open market quotes. We must use our judgment with regard to uncertainties in order to make these estimates. Actual results could differ from these estimates.</w:t>
      </w:r>
    </w:p>
    <w:p>
      <w:pPr>
        <w:spacing w:after="0" w:line="96"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For a description of our critical accounting policies and estimates, see our Annual Report on Form 10-K for the fiscal year ended October 31, 2019. During the six months ended April 30, 2020, we adopted new lease accounting guidance. For further details of this change, refer to "Part I, Financial Information" of this Quarterly Report on Form 10-Q.</w:t>
      </w:r>
    </w:p>
    <w:p>
      <w:pPr>
        <w:spacing w:after="0" w:line="18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While there have been no changes in the application of principles, methods, and assumptions used to determine our significant estimates, we may be required to revise certain accounting estimates and judgments related to the economic and business impact of the COVID-19 pandemic, such as, but not limited to, those related to the valuation of goodwill, intangibles, long-lived assets, accounts receivable, and inventory, which could have a material adverse effect on our financial position and results of operations.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48"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From time to time, new accounting pronouncements are issued by the Financial Accounting Standards Board (FASB) or other standards setting bodies that we adopt as of the specified effective date. Unless otherwise discussed, we believe the impact of any recently issued standards that are not yet effective are either not applicable to us at this time or will not have a material impact on our consolidated financial statements upon adoption.</w:t>
      </w:r>
    </w:p>
    <w:p>
      <w:pPr>
        <w:spacing w:after="0" w:line="84"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In June 2016, the FASB issued Accounting Standards Update No. 2016-13, Financial Instruments - Credit Losses (Topic 326). This amendment replaces the incurred loss impairment methodology in current U.S. GAAP and requires that financial assets be measured on an amortized cost basis and presented at the net amount expected to be collected. This new methodology reflects expected credit losses (rather than probable credit losses) and requires consideration of a broader range of supportable information when determining these estimated credit losses, including relevant experience, current conditions and supportable forecasts to determine collectability. In addition, the amendment provides guidance with regard to the use of an allowance for credit losses for purchased financial assets and available-for-sale debt securities. This amendment becomes effective for fiscal years beginning after December 15, 2019, including interim periods within that fiscal year. We expect to adopt this amendment during fiscal 2021, with no material impact on our consolidated financial statements.</w:t>
      </w:r>
    </w:p>
    <w:p>
      <w:pPr>
        <w:spacing w:after="0" w:line="13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Refer to our Annual Report on Form 10-K for the year ended October 31, 2019 for additional standards we are currently evaluating.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3. Quantitative and Qualitative Disclosures About Market Risk</w:t>
      </w:r>
    </w:p>
    <w:p>
      <w:pPr>
        <w:spacing w:after="0" w:line="171" w:lineRule="exact"/>
        <w:rPr>
          <w:sz w:val="20"/>
          <w:szCs w:val="20"/>
          <w:color w:val="auto"/>
        </w:rPr>
      </w:pPr>
    </w:p>
    <w:p>
      <w:pPr>
        <w:jc w:val="both"/>
        <w:ind w:firstLine="432"/>
        <w:spacing w:after="0" w:line="301" w:lineRule="auto"/>
        <w:rPr>
          <w:sz w:val="20"/>
          <w:szCs w:val="20"/>
          <w:color w:val="auto"/>
        </w:rPr>
      </w:pPr>
      <w:r>
        <w:rPr>
          <w:rFonts w:ascii="Arial" w:cs="Arial" w:eastAsia="Arial" w:hAnsi="Arial"/>
          <w:sz w:val="16"/>
          <w:szCs w:val="16"/>
          <w:color w:val="auto"/>
        </w:rPr>
        <w:t>The following discussion of our exposure to various market risks contains “forward looking statements” regarding our estimates, assumptions and beliefs concerning our exposure. Although we believe these estimates and assumptions are reasonable in light of information currently available to us, we cannot provide assurance that these estimates will not materially differ from actual results due to the inherent unpredictability of interest rates, foreign currency rates and commodity prices as well as other factors. We do not use derivative financial instruments for speculative or trading purposes.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7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Our outstanding debt bears interest at variable rates and accordingly is sensitive to changes in interest rates. Based upon the balances of the variable rate debt at April 30, 2020, a hypothetical 1.0% increase or decrease in interest rates could result in approximately $2.2 million of additional pretax charges or credit to our operating results per year. This sensitivity is impacted by the amount of borrowings under our credit facilities, and amounts outstanding under finance leases.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Rate Risk</w:t>
      </w:r>
    </w:p>
    <w:p>
      <w:pPr>
        <w:spacing w:after="0" w:line="148"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Our international operations have exposure to foreign currency rate risks, primarily due to fluctuations in the Euro, the British Pound Sterling and the Canadian Dollar. From time to time, we enter into foreign exchange contracts associated with our operations to manage a portion of the foreign currency rate risk. Less than $0.1 million of foreign currency derivatives were included in total assets as of October 31, 2019. There were no corresponding foreign currency derivatives recorded on the Condensed Consolidated Balance Sheet as of April 30, 2020. These foreign currency derivative contracts hedge cross-border intercompany and commercial activity for our insulating glass spacer business. Although these derivatives hedge our exposure to fluctuations in foreign currency rates, we do not apply hedge accounting and therefore, the change in the fair value of these foreign currency derivatives is recorded directly to other income and expense in the accompanying condensed consolidated statements of income (loss). To the extent the gain or loss on the derivative instrument offsets the gain or loss from the re-measurement of the underlying foreign currency balance, changes in exchange rates should have no effect.</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14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purchase PVC as the significant raw material consumed in the manufacture of vinyl extrusions. We have a monthly resin adjuster in place with a majority of our customers and our resin supplier that is adjusted based upon published industry indices for resin prices for the prior month. This adjuster effectively shares the base pass-through price changes of PVC with our customers commensurate with the market at large. Our long-term exposure to changes in PVC prices is somewhat mitigated due to the contractual component of the resin adjuster program. However, there is a level of exposure to short-term volatility due to the one month lag.</w:t>
      </w:r>
    </w:p>
    <w:p>
      <w:pPr>
        <w:spacing w:after="0" w:line="107"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We have historically charged certain customers a surcharge related to petroleum-based raw materials. The surcharge was intended to offset the rising cost of products which are highly correlated to the price of oil including butyl and other oil-based raw materials. The surcharge is in place with the majority of our customers who purchase these products and is adjusted monthly based upon the 90-day average published price for Brent crude. The oil-based raw materials that we purchase are subject to similar pricing schemes. As such, our long-term exposure to increases in oil-based raw material prices is significantly reduced under this surcharge program, but given the recent disruptions in the oil and gas market, we bear an obligation to repay customers for the fall in commodity price that is not reflected in the pricing of products sold to them.</w:t>
      </w:r>
    </w:p>
    <w:p>
      <w:pPr>
        <w:spacing w:after="0" w:line="97"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Similarly, our NA Cabinet Components business includes a surcharge provision in the majority of its customer arrangements to insulate against significant fluctuations in the price for various hardwood products used as the primary raw material for kitchen and bathroom cabinet doors. We are exposed to short-term volatility in wood prices due to a lag in the timing of price updates which generally could extend for up to three months.</w:t>
      </w:r>
    </w:p>
    <w:p>
      <w:pPr>
        <w:spacing w:after="0" w:line="84"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While we maintain surcharges and other adjusters to manage our exposure to changes in the prices of our critical raw materials, we utilize several commodities in our business that are not covered by contractual surcharges or adjusters for which pricing can fluctuate, including titanium dioxide (TiO2), silicone and other inputs. Further discussion of our industry risks is included within our Annual Report on Form 10-K for the year ended October 31, 2019.</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125"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i w:val="1"/>
          <w:iCs w:val="1"/>
          <w:color w:val="auto"/>
        </w:rPr>
        <w:t>Item 4. Controls and Procedures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4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Under the supervision and with the participation of our management, including the Chief Executive Officer and Chief Financial Officer, we have evaluated the effectiveness of our disclosure controls and procedures pursuant to Rules 13a-15(e) and 15d-15(e) under the Securities Exchange Act of 1934 (1934 Act) as of April 30, 2020. Based on that evaluation, the Chief Executive Officer and Chief Financial Officer concluded that, as of April 30, 2020, the disclosure controls and procedures are effective.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5"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There have been no changes in internal controls over financial reporting (as defined in Rules 13a-15(f) and 15d-15(f) under the 1934 Act) during the most recent fiscal quarter that have materially affected or are reasonably likely to materially affect our internal control over financial reporting.</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503" w:right="3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1A. Risk Factors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Risks</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Epidemics, pandemics or other disease outbreaks could significantly disrupt our operations or those of our customers or suppliers.</w:t>
      </w:r>
    </w:p>
    <w:p>
      <w:pPr>
        <w:spacing w:after="0" w:line="187" w:lineRule="exact"/>
        <w:rPr>
          <w:sz w:val="20"/>
          <w:szCs w:val="20"/>
          <w:color w:val="auto"/>
        </w:rPr>
      </w:pPr>
    </w:p>
    <w:p>
      <w:pPr>
        <w:jc w:val="both"/>
        <w:ind w:firstLine="391"/>
        <w:spacing w:after="0" w:line="287" w:lineRule="auto"/>
        <w:rPr>
          <w:sz w:val="20"/>
          <w:szCs w:val="20"/>
          <w:color w:val="auto"/>
        </w:rPr>
      </w:pPr>
      <w:r>
        <w:rPr>
          <w:rFonts w:ascii="Arial" w:cs="Arial" w:eastAsia="Arial" w:hAnsi="Arial"/>
          <w:sz w:val="16"/>
          <w:szCs w:val="16"/>
          <w:color w:val="auto"/>
        </w:rPr>
        <w:t>Our business could be materially and adversely affected by the occurrence of a widespread health epidemic or pandemic. In particular, any outbreak or resurgence of COVID-19, or any governmental imposition of mandatory or voluntary closures in areas where our manufacturing facilities, suppliers or customers are located, could severely disrupt our operations and result in (a) plant slowdowns or shutdowns, (b) difficulty obtaining necessary supplies, and</w:t>
      </w:r>
    </w:p>
    <w:p>
      <w:pPr>
        <w:spacing w:after="0" w:line="2" w:lineRule="exact"/>
        <w:rPr>
          <w:sz w:val="20"/>
          <w:szCs w:val="20"/>
          <w:color w:val="auto"/>
        </w:rPr>
      </w:pPr>
    </w:p>
    <w:p>
      <w:pPr>
        <w:jc w:val="both"/>
        <w:ind w:firstLine="8"/>
        <w:spacing w:after="0" w:line="255" w:lineRule="auto"/>
        <w:tabs>
          <w:tab w:leader="none" w:pos="245" w:val="left"/>
        </w:tabs>
        <w:numPr>
          <w:ilvl w:val="0"/>
          <w:numId w:val="9"/>
        </w:numPr>
        <w:rPr>
          <w:rFonts w:ascii="Arial" w:cs="Arial" w:eastAsia="Arial" w:hAnsi="Arial"/>
          <w:sz w:val="18"/>
          <w:szCs w:val="18"/>
          <w:color w:val="auto"/>
        </w:rPr>
      </w:pPr>
      <w:r>
        <w:rPr>
          <w:rFonts w:ascii="Arial" w:cs="Arial" w:eastAsia="Arial" w:hAnsi="Arial"/>
          <w:sz w:val="18"/>
          <w:szCs w:val="18"/>
          <w:color w:val="auto"/>
        </w:rPr>
        <w:t>reduced customer orders and revenues. In addition to this potential direct impact on our facilities and operations, continuing outbreaks of the virus could negatively impact our industry and end markets as a whole, or result in a longer-term economic recession. Any of these factors could negatively affect our business, financial condition, cash flows, profitability, and results of operations.</w:t>
      </w:r>
    </w:p>
    <w:p>
      <w:pPr>
        <w:spacing w:after="0" w:line="136" w:lineRule="exact"/>
        <w:rPr>
          <w:sz w:val="20"/>
          <w:szCs w:val="20"/>
          <w:color w:val="auto"/>
        </w:rPr>
      </w:pPr>
    </w:p>
    <w:p>
      <w:pPr>
        <w:jc w:val="both"/>
        <w:ind w:firstLine="391"/>
        <w:spacing w:after="0" w:line="296" w:lineRule="auto"/>
        <w:rPr>
          <w:sz w:val="20"/>
          <w:szCs w:val="20"/>
          <w:color w:val="auto"/>
        </w:rPr>
      </w:pPr>
      <w:r>
        <w:rPr>
          <w:rFonts w:ascii="Arial" w:cs="Arial" w:eastAsia="Arial" w:hAnsi="Arial"/>
          <w:sz w:val="16"/>
          <w:szCs w:val="16"/>
          <w:color w:val="auto"/>
        </w:rPr>
        <w:t>The COVID-19 pandemic could also create inefficiencies or interruptions in the supply chain as our suppliers may be forced to close their own plants or prove unable to obtain their own raw materials. If our suppliers are unable to timely meet our supply needs, it could impact our ability to provide our customers with high quality products on a timely basis, which could result in order cancellations, delivery refusals, price concessions, or other negative customer outcomes, any of which could negatively impact our business, revenues, financial condition, results of operations and liquidity. We could also be forced to pay higher prices for the supplies we purchase, which could negatively impact our results of operations and profitability.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2. Unregistered Sales of Equity Securities and Use of Proceeds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During the three months ended April 30, 2020, we repurchased common stock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5"/>
              </w:rPr>
              <w:t>(c) Total Number of</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tcPr>
          <w:p>
            <w:pPr>
              <w:jc w:val="center"/>
              <w:ind w:right="40"/>
              <w:spacing w:after="0"/>
              <w:rPr>
                <w:sz w:val="20"/>
                <w:szCs w:val="20"/>
                <w:color w:val="auto"/>
              </w:rPr>
            </w:pPr>
            <w:r>
              <w:rPr>
                <w:rFonts w:ascii="Arial" w:cs="Arial" w:eastAsia="Arial" w:hAnsi="Arial"/>
                <w:sz w:val="14"/>
                <w:szCs w:val="14"/>
                <w:b w:val="1"/>
                <w:bCs w:val="1"/>
                <w:color w:val="auto"/>
                <w:w w:val="96"/>
              </w:rPr>
              <w:t>(d) Maximum US Dollars</w:t>
            </w: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Shares Purchased as</w:t>
            </w:r>
          </w:p>
        </w:tc>
        <w:tc>
          <w:tcPr>
            <w:tcW w:w="100" w:type="dxa"/>
            <w:vAlign w:val="bottom"/>
          </w:tcPr>
          <w:p>
            <w:pPr>
              <w:spacing w:after="0"/>
              <w:rPr>
                <w:sz w:val="12"/>
                <w:szCs w:val="12"/>
                <w:color w:val="auto"/>
              </w:rPr>
            </w:pPr>
          </w:p>
        </w:tc>
        <w:tc>
          <w:tcPr>
            <w:tcW w:w="1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Remaining that May Yet Be</w:t>
            </w:r>
          </w:p>
        </w:tc>
        <w:tc>
          <w:tcPr>
            <w:tcW w:w="0" w:type="dxa"/>
            <w:vAlign w:val="bottom"/>
          </w:tcPr>
          <w:p>
            <w:pPr>
              <w:spacing w:after="0"/>
              <w:rPr>
                <w:sz w:val="1"/>
                <w:szCs w:val="1"/>
                <w:color w:val="auto"/>
              </w:rPr>
            </w:pPr>
          </w:p>
        </w:tc>
      </w:tr>
      <w:tr>
        <w:trPr>
          <w:trHeight w:val="148"/>
        </w:trPr>
        <w:tc>
          <w:tcPr>
            <w:tcW w:w="4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 Total Number of</w:t>
            </w:r>
          </w:p>
        </w:tc>
        <w:tc>
          <w:tcPr>
            <w:tcW w:w="15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(b) Average Price Paid</w:t>
            </w: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89"/>
              </w:rPr>
              <w:t>Used to Purchase Shares</w:t>
            </w:r>
          </w:p>
        </w:tc>
        <w:tc>
          <w:tcPr>
            <w:tcW w:w="0" w:type="dxa"/>
            <w:vAlign w:val="bottom"/>
          </w:tcPr>
          <w:p>
            <w:pPr>
              <w:spacing w:after="0"/>
              <w:rPr>
                <w:sz w:val="1"/>
                <w:szCs w:val="1"/>
                <w:color w:val="auto"/>
              </w:rPr>
            </w:pPr>
          </w:p>
        </w:tc>
      </w:tr>
      <w:tr>
        <w:trPr>
          <w:trHeight w:val="148"/>
        </w:trPr>
        <w:tc>
          <w:tcPr>
            <w:tcW w:w="4500" w:type="dxa"/>
            <w:vAlign w:val="bottom"/>
            <w:vMerge w:val="restart"/>
          </w:tcPr>
          <w:p>
            <w:pPr>
              <w:ind w:left="2060"/>
              <w:spacing w:after="0"/>
              <w:rPr>
                <w:sz w:val="20"/>
                <w:szCs w:val="20"/>
                <w:color w:val="auto"/>
              </w:rPr>
            </w:pPr>
            <w:r>
              <w:rPr>
                <w:rFonts w:ascii="Arial" w:cs="Arial" w:eastAsia="Arial" w:hAnsi="Arial"/>
                <w:sz w:val="14"/>
                <w:szCs w:val="14"/>
                <w:b w:val="1"/>
                <w:bCs w:val="1"/>
                <w:color w:val="auto"/>
              </w:rPr>
              <w:t>Period</w:t>
            </w:r>
          </w:p>
        </w:tc>
        <w:tc>
          <w:tcPr>
            <w:tcW w:w="120" w:type="dxa"/>
            <w:vAlign w:val="bottom"/>
            <w:vMerge w:val="restart"/>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580" w:type="dxa"/>
            <w:vAlign w:val="bottom"/>
            <w:gridSpan w:val="3"/>
            <w:vMerge w:val="continue"/>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Announced Plans or</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93"/>
              </w:rPr>
              <w:t>Under the Plans or</w:t>
            </w:r>
          </w:p>
        </w:tc>
        <w:tc>
          <w:tcPr>
            <w:tcW w:w="0" w:type="dxa"/>
            <w:vAlign w:val="bottom"/>
          </w:tcPr>
          <w:p>
            <w:pPr>
              <w:spacing w:after="0"/>
              <w:rPr>
                <w:sz w:val="1"/>
                <w:szCs w:val="1"/>
                <w:color w:val="auto"/>
              </w:rPr>
            </w:pPr>
          </w:p>
        </w:tc>
      </w:tr>
      <w:tr>
        <w:trPr>
          <w:trHeight w:val="192"/>
        </w:trPr>
        <w:tc>
          <w:tcPr>
            <w:tcW w:w="45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Shares Purchased</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per Share</w:t>
            </w:r>
          </w:p>
        </w:tc>
        <w:tc>
          <w:tcPr>
            <w:tcW w:w="12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 xml:space="preserve">Programs </w:t>
            </w:r>
            <w:r>
              <w:rPr>
                <w:rFonts w:ascii="Arial" w:cs="Arial" w:eastAsia="Arial" w:hAnsi="Arial"/>
                <w:sz w:val="8"/>
                <w:szCs w:val="8"/>
                <w:b w:val="1"/>
                <w:bCs w:val="1"/>
                <w:color w:val="auto"/>
                <w:w w:val="93"/>
              </w:rPr>
              <w:t>(1)</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96"/>
              </w:rPr>
              <w:t xml:space="preserve">Programs </w:t>
            </w:r>
            <w:r>
              <w:rPr>
                <w:rFonts w:ascii="Arial" w:cs="Arial" w:eastAsia="Arial" w:hAnsi="Arial"/>
                <w:sz w:val="8"/>
                <w:szCs w:val="8"/>
                <w:b w:val="1"/>
                <w:bCs w:val="1"/>
                <w:color w:val="auto"/>
                <w:w w:val="96"/>
              </w:rPr>
              <w:t>(1)</w:t>
            </w:r>
          </w:p>
        </w:tc>
        <w:tc>
          <w:tcPr>
            <w:tcW w:w="0" w:type="dxa"/>
            <w:vAlign w:val="bottom"/>
          </w:tcPr>
          <w:p>
            <w:pPr>
              <w:spacing w:after="0"/>
              <w:rPr>
                <w:sz w:val="1"/>
                <w:szCs w:val="1"/>
                <w:color w:val="auto"/>
              </w:rPr>
            </w:pPr>
          </w:p>
        </w:tc>
      </w:tr>
      <w:tr>
        <w:trPr>
          <w:trHeight w:val="250"/>
        </w:trPr>
        <w:tc>
          <w:tcPr>
            <w:tcW w:w="4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February 2020</w:t>
            </w: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13,776,306</w:t>
            </w:r>
          </w:p>
        </w:tc>
        <w:tc>
          <w:tcPr>
            <w:tcW w:w="0" w:type="dxa"/>
            <w:vAlign w:val="bottom"/>
          </w:tcPr>
          <w:p>
            <w:pPr>
              <w:spacing w:after="0"/>
              <w:rPr>
                <w:sz w:val="1"/>
                <w:szCs w:val="1"/>
                <w:color w:val="auto"/>
              </w:rPr>
            </w:pPr>
          </w:p>
        </w:tc>
      </w:tr>
      <w:tr>
        <w:trPr>
          <w:trHeight w:val="243"/>
        </w:trPr>
        <w:tc>
          <w:tcPr>
            <w:tcW w:w="4620" w:type="dxa"/>
            <w:vAlign w:val="bottom"/>
            <w:gridSpan w:val="2"/>
          </w:tcPr>
          <w:p>
            <w:pPr>
              <w:ind w:left="40"/>
              <w:spacing w:after="0"/>
              <w:rPr>
                <w:sz w:val="20"/>
                <w:szCs w:val="20"/>
                <w:color w:val="auto"/>
              </w:rPr>
            </w:pPr>
            <w:r>
              <w:rPr>
                <w:rFonts w:ascii="Arial" w:cs="Arial" w:eastAsia="Arial" w:hAnsi="Arial"/>
                <w:sz w:val="18"/>
                <w:szCs w:val="18"/>
                <w:color w:val="auto"/>
              </w:rPr>
              <w:t>March 2020</w:t>
            </w:r>
          </w:p>
        </w:tc>
        <w:tc>
          <w:tcPr>
            <w:tcW w:w="1480" w:type="dxa"/>
            <w:vAlign w:val="bottom"/>
          </w:tcPr>
          <w:p>
            <w:pPr>
              <w:jc w:val="right"/>
              <w:ind w:right="36"/>
              <w:spacing w:after="0"/>
              <w:rPr>
                <w:sz w:val="20"/>
                <w:szCs w:val="20"/>
                <w:color w:val="auto"/>
              </w:rPr>
            </w:pPr>
            <w:r>
              <w:rPr>
                <w:rFonts w:ascii="Arial" w:cs="Arial" w:eastAsia="Arial" w:hAnsi="Arial"/>
                <w:sz w:val="18"/>
                <w:szCs w:val="18"/>
                <w:color w:val="auto"/>
              </w:rPr>
              <w:t>149,937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13.70</w:t>
            </w:r>
          </w:p>
        </w:tc>
        <w:tc>
          <w:tcPr>
            <w:tcW w:w="120" w:type="dxa"/>
            <w:vAlign w:val="bottom"/>
          </w:tcPr>
          <w:p>
            <w:pPr>
              <w:spacing w:after="0"/>
              <w:rPr>
                <w:sz w:val="21"/>
                <w:szCs w:val="21"/>
                <w:color w:val="auto"/>
              </w:rPr>
            </w:pPr>
          </w:p>
        </w:tc>
        <w:tc>
          <w:tcPr>
            <w:tcW w:w="1560" w:type="dxa"/>
            <w:vAlign w:val="bottom"/>
          </w:tcPr>
          <w:p>
            <w:pPr>
              <w:jc w:val="right"/>
              <w:ind w:right="40"/>
              <w:spacing w:after="0"/>
              <w:rPr>
                <w:sz w:val="20"/>
                <w:szCs w:val="20"/>
                <w:color w:val="auto"/>
              </w:rPr>
            </w:pPr>
            <w:r>
              <w:rPr>
                <w:rFonts w:ascii="Arial" w:cs="Arial" w:eastAsia="Arial" w:hAnsi="Arial"/>
                <w:sz w:val="18"/>
                <w:szCs w:val="18"/>
                <w:color w:val="auto"/>
              </w:rPr>
              <w:t>149,937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80" w:type="dxa"/>
            <w:vAlign w:val="bottom"/>
          </w:tcPr>
          <w:p>
            <w:pPr>
              <w:jc w:val="right"/>
              <w:ind w:right="20"/>
              <w:spacing w:after="0"/>
              <w:rPr>
                <w:sz w:val="20"/>
                <w:szCs w:val="20"/>
                <w:color w:val="auto"/>
              </w:rPr>
            </w:pPr>
            <w:r>
              <w:rPr>
                <w:rFonts w:ascii="Arial" w:cs="Arial" w:eastAsia="Arial" w:hAnsi="Arial"/>
                <w:sz w:val="18"/>
                <w:szCs w:val="18"/>
                <w:color w:val="auto"/>
              </w:rPr>
              <w:t>11,722,595</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April 2020</w:t>
            </w: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11,722,595</w:t>
            </w:r>
          </w:p>
        </w:tc>
        <w:tc>
          <w:tcPr>
            <w:tcW w:w="0" w:type="dxa"/>
            <w:vAlign w:val="bottom"/>
          </w:tcPr>
          <w:p>
            <w:pPr>
              <w:spacing w:after="0"/>
              <w:rPr>
                <w:sz w:val="1"/>
                <w:szCs w:val="1"/>
                <w:color w:val="auto"/>
              </w:rPr>
            </w:pPr>
          </w:p>
        </w:tc>
      </w:tr>
      <w:tr>
        <w:trPr>
          <w:trHeight w:val="257"/>
        </w:trPr>
        <w:tc>
          <w:tcPr>
            <w:tcW w:w="462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14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149,937</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13.70</w:t>
            </w:r>
          </w:p>
        </w:tc>
        <w:tc>
          <w:tcPr>
            <w:tcW w:w="120" w:type="dxa"/>
            <w:vAlign w:val="bottom"/>
          </w:tcPr>
          <w:p>
            <w:pPr>
              <w:spacing w:after="0"/>
              <w:rPr>
                <w:sz w:val="22"/>
                <w:szCs w:val="22"/>
                <w:color w:val="auto"/>
              </w:rPr>
            </w:pPr>
          </w:p>
        </w:tc>
        <w:tc>
          <w:tcPr>
            <w:tcW w:w="15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8"/>
                <w:szCs w:val="18"/>
                <w:color w:val="auto"/>
              </w:rPr>
              <w:t>149,937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ind w:left="420" w:hanging="7"/>
        <w:spacing w:after="0" w:line="232" w:lineRule="auto"/>
        <w:tabs>
          <w:tab w:leader="none" w:pos="621" w:val="left"/>
        </w:tabs>
        <w:numPr>
          <w:ilvl w:val="0"/>
          <w:numId w:val="10"/>
        </w:numPr>
        <w:rPr>
          <w:rFonts w:ascii="Arial" w:cs="Arial" w:eastAsia="Arial" w:hAnsi="Arial"/>
          <w:sz w:val="25"/>
          <w:szCs w:val="25"/>
          <w:color w:val="auto"/>
          <w:vertAlign w:val="superscript"/>
        </w:rPr>
      </w:pPr>
      <w:r>
        <w:rPr>
          <w:rFonts w:ascii="Arial" w:cs="Arial" w:eastAsia="Arial" w:hAnsi="Arial"/>
          <w:sz w:val="18"/>
          <w:szCs w:val="18"/>
          <w:color w:val="auto"/>
        </w:rPr>
        <w:t>On August 30, 2018, our Board of Directors approved a stock repurchase program that authorized the repurchase of up to $60.0 million worth of shares of our common stock. Repurchases under the new program will be made in open market transactions or privately negotiated transactions, subject to market conditions, applicable legal requirements and other relevant factors. The program does not have an expiration date or a limit on the number of shares that may be repurchased.</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5. Other Information</w:t>
      </w:r>
    </w:p>
    <w:p>
      <w:pPr>
        <w:spacing w:after="0" w:line="22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February 2020, the stockholders of Quanex Building Products Corporation (the “</w:t>
      </w:r>
      <w:r>
        <w:rPr>
          <w:rFonts w:ascii="Arial" w:cs="Arial" w:eastAsia="Arial" w:hAnsi="Arial"/>
          <w:sz w:val="18"/>
          <w:szCs w:val="18"/>
          <w:i w:val="1"/>
          <w:iCs w:val="1"/>
          <w:color w:val="auto"/>
        </w:rPr>
        <w:t>Company</w:t>
      </w:r>
      <w:r>
        <w:rPr>
          <w:rFonts w:ascii="Arial" w:cs="Arial" w:eastAsia="Arial" w:hAnsi="Arial"/>
          <w:sz w:val="18"/>
          <w:szCs w:val="18"/>
          <w:color w:val="auto"/>
        </w:rPr>
        <w:t>”) approved the adoption of the Quanex Building Products Corporation 2020 Omnibus Incentive Plan (as approved, the “</w:t>
      </w:r>
      <w:r>
        <w:rPr>
          <w:rFonts w:ascii="Arial" w:cs="Arial" w:eastAsia="Arial" w:hAnsi="Arial"/>
          <w:sz w:val="18"/>
          <w:szCs w:val="18"/>
          <w:i w:val="1"/>
          <w:iCs w:val="1"/>
          <w:color w:val="auto"/>
        </w:rPr>
        <w:t>2020 Plan</w:t>
      </w:r>
      <w:r>
        <w:rPr>
          <w:rFonts w:ascii="Arial" w:cs="Arial" w:eastAsia="Arial" w:hAnsi="Arial"/>
          <w:sz w:val="18"/>
          <w:szCs w:val="18"/>
          <w:color w:val="auto"/>
        </w:rPr>
        <w:t>”). The 2020 Plan provides for the granting of various equity awards, including restricted stock, stock options, stock appreciation rights, restricted stock units, performance shares, performance units, annual incentive awards, other stock-based awards and cash-based awards.</w:t>
      </w:r>
    </w:p>
    <w:p>
      <w:pPr>
        <w:spacing w:after="0" w:line="187"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 xml:space="preserve">For more information related to the contents of the 2020 Plan, please see the description of the 2020 Plan under </w:t>
      </w:r>
      <w:r>
        <w:rPr>
          <w:rFonts w:ascii="Arial" w:cs="Arial" w:eastAsia="Arial" w:hAnsi="Arial"/>
          <w:sz w:val="17"/>
          <w:szCs w:val="17"/>
          <w:u w:val="single" w:color="auto"/>
          <w:color w:val="auto"/>
        </w:rPr>
        <w:t>Proposal No. 2</w:t>
      </w:r>
      <w:r>
        <w:rPr>
          <w:rFonts w:ascii="Arial" w:cs="Arial" w:eastAsia="Arial" w:hAnsi="Arial"/>
          <w:sz w:val="17"/>
          <w:szCs w:val="17"/>
          <w:color w:val="auto"/>
        </w:rPr>
        <w:t xml:space="preserve"> included in the Company’s Definitive Proxy Statement relating to its 2020 Annual Meeting of Stockholders, as filed with the Securities and Exchange Commission on January 29, 2020, which description of the 2020 Plan is incorporated herein by reference. For the full text of the 2020 Plan, please see Exhibit 10.2 of the Company’s Current Report on Form 8-K, as filed with the Securities and Exchange Commission on March 2, 2020.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320" w:top="125" w:right="339" w:bottom="1440" w:gutter="0" w:footer="0" w:header="0"/>
        </w:sectPr>
      </w:pPr>
    </w:p>
    <w:bookmarkStart w:id="43" w:name="page44"/>
    <w:bookmarkEnd w:id="43"/>
    <w:p>
      <w:pPr>
        <w:jc w:val="both"/>
        <w:ind w:firstLine="391"/>
        <w:spacing w:after="0" w:line="263" w:lineRule="auto"/>
        <w:rPr>
          <w:sz w:val="20"/>
          <w:szCs w:val="20"/>
          <w:color w:val="auto"/>
        </w:rPr>
      </w:pPr>
      <w:r>
        <w:rPr>
          <w:rFonts w:ascii="Arial" w:cs="Arial" w:eastAsia="Arial" w:hAnsi="Arial"/>
          <w:sz w:val="18"/>
          <w:szCs w:val="18"/>
          <w:color w:val="auto"/>
        </w:rPr>
        <w:t>The Company’s Compensation and Management Development Committee (the “</w:t>
      </w:r>
      <w:r>
        <w:rPr>
          <w:rFonts w:ascii="Arial" w:cs="Arial" w:eastAsia="Arial" w:hAnsi="Arial"/>
          <w:sz w:val="18"/>
          <w:szCs w:val="18"/>
          <w:i w:val="1"/>
          <w:iCs w:val="1"/>
          <w:color w:val="auto"/>
        </w:rPr>
        <w:t>Committee</w:t>
      </w:r>
      <w:r>
        <w:rPr>
          <w:rFonts w:ascii="Arial" w:cs="Arial" w:eastAsia="Arial" w:hAnsi="Arial"/>
          <w:sz w:val="18"/>
          <w:szCs w:val="18"/>
          <w:color w:val="auto"/>
        </w:rPr>
        <w:t>”) has adopted new forms of award agreement to be used in connection with future grants of various awards under the 2020 Plan. The Committee has approved new form award agreements for each of the following award types:</w:t>
      </w:r>
    </w:p>
    <w:p>
      <w:pPr>
        <w:spacing w:after="0" w:line="130" w:lineRule="exact"/>
        <w:rPr>
          <w:sz w:val="20"/>
          <w:szCs w:val="20"/>
          <w:color w:val="auto"/>
        </w:rPr>
      </w:pPr>
    </w:p>
    <w:p>
      <w:pPr>
        <w:ind w:left="700" w:hanging="301"/>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Annual Incentive Awards</w:t>
      </w:r>
    </w:p>
    <w:p>
      <w:pPr>
        <w:spacing w:after="0" w:line="23" w:lineRule="exact"/>
        <w:rPr>
          <w:rFonts w:ascii="Arial" w:cs="Arial" w:eastAsia="Arial" w:hAnsi="Arial"/>
          <w:sz w:val="18"/>
          <w:szCs w:val="18"/>
          <w:color w:val="auto"/>
        </w:rPr>
      </w:pPr>
    </w:p>
    <w:p>
      <w:pPr>
        <w:ind w:left="700" w:hanging="301"/>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Restricted Stock Awards</w:t>
      </w:r>
    </w:p>
    <w:p>
      <w:pPr>
        <w:spacing w:after="0" w:line="9" w:lineRule="exact"/>
        <w:rPr>
          <w:rFonts w:ascii="Arial" w:cs="Arial" w:eastAsia="Arial" w:hAnsi="Arial"/>
          <w:sz w:val="18"/>
          <w:szCs w:val="18"/>
          <w:color w:val="auto"/>
        </w:rPr>
      </w:pPr>
    </w:p>
    <w:p>
      <w:pPr>
        <w:ind w:left="700" w:hanging="301"/>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Restricted Stock Unit Awards</w:t>
      </w:r>
    </w:p>
    <w:p>
      <w:pPr>
        <w:spacing w:after="0" w:line="9" w:lineRule="exact"/>
        <w:rPr>
          <w:rFonts w:ascii="Arial" w:cs="Arial" w:eastAsia="Arial" w:hAnsi="Arial"/>
          <w:sz w:val="18"/>
          <w:szCs w:val="18"/>
          <w:color w:val="auto"/>
        </w:rPr>
      </w:pPr>
    </w:p>
    <w:p>
      <w:pPr>
        <w:ind w:left="700" w:hanging="301"/>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Performance Share Awards</w:t>
      </w:r>
    </w:p>
    <w:p>
      <w:pPr>
        <w:spacing w:after="0" w:line="9" w:lineRule="exact"/>
        <w:rPr>
          <w:rFonts w:ascii="Arial" w:cs="Arial" w:eastAsia="Arial" w:hAnsi="Arial"/>
          <w:sz w:val="18"/>
          <w:szCs w:val="18"/>
          <w:color w:val="auto"/>
        </w:rPr>
      </w:pPr>
    </w:p>
    <w:p>
      <w:pPr>
        <w:ind w:left="700" w:hanging="301"/>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Performance Restricted Stock Unit Awards</w:t>
      </w:r>
    </w:p>
    <w:p>
      <w:pPr>
        <w:spacing w:after="0" w:line="9" w:lineRule="exact"/>
        <w:rPr>
          <w:rFonts w:ascii="Arial" w:cs="Arial" w:eastAsia="Arial" w:hAnsi="Arial"/>
          <w:sz w:val="18"/>
          <w:szCs w:val="18"/>
          <w:color w:val="auto"/>
        </w:rPr>
      </w:pPr>
    </w:p>
    <w:p>
      <w:pPr>
        <w:ind w:left="700" w:hanging="301"/>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Director Performance Restricted Stock Unit Awards</w:t>
      </w:r>
    </w:p>
    <w:p>
      <w:pPr>
        <w:spacing w:after="0" w:line="157" w:lineRule="exact"/>
        <w:rPr>
          <w:sz w:val="20"/>
          <w:szCs w:val="20"/>
          <w:color w:val="auto"/>
        </w:rPr>
      </w:pPr>
    </w:p>
    <w:p>
      <w:pPr>
        <w:jc w:val="both"/>
        <w:ind w:right="20" w:firstLine="391"/>
        <w:spacing w:after="0" w:line="277" w:lineRule="auto"/>
        <w:rPr>
          <w:sz w:val="20"/>
          <w:szCs w:val="20"/>
          <w:color w:val="auto"/>
        </w:rPr>
      </w:pPr>
      <w:r>
        <w:rPr>
          <w:rFonts w:ascii="Arial" w:cs="Arial" w:eastAsia="Arial" w:hAnsi="Arial"/>
          <w:sz w:val="18"/>
          <w:szCs w:val="18"/>
          <w:color w:val="auto"/>
        </w:rPr>
        <w:t>From time to time in the future, and pursuant to the terms and conditions of the award forms noted above and the 2020 Plan, the Committee may grant annual or long-term incentive awards to employees and directors of the Company as permitted by the 2020 Plan.</w:t>
      </w:r>
    </w:p>
    <w:p>
      <w:pPr>
        <w:spacing w:after="0" w:line="116" w:lineRule="exact"/>
        <w:rPr>
          <w:sz w:val="20"/>
          <w:szCs w:val="20"/>
          <w:color w:val="auto"/>
        </w:rPr>
      </w:pPr>
    </w:p>
    <w:p>
      <w:pPr>
        <w:jc w:val="both"/>
        <w:ind w:firstLine="391"/>
        <w:spacing w:after="0" w:line="259" w:lineRule="auto"/>
        <w:rPr>
          <w:sz w:val="20"/>
          <w:szCs w:val="20"/>
          <w:color w:val="auto"/>
        </w:rPr>
      </w:pPr>
      <w:r>
        <w:rPr>
          <w:rFonts w:ascii="Arial" w:cs="Arial" w:eastAsia="Arial" w:hAnsi="Arial"/>
          <w:sz w:val="18"/>
          <w:szCs w:val="18"/>
          <w:color w:val="auto"/>
        </w:rPr>
        <w:t>The award forms as approved by the Committee are attached to this Quarterly Report on Form 10-Q as Exhibits 10.1, 10.2, 10.3, 10.4, 10.5, and 10.6. Each form attached hereto as an Exhibit is incorporated by reference herein. The Restricted Stock Award form attached hereto as Exhibit 10.2 replaces the Restricted Stock Award form that was previously filed by the Company as Exhibit 10.1 to the Company’s Quarterly Report on Form 10-Q for the quarter ended January 31, 2020.</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6. Exhibits</w:t>
      </w:r>
    </w:p>
    <w:p>
      <w:pPr>
        <w:spacing w:after="0" w:line="144"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The exhibits required to be furnished pursuant to Item 6 are listed in the Exhibit Index filed herewith, which Exhibit Index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503" w:right="3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48"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74"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QUANEX BUILDING PRODUCTS CORPORATION</w:t>
      </w:r>
    </w:p>
    <w:p>
      <w:pPr>
        <w:spacing w:after="0" w:line="189" w:lineRule="exact"/>
        <w:rPr>
          <w:sz w:val="20"/>
          <w:szCs w:val="20"/>
          <w:color w:val="auto"/>
        </w:rPr>
      </w:pPr>
    </w:p>
    <w:p>
      <w:pPr>
        <w:ind w:left="260"/>
        <w:spacing w:after="0"/>
        <w:tabs>
          <w:tab w:leader="none" w:pos="4500" w:val="left"/>
        </w:tabs>
        <w:rPr>
          <w:sz w:val="20"/>
          <w:szCs w:val="20"/>
          <w:color w:val="auto"/>
        </w:rPr>
      </w:pPr>
      <w:r>
        <w:rPr>
          <w:rFonts w:ascii="Arial" w:cs="Arial" w:eastAsia="Arial" w:hAnsi="Arial"/>
          <w:sz w:val="18"/>
          <w:szCs w:val="18"/>
          <w:color w:val="auto"/>
        </w:rPr>
        <w:t>Date: June 5, 2020</w:t>
      </w:r>
      <w:r>
        <w:rPr>
          <w:sz w:val="20"/>
          <w:szCs w:val="20"/>
          <w:color w:val="auto"/>
        </w:rPr>
        <w:tab/>
      </w:r>
      <w:r>
        <w:rPr>
          <w:rFonts w:ascii="Arial" w:cs="Arial" w:eastAsia="Arial" w:hAnsi="Arial"/>
          <w:sz w:val="16"/>
          <w:szCs w:val="16"/>
          <w:color w:val="auto"/>
        </w:rPr>
        <w:t>/s/ Scott M. Zuehlke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31750</wp:posOffset>
            </wp:positionV>
            <wp:extent cx="42691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269105" cy="8255"/>
                    </a:xfrm>
                    <a:prstGeom prst="rect">
                      <a:avLst/>
                    </a:prstGeom>
                    <a:noFill/>
                  </pic:spPr>
                </pic:pic>
              </a:graphicData>
            </a:graphic>
          </wp:anchor>
        </w:drawing>
      </w:r>
    </w:p>
    <w:p>
      <w:pPr>
        <w:spacing w:after="0" w:line="5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Scott M. Zuehlke</w:t>
      </w:r>
    </w:p>
    <w:p>
      <w:pPr>
        <w:spacing w:after="0" w:line="6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Senior Vice President - Chief Financial Officer &amp; Treasurer</w:t>
      </w:r>
    </w:p>
    <w:p>
      <w:pPr>
        <w:spacing w:after="0" w:line="23"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(Principal Financial Officer)</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320" w:top="125" w:right="3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300" w:type="dxa"/>
            <w:vAlign w:val="bottom"/>
            <w:gridSpan w:val="5"/>
          </w:tcPr>
          <w:p>
            <w:pPr>
              <w:ind w:left="98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94"/>
        </w:trPr>
        <w:tc>
          <w:tcPr>
            <w:tcW w:w="1500" w:type="dxa"/>
            <w:vAlign w:val="bottom"/>
          </w:tcPr>
          <w:p>
            <w:pPr>
              <w:spacing w:after="0"/>
              <w:rPr>
                <w:sz w:val="20"/>
                <w:szCs w:val="20"/>
                <w:color w:val="auto"/>
              </w:rPr>
            </w:pPr>
            <w:r>
              <w:rPr>
                <w:rFonts w:ascii="Arial" w:cs="Arial" w:eastAsia="Arial" w:hAnsi="Arial"/>
                <w:sz w:val="16"/>
                <w:szCs w:val="16"/>
                <w:b w:val="1"/>
                <w:bCs w:val="1"/>
                <w:color w:val="auto"/>
              </w:rPr>
              <w:t>Exhibit Number</w:t>
            </w:r>
          </w:p>
        </w:tc>
        <w:tc>
          <w:tcPr>
            <w:tcW w:w="9720" w:type="dxa"/>
            <w:vAlign w:val="bottom"/>
            <w:gridSpan w:val="7"/>
          </w:tcPr>
          <w:p>
            <w:pPr>
              <w:ind w:left="280"/>
              <w:spacing w:after="0"/>
              <w:rPr>
                <w:sz w:val="20"/>
                <w:szCs w:val="20"/>
                <w:color w:val="auto"/>
              </w:rPr>
            </w:pPr>
            <w:r>
              <w:rPr>
                <w:rFonts w:ascii="Arial" w:cs="Arial" w:eastAsia="Arial" w:hAnsi="Arial"/>
                <w:sz w:val="16"/>
                <w:szCs w:val="16"/>
                <w:b w:val="1"/>
                <w:bCs w:val="1"/>
                <w:color w:val="auto"/>
              </w:rPr>
              <w:t>Description of Exhibits</w:t>
            </w:r>
          </w:p>
        </w:tc>
        <w:tc>
          <w:tcPr>
            <w:tcW w:w="0" w:type="dxa"/>
            <w:vAlign w:val="bottom"/>
          </w:tcPr>
          <w:p>
            <w:pPr>
              <w:spacing w:after="0"/>
              <w:rPr>
                <w:sz w:val="1"/>
                <w:szCs w:val="1"/>
                <w:color w:val="auto"/>
              </w:rPr>
            </w:pPr>
          </w:p>
        </w:tc>
      </w:tr>
      <w:tr>
        <w:trPr>
          <w:trHeight w:val="546"/>
        </w:trPr>
        <w:tc>
          <w:tcPr>
            <w:tcW w:w="1500" w:type="dxa"/>
            <w:vAlign w:val="bottom"/>
          </w:tcPr>
          <w:p>
            <w:pPr>
              <w:jc w:val="center"/>
              <w:ind w:left="110"/>
              <w:spacing w:after="0"/>
              <w:rPr>
                <w:rFonts w:ascii="Arial" w:cs="Arial" w:eastAsia="Arial" w:hAnsi="Arial"/>
                <w:sz w:val="18"/>
                <w:szCs w:val="18"/>
                <w:u w:val="single" w:color="auto"/>
                <w:color w:val="0000FF"/>
                <w:w w:val="87"/>
              </w:rPr>
            </w:pPr>
            <w:hyperlink r:id="rId14">
              <w:r>
                <w:rPr>
                  <w:rFonts w:ascii="Arial" w:cs="Arial" w:eastAsia="Arial" w:hAnsi="Arial"/>
                  <w:sz w:val="18"/>
                  <w:szCs w:val="18"/>
                  <w:u w:val="single" w:color="auto"/>
                  <w:color w:val="0000FF"/>
                  <w:w w:val="87"/>
                </w:rPr>
                <w:t>3.1</w:t>
              </w:r>
            </w:hyperlink>
          </w:p>
        </w:tc>
        <w:tc>
          <w:tcPr>
            <w:tcW w:w="340" w:type="dxa"/>
            <w:vAlign w:val="bottom"/>
          </w:tcPr>
          <w:p>
            <w:pPr>
              <w:spacing w:after="0"/>
              <w:rPr>
                <w:sz w:val="24"/>
                <w:szCs w:val="24"/>
                <w:color w:val="auto"/>
              </w:rPr>
            </w:pPr>
          </w:p>
        </w:tc>
        <w:tc>
          <w:tcPr>
            <w:tcW w:w="9380" w:type="dxa"/>
            <w:vAlign w:val="bottom"/>
            <w:tcBorders>
              <w:bottom w:val="single" w:sz="8" w:color="0000FF"/>
            </w:tcBorders>
            <w:gridSpan w:val="6"/>
          </w:tcPr>
          <w:p>
            <w:pPr>
              <w:spacing w:after="0"/>
              <w:rPr>
                <w:rFonts w:ascii="Arial" w:cs="Arial" w:eastAsia="Arial" w:hAnsi="Arial"/>
                <w:sz w:val="18"/>
                <w:szCs w:val="18"/>
                <w:color w:val="0000FF"/>
                <w:w w:val="92"/>
              </w:rPr>
            </w:pPr>
            <w:hyperlink r:id="rId14">
              <w:r>
                <w:rPr>
                  <w:rFonts w:ascii="Arial" w:cs="Arial" w:eastAsia="Arial" w:hAnsi="Arial"/>
                  <w:sz w:val="18"/>
                  <w:szCs w:val="18"/>
                  <w:color w:val="0000FF"/>
                  <w:w w:val="92"/>
                </w:rPr>
                <w:t>Restated Certificate of Incorporation of the Registrant dated as of March 4, 2016, filed as Exhibit 3.1 of the Registrant’s Current</w:t>
              </w:r>
            </w:hyperlink>
          </w:p>
        </w:tc>
        <w:tc>
          <w:tcPr>
            <w:tcW w:w="0" w:type="dxa"/>
            <w:vAlign w:val="bottom"/>
          </w:tcPr>
          <w:p>
            <w:pPr>
              <w:spacing w:after="0"/>
              <w:rPr>
                <w:sz w:val="1"/>
                <w:szCs w:val="1"/>
                <w:color w:val="auto"/>
              </w:rPr>
            </w:pPr>
          </w:p>
        </w:tc>
      </w:tr>
      <w:tr>
        <w:trPr>
          <w:trHeight w:val="196"/>
        </w:trPr>
        <w:tc>
          <w:tcPr>
            <w:tcW w:w="1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380" w:type="dxa"/>
            <w:vAlign w:val="bottom"/>
            <w:gridSpan w:val="6"/>
          </w:tcPr>
          <w:p>
            <w:pPr>
              <w:spacing w:after="0" w:line="196" w:lineRule="exact"/>
              <w:rPr>
                <w:rFonts w:ascii="Arial" w:cs="Arial" w:eastAsia="Arial" w:hAnsi="Arial"/>
                <w:sz w:val="18"/>
                <w:szCs w:val="18"/>
                <w:color w:val="0000FF"/>
                <w:w w:val="97"/>
              </w:rPr>
            </w:pPr>
            <w:hyperlink r:id="rId14">
              <w:r>
                <w:rPr>
                  <w:rFonts w:ascii="Arial" w:cs="Arial" w:eastAsia="Arial" w:hAnsi="Arial"/>
                  <w:sz w:val="18"/>
                  <w:szCs w:val="18"/>
                  <w:color w:val="0000FF"/>
                  <w:w w:val="97"/>
                </w:rPr>
                <w:t>Report on Form 8-K (Reg. No. 001-33913) as filed with the Securities and Exchange Commission on March 7, 2016, and</w:t>
              </w:r>
            </w:hyperlink>
          </w:p>
        </w:tc>
        <w:tc>
          <w:tcPr>
            <w:tcW w:w="0" w:type="dxa"/>
            <w:vAlign w:val="bottom"/>
          </w:tcPr>
          <w:p>
            <w:pPr>
              <w:spacing w:after="0"/>
              <w:rPr>
                <w:sz w:val="1"/>
                <w:szCs w:val="1"/>
                <w:color w:val="auto"/>
              </w:rPr>
            </w:pPr>
          </w:p>
        </w:tc>
      </w:tr>
      <w:tr>
        <w:trPr>
          <w:trHeight w:val="196"/>
        </w:trPr>
        <w:tc>
          <w:tcPr>
            <w:tcW w:w="1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89"/>
              </w:rPr>
            </w:pPr>
            <w:hyperlink r:id="rId14">
              <w:r>
                <w:rPr>
                  <w:rFonts w:ascii="Arial" w:cs="Arial" w:eastAsia="Arial" w:hAnsi="Arial"/>
                  <w:sz w:val="18"/>
                  <w:szCs w:val="18"/>
                  <w:color w:val="0000FF"/>
                  <w:w w:val="89"/>
                </w:rPr>
                <w:t>incorporated herein by reference.</w:t>
              </w:r>
            </w:hyperlink>
          </w:p>
        </w:tc>
        <w:tc>
          <w:tcPr>
            <w:tcW w:w="6960" w:type="dxa"/>
            <w:vAlign w:val="bottom"/>
            <w:tcBorders>
              <w:top w:val="single" w:sz="8" w:color="0000FF"/>
            </w:tcBorders>
            <w:gridSpan w:val="2"/>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500" w:type="dxa"/>
            <w:vAlign w:val="bottom"/>
          </w:tcPr>
          <w:p>
            <w:pPr>
              <w:jc w:val="center"/>
              <w:ind w:left="110"/>
              <w:spacing w:after="0"/>
              <w:rPr>
                <w:rFonts w:ascii="Arial" w:cs="Arial" w:eastAsia="Arial" w:hAnsi="Arial"/>
                <w:sz w:val="18"/>
                <w:szCs w:val="18"/>
                <w:u w:val="single" w:color="auto"/>
                <w:color w:val="0000FF"/>
                <w:w w:val="87"/>
              </w:rPr>
            </w:pPr>
            <w:hyperlink r:id="rId15">
              <w:r>
                <w:rPr>
                  <w:rFonts w:ascii="Arial" w:cs="Arial" w:eastAsia="Arial" w:hAnsi="Arial"/>
                  <w:sz w:val="18"/>
                  <w:szCs w:val="18"/>
                  <w:u w:val="single" w:color="auto"/>
                  <w:color w:val="0000FF"/>
                  <w:w w:val="87"/>
                </w:rPr>
                <w:t>3.2</w:t>
              </w:r>
            </w:hyperlink>
          </w:p>
        </w:tc>
        <w:tc>
          <w:tcPr>
            <w:tcW w:w="340" w:type="dxa"/>
            <w:vAlign w:val="bottom"/>
          </w:tcPr>
          <w:p>
            <w:pPr>
              <w:spacing w:after="0"/>
              <w:rPr>
                <w:sz w:val="24"/>
                <w:szCs w:val="24"/>
                <w:color w:val="auto"/>
              </w:rPr>
            </w:pPr>
          </w:p>
        </w:tc>
        <w:tc>
          <w:tcPr>
            <w:tcW w:w="9380" w:type="dxa"/>
            <w:vAlign w:val="bottom"/>
            <w:gridSpan w:val="6"/>
          </w:tcPr>
          <w:p>
            <w:pPr>
              <w:spacing w:after="0"/>
              <w:rPr>
                <w:rFonts w:ascii="Arial" w:cs="Arial" w:eastAsia="Arial" w:hAnsi="Arial"/>
                <w:sz w:val="18"/>
                <w:szCs w:val="18"/>
                <w:color w:val="0000FF"/>
                <w:w w:val="93"/>
              </w:rPr>
            </w:pPr>
            <w:hyperlink r:id="rId15">
              <w:r>
                <w:rPr>
                  <w:rFonts w:ascii="Arial" w:cs="Arial" w:eastAsia="Arial" w:hAnsi="Arial"/>
                  <w:sz w:val="18"/>
                  <w:szCs w:val="18"/>
                  <w:color w:val="0000FF"/>
                  <w:w w:val="93"/>
                </w:rPr>
                <w:t>Fourth Amended and Restated Bylaws of the Registrant dated as of February 27, 2020, filed as Exhibit 3.2 of the Registrant's</w:t>
              </w:r>
            </w:hyperlink>
          </w:p>
        </w:tc>
        <w:tc>
          <w:tcPr>
            <w:tcW w:w="0" w:type="dxa"/>
            <w:vAlign w:val="bottom"/>
          </w:tcPr>
          <w:p>
            <w:pPr>
              <w:spacing w:after="0"/>
              <w:rPr>
                <w:sz w:val="1"/>
                <w:szCs w:val="1"/>
                <w:color w:val="auto"/>
              </w:rPr>
            </w:pPr>
          </w:p>
        </w:tc>
      </w:tr>
      <w:tr>
        <w:trPr>
          <w:trHeight w:val="196"/>
        </w:trPr>
        <w:tc>
          <w:tcPr>
            <w:tcW w:w="1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360" w:type="dxa"/>
            <w:vAlign w:val="bottom"/>
            <w:tcBorders>
              <w:top w:val="single" w:sz="8" w:color="0000FF"/>
            </w:tcBorders>
            <w:gridSpan w:val="5"/>
          </w:tcPr>
          <w:p>
            <w:pPr>
              <w:spacing w:after="0" w:line="196" w:lineRule="exact"/>
              <w:rPr>
                <w:rFonts w:ascii="Arial" w:cs="Arial" w:eastAsia="Arial" w:hAnsi="Arial"/>
                <w:sz w:val="18"/>
                <w:szCs w:val="18"/>
                <w:color w:val="0000FF"/>
              </w:rPr>
            </w:pPr>
            <w:hyperlink r:id="rId15">
              <w:r>
                <w:rPr>
                  <w:rFonts w:ascii="Arial" w:cs="Arial" w:eastAsia="Arial" w:hAnsi="Arial"/>
                  <w:sz w:val="18"/>
                  <w:szCs w:val="18"/>
                  <w:color w:val="0000FF"/>
                </w:rPr>
                <w:t>Quarterly Report on Form 10-Q (Reg. No. 001-33913) for the quarter ended January 31, 2020.</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4600" w:type="dxa"/>
            <w:vAlign w:val="bottom"/>
            <w:gridSpan w:val="2"/>
            <w:shd w:val="clear" w:color="auto" w:fill="0000FF"/>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500" w:type="dxa"/>
            <w:vAlign w:val="bottom"/>
          </w:tcPr>
          <w:p>
            <w:pPr>
              <w:jc w:val="center"/>
              <w:ind w:left="110"/>
              <w:spacing w:after="0"/>
              <w:rPr>
                <w:rFonts w:ascii="Arial" w:cs="Arial" w:eastAsia="Arial" w:hAnsi="Arial"/>
                <w:sz w:val="18"/>
                <w:szCs w:val="18"/>
                <w:u w:val="single" w:color="auto"/>
                <w:color w:val="0000FF"/>
                <w:w w:val="87"/>
              </w:rPr>
            </w:pPr>
            <w:hyperlink r:id="rId16">
              <w:r>
                <w:rPr>
                  <w:rFonts w:ascii="Arial" w:cs="Arial" w:eastAsia="Arial" w:hAnsi="Arial"/>
                  <w:sz w:val="18"/>
                  <w:szCs w:val="18"/>
                  <w:u w:val="single" w:color="auto"/>
                  <w:color w:val="0000FF"/>
                  <w:w w:val="87"/>
                </w:rPr>
                <w:t>4.1</w:t>
              </w:r>
            </w:hyperlink>
          </w:p>
        </w:tc>
        <w:tc>
          <w:tcPr>
            <w:tcW w:w="340" w:type="dxa"/>
            <w:vAlign w:val="bottom"/>
          </w:tcPr>
          <w:p>
            <w:pPr>
              <w:spacing w:after="0"/>
              <w:rPr>
                <w:sz w:val="24"/>
                <w:szCs w:val="24"/>
                <w:color w:val="auto"/>
              </w:rPr>
            </w:pPr>
          </w:p>
        </w:tc>
        <w:tc>
          <w:tcPr>
            <w:tcW w:w="9380" w:type="dxa"/>
            <w:vAlign w:val="bottom"/>
            <w:gridSpan w:val="6"/>
          </w:tcPr>
          <w:p>
            <w:pPr>
              <w:spacing w:after="0"/>
              <w:rPr>
                <w:rFonts w:ascii="Arial" w:cs="Arial" w:eastAsia="Arial" w:hAnsi="Arial"/>
                <w:sz w:val="18"/>
                <w:szCs w:val="18"/>
                <w:color w:val="0000FF"/>
                <w:w w:val="98"/>
              </w:rPr>
            </w:pPr>
            <w:hyperlink r:id="rId16">
              <w:r>
                <w:rPr>
                  <w:rFonts w:ascii="Arial" w:cs="Arial" w:eastAsia="Arial" w:hAnsi="Arial"/>
                  <w:sz w:val="18"/>
                  <w:szCs w:val="18"/>
                  <w:color w:val="0000FF"/>
                  <w:w w:val="98"/>
                </w:rPr>
                <w:t>Form of Registrant’s Common Stock certificate, filed as Exhibit 4.1 of Amendment No. 1 to the Registrant’s Registration</w:t>
              </w:r>
            </w:hyperlink>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71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380" w:type="dxa"/>
            <w:vAlign w:val="bottom"/>
            <w:tcBorders>
              <w:bottom w:val="single" w:sz="8" w:color="0000FF"/>
            </w:tcBorders>
            <w:gridSpan w:val="6"/>
          </w:tcPr>
          <w:p>
            <w:pPr>
              <w:spacing w:after="0" w:line="196" w:lineRule="exact"/>
              <w:rPr>
                <w:rFonts w:ascii="Arial" w:cs="Arial" w:eastAsia="Arial" w:hAnsi="Arial"/>
                <w:sz w:val="18"/>
                <w:szCs w:val="18"/>
                <w:color w:val="0000FF"/>
                <w:w w:val="92"/>
              </w:rPr>
            </w:pPr>
            <w:hyperlink r:id="rId16">
              <w:r>
                <w:rPr>
                  <w:rFonts w:ascii="Arial" w:cs="Arial" w:eastAsia="Arial" w:hAnsi="Arial"/>
                  <w:sz w:val="18"/>
                  <w:szCs w:val="18"/>
                  <w:color w:val="0000FF"/>
                  <w:w w:val="92"/>
                </w:rPr>
                <w:t>Statement on Form 10 (Reg. No. 001-33913) as filed with the Securities and Exchange Commission on February 14, 2008, and</w:t>
              </w:r>
            </w:hyperlink>
          </w:p>
        </w:tc>
        <w:tc>
          <w:tcPr>
            <w:tcW w:w="0" w:type="dxa"/>
            <w:vAlign w:val="bottom"/>
          </w:tcPr>
          <w:p>
            <w:pPr>
              <w:spacing w:after="0"/>
              <w:rPr>
                <w:sz w:val="1"/>
                <w:szCs w:val="1"/>
                <w:color w:val="auto"/>
              </w:rPr>
            </w:pPr>
          </w:p>
        </w:tc>
      </w:tr>
      <w:tr>
        <w:trPr>
          <w:trHeight w:val="196"/>
        </w:trPr>
        <w:tc>
          <w:tcPr>
            <w:tcW w:w="1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0" w:type="dxa"/>
            <w:vAlign w:val="bottom"/>
            <w:tcBorders>
              <w:bottom w:val="single" w:sz="8" w:color="0000FF"/>
            </w:tcBorders>
            <w:gridSpan w:val="3"/>
          </w:tcPr>
          <w:p>
            <w:pPr>
              <w:spacing w:after="0" w:line="196" w:lineRule="exact"/>
              <w:rPr>
                <w:rFonts w:ascii="Arial" w:cs="Arial" w:eastAsia="Arial" w:hAnsi="Arial"/>
                <w:sz w:val="18"/>
                <w:szCs w:val="18"/>
                <w:color w:val="0000FF"/>
                <w:w w:val="89"/>
              </w:rPr>
            </w:pPr>
            <w:hyperlink r:id="rId16">
              <w:r>
                <w:rPr>
                  <w:rFonts w:ascii="Arial" w:cs="Arial" w:eastAsia="Arial" w:hAnsi="Arial"/>
                  <w:sz w:val="18"/>
                  <w:szCs w:val="18"/>
                  <w:color w:val="0000FF"/>
                  <w:w w:val="89"/>
                </w:rPr>
                <w:t>incorporated herein by reference.</w:t>
              </w:r>
            </w:hyperlink>
          </w:p>
        </w:tc>
        <w:tc>
          <w:tcPr>
            <w:tcW w:w="69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500" w:type="dxa"/>
            <w:vAlign w:val="bottom"/>
          </w:tcPr>
          <w:p>
            <w:pPr>
              <w:jc w:val="center"/>
              <w:ind w:left="110"/>
              <w:spacing w:after="0"/>
              <w:rPr>
                <w:rFonts w:ascii="Arial" w:cs="Arial" w:eastAsia="Arial" w:hAnsi="Arial"/>
                <w:sz w:val="18"/>
                <w:szCs w:val="18"/>
                <w:u w:val="single" w:color="auto"/>
                <w:color w:val="0000FF"/>
                <w:w w:val="87"/>
              </w:rPr>
            </w:pPr>
            <w:hyperlink r:id="rId17">
              <w:r>
                <w:rPr>
                  <w:rFonts w:ascii="Arial" w:cs="Arial" w:eastAsia="Arial" w:hAnsi="Arial"/>
                  <w:sz w:val="18"/>
                  <w:szCs w:val="18"/>
                  <w:u w:val="single" w:color="auto"/>
                  <w:color w:val="0000FF"/>
                  <w:w w:val="87"/>
                </w:rPr>
                <w:t>4.2</w:t>
              </w:r>
            </w:hyperlink>
          </w:p>
        </w:tc>
        <w:tc>
          <w:tcPr>
            <w:tcW w:w="340" w:type="dxa"/>
            <w:vAlign w:val="bottom"/>
          </w:tcPr>
          <w:p>
            <w:pPr>
              <w:spacing w:after="0"/>
              <w:rPr>
                <w:sz w:val="24"/>
                <w:szCs w:val="24"/>
                <w:color w:val="auto"/>
              </w:rPr>
            </w:pPr>
          </w:p>
        </w:tc>
        <w:tc>
          <w:tcPr>
            <w:tcW w:w="9380" w:type="dxa"/>
            <w:vAlign w:val="bottom"/>
            <w:gridSpan w:val="6"/>
            <w:vMerge w:val="restart"/>
          </w:tcPr>
          <w:p>
            <w:pPr>
              <w:spacing w:after="0"/>
              <w:rPr>
                <w:rFonts w:ascii="Arial" w:cs="Arial" w:eastAsia="Arial" w:hAnsi="Arial"/>
                <w:sz w:val="18"/>
                <w:szCs w:val="18"/>
                <w:color w:val="0000FF"/>
                <w:w w:val="92"/>
              </w:rPr>
            </w:pPr>
            <w:hyperlink r:id="rId17">
              <w:r>
                <w:rPr>
                  <w:rFonts w:ascii="Arial" w:cs="Arial" w:eastAsia="Arial" w:hAnsi="Arial"/>
                  <w:sz w:val="18"/>
                  <w:szCs w:val="18"/>
                  <w:color w:val="0000FF"/>
                  <w:w w:val="92"/>
                </w:rPr>
                <w:t>Credit Agreement dated as of October 18, 2018, by and among the Company; the lenders party thereto; and Wells Fargo Bank,</w:t>
              </w:r>
            </w:hyperlink>
          </w:p>
        </w:tc>
        <w:tc>
          <w:tcPr>
            <w:tcW w:w="0" w:type="dxa"/>
            <w:vAlign w:val="bottom"/>
          </w:tcPr>
          <w:p>
            <w:pPr>
              <w:spacing w:after="0"/>
              <w:rPr>
                <w:sz w:val="1"/>
                <w:szCs w:val="1"/>
                <w:color w:val="auto"/>
              </w:rPr>
            </w:pPr>
          </w:p>
        </w:tc>
      </w:tr>
      <w:tr>
        <w:trPr>
          <w:trHeight w:val="45"/>
        </w:trPr>
        <w:tc>
          <w:tcPr>
            <w:tcW w:w="1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9380" w:type="dxa"/>
            <w:vAlign w:val="bottom"/>
            <w:tcBorders>
              <w:bottom w:val="single" w:sz="8" w:color="0000FF"/>
            </w:tcBorders>
            <w:gridSpan w:val="6"/>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1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380" w:type="dxa"/>
            <w:vAlign w:val="bottom"/>
            <w:tcBorders>
              <w:bottom w:val="single" w:sz="8" w:color="0000FF"/>
            </w:tcBorders>
            <w:gridSpan w:val="6"/>
          </w:tcPr>
          <w:p>
            <w:pPr>
              <w:spacing w:after="0" w:line="196" w:lineRule="exact"/>
              <w:rPr>
                <w:rFonts w:ascii="Arial" w:cs="Arial" w:eastAsia="Arial" w:hAnsi="Arial"/>
                <w:sz w:val="18"/>
                <w:szCs w:val="18"/>
                <w:color w:val="0000FF"/>
                <w:w w:val="94"/>
              </w:rPr>
            </w:pPr>
            <w:hyperlink r:id="rId17">
              <w:r>
                <w:rPr>
                  <w:rFonts w:ascii="Arial" w:cs="Arial" w:eastAsia="Arial" w:hAnsi="Arial"/>
                  <w:sz w:val="18"/>
                  <w:szCs w:val="18"/>
                  <w:color w:val="0000FF"/>
                  <w:w w:val="94"/>
                </w:rPr>
                <w:t>National Association, as Agent; filed as Exhibit 10.1 of the Registrant's Current Report on Form 8-K (Reg. No. 001-33913) as</w:t>
              </w:r>
            </w:hyperlink>
          </w:p>
        </w:tc>
        <w:tc>
          <w:tcPr>
            <w:tcW w:w="0" w:type="dxa"/>
            <w:vAlign w:val="bottom"/>
          </w:tcPr>
          <w:p>
            <w:pPr>
              <w:spacing w:after="0"/>
              <w:rPr>
                <w:sz w:val="1"/>
                <w:szCs w:val="1"/>
                <w:color w:val="auto"/>
              </w:rPr>
            </w:pPr>
          </w:p>
        </w:tc>
      </w:tr>
      <w:tr>
        <w:trPr>
          <w:trHeight w:val="237"/>
        </w:trPr>
        <w:tc>
          <w:tcPr>
            <w:tcW w:w="1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380" w:type="dxa"/>
            <w:vAlign w:val="bottom"/>
            <w:gridSpan w:val="6"/>
          </w:tcPr>
          <w:p>
            <w:pPr>
              <w:spacing w:after="0"/>
              <w:rPr>
                <w:rFonts w:ascii="Arial" w:cs="Arial" w:eastAsia="Arial" w:hAnsi="Arial"/>
                <w:sz w:val="18"/>
                <w:szCs w:val="18"/>
                <w:u w:val="single" w:color="auto"/>
                <w:color w:val="0000FF"/>
              </w:rPr>
            </w:pPr>
            <w:hyperlink r:id="rId17">
              <w:r>
                <w:rPr>
                  <w:rFonts w:ascii="Arial" w:cs="Arial" w:eastAsia="Arial" w:hAnsi="Arial"/>
                  <w:sz w:val="18"/>
                  <w:szCs w:val="18"/>
                  <w:u w:val="single" w:color="auto"/>
                  <w:color w:val="0000FF"/>
                </w:rPr>
                <w:t>filed with the Securities and Exchange Commission on October 18, 2018, and incorporated herein by reference.</w:t>
              </w:r>
            </w:hyperlink>
          </w:p>
        </w:tc>
        <w:tc>
          <w:tcPr>
            <w:tcW w:w="0" w:type="dxa"/>
            <w:vAlign w:val="bottom"/>
          </w:tcPr>
          <w:p>
            <w:pPr>
              <w:spacing w:after="0"/>
              <w:rPr>
                <w:sz w:val="1"/>
                <w:szCs w:val="1"/>
                <w:color w:val="auto"/>
              </w:rPr>
            </w:pPr>
          </w:p>
        </w:tc>
      </w:tr>
      <w:tr>
        <w:trPr>
          <w:trHeight w:val="432"/>
        </w:trPr>
        <w:tc>
          <w:tcPr>
            <w:tcW w:w="1500" w:type="dxa"/>
            <w:vAlign w:val="bottom"/>
          </w:tcPr>
          <w:p>
            <w:pPr>
              <w:jc w:val="center"/>
              <w:ind w:left="110"/>
              <w:spacing w:after="0"/>
              <w:rPr>
                <w:rFonts w:ascii="Arial" w:cs="Arial" w:eastAsia="Arial" w:hAnsi="Arial"/>
                <w:sz w:val="18"/>
                <w:szCs w:val="18"/>
                <w:u w:val="single" w:color="auto"/>
                <w:color w:val="0000FF"/>
                <w:w w:val="95"/>
              </w:rPr>
            </w:pPr>
            <w:hyperlink w:anchor="page47">
              <w:r>
                <w:rPr>
                  <w:rFonts w:ascii="Arial" w:cs="Arial" w:eastAsia="Arial" w:hAnsi="Arial"/>
                  <w:sz w:val="18"/>
                  <w:szCs w:val="18"/>
                  <w:u w:val="single" w:color="auto"/>
                  <w:color w:val="0000FF"/>
                  <w:w w:val="95"/>
                </w:rPr>
                <w:t>*†10.1</w:t>
              </w:r>
            </w:hyperlink>
          </w:p>
        </w:tc>
        <w:tc>
          <w:tcPr>
            <w:tcW w:w="340" w:type="dxa"/>
            <w:vAlign w:val="bottom"/>
          </w:tcPr>
          <w:p>
            <w:pPr>
              <w:spacing w:after="0"/>
              <w:rPr>
                <w:sz w:val="24"/>
                <w:szCs w:val="24"/>
                <w:color w:val="auto"/>
              </w:rPr>
            </w:pPr>
          </w:p>
        </w:tc>
        <w:tc>
          <w:tcPr>
            <w:tcW w:w="9380" w:type="dxa"/>
            <w:vAlign w:val="bottom"/>
            <w:gridSpan w:val="6"/>
          </w:tcPr>
          <w:p>
            <w:pPr>
              <w:spacing w:after="0"/>
              <w:rPr>
                <w:rFonts w:ascii="Arial" w:cs="Arial" w:eastAsia="Arial" w:hAnsi="Arial"/>
                <w:sz w:val="18"/>
                <w:szCs w:val="18"/>
                <w:color w:val="0000FF"/>
                <w:w w:val="95"/>
              </w:rPr>
            </w:pPr>
            <w:hyperlink w:anchor="page47">
              <w:r>
                <w:rPr>
                  <w:rFonts w:ascii="Arial" w:cs="Arial" w:eastAsia="Arial" w:hAnsi="Arial"/>
                  <w:sz w:val="18"/>
                  <w:szCs w:val="18"/>
                  <w:color w:val="0000FF"/>
                  <w:w w:val="95"/>
                </w:rPr>
                <w:t>Form of Annual Incentive Award Agreement for Employees under the Quanex Building Products Corporation 2020 Omnibus</w:t>
              </w:r>
            </w:hyperlink>
          </w:p>
        </w:tc>
        <w:tc>
          <w:tcPr>
            <w:tcW w:w="0" w:type="dxa"/>
            <w:vAlign w:val="bottom"/>
          </w:tcPr>
          <w:p>
            <w:pPr>
              <w:spacing w:after="0"/>
              <w:rPr>
                <w:sz w:val="1"/>
                <w:szCs w:val="1"/>
                <w:color w:val="auto"/>
              </w:rPr>
            </w:pPr>
          </w:p>
        </w:tc>
      </w:tr>
      <w:tr>
        <w:trPr>
          <w:trHeight w:val="196"/>
        </w:trPr>
        <w:tc>
          <w:tcPr>
            <w:tcW w:w="1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360" w:type="dxa"/>
            <w:vAlign w:val="bottom"/>
            <w:tcBorders>
              <w:top w:val="single" w:sz="8" w:color="0000FF"/>
            </w:tcBorders>
            <w:gridSpan w:val="5"/>
          </w:tcPr>
          <w:p>
            <w:pPr>
              <w:spacing w:after="0" w:line="196" w:lineRule="exact"/>
              <w:rPr>
                <w:rFonts w:ascii="Arial" w:cs="Arial" w:eastAsia="Arial" w:hAnsi="Arial"/>
                <w:sz w:val="18"/>
                <w:szCs w:val="18"/>
                <w:color w:val="0000FF"/>
              </w:rPr>
            </w:pPr>
            <w:hyperlink w:anchor="page47">
              <w:r>
                <w:rPr>
                  <w:rFonts w:ascii="Arial" w:cs="Arial" w:eastAsia="Arial" w:hAnsi="Arial"/>
                  <w:sz w:val="18"/>
                  <w:szCs w:val="18"/>
                  <w:color w:val="0000FF"/>
                </w:rPr>
                <w:t>Incentive Plan.</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500" w:type="dxa"/>
            <w:vAlign w:val="bottom"/>
          </w:tcPr>
          <w:p>
            <w:pPr>
              <w:jc w:val="center"/>
              <w:ind w:left="110"/>
              <w:spacing w:after="0"/>
              <w:rPr>
                <w:rFonts w:ascii="Arial" w:cs="Arial" w:eastAsia="Arial" w:hAnsi="Arial"/>
                <w:sz w:val="18"/>
                <w:szCs w:val="18"/>
                <w:u w:val="single" w:color="auto"/>
                <w:color w:val="0000FF"/>
                <w:w w:val="95"/>
              </w:rPr>
            </w:pPr>
            <w:hyperlink w:anchor="page51">
              <w:r>
                <w:rPr>
                  <w:rFonts w:ascii="Arial" w:cs="Arial" w:eastAsia="Arial" w:hAnsi="Arial"/>
                  <w:sz w:val="18"/>
                  <w:szCs w:val="18"/>
                  <w:u w:val="single" w:color="auto"/>
                  <w:color w:val="0000FF"/>
                  <w:w w:val="95"/>
                </w:rPr>
                <w:t>*†10.2</w:t>
              </w:r>
            </w:hyperlink>
          </w:p>
        </w:tc>
        <w:tc>
          <w:tcPr>
            <w:tcW w:w="340" w:type="dxa"/>
            <w:vAlign w:val="bottom"/>
          </w:tcPr>
          <w:p>
            <w:pPr>
              <w:spacing w:after="0"/>
              <w:rPr>
                <w:sz w:val="24"/>
                <w:szCs w:val="24"/>
                <w:color w:val="auto"/>
              </w:rPr>
            </w:pPr>
          </w:p>
        </w:tc>
        <w:tc>
          <w:tcPr>
            <w:tcW w:w="9380" w:type="dxa"/>
            <w:vAlign w:val="bottom"/>
            <w:tcBorders>
              <w:bottom w:val="single" w:sz="8" w:color="0000FF"/>
            </w:tcBorders>
            <w:gridSpan w:val="6"/>
          </w:tcPr>
          <w:p>
            <w:pPr>
              <w:spacing w:after="0"/>
              <w:rPr>
                <w:rFonts w:ascii="Arial" w:cs="Arial" w:eastAsia="Arial" w:hAnsi="Arial"/>
                <w:sz w:val="18"/>
                <w:szCs w:val="18"/>
                <w:color w:val="0000FF"/>
                <w:w w:val="95"/>
              </w:rPr>
            </w:pPr>
            <w:hyperlink w:anchor="page51">
              <w:r>
                <w:rPr>
                  <w:rFonts w:ascii="Arial" w:cs="Arial" w:eastAsia="Arial" w:hAnsi="Arial"/>
                  <w:sz w:val="18"/>
                  <w:szCs w:val="18"/>
                  <w:color w:val="0000FF"/>
                  <w:w w:val="95"/>
                </w:rPr>
                <w:t>Form of Restricted Stock Award Agreement for Employees under the Quanex Building Products Corporation 2020 Omnibus</w:t>
              </w:r>
            </w:hyperlink>
          </w:p>
        </w:tc>
        <w:tc>
          <w:tcPr>
            <w:tcW w:w="0" w:type="dxa"/>
            <w:vAlign w:val="bottom"/>
          </w:tcPr>
          <w:p>
            <w:pPr>
              <w:spacing w:after="0"/>
              <w:rPr>
                <w:sz w:val="1"/>
                <w:szCs w:val="1"/>
                <w:color w:val="auto"/>
              </w:rPr>
            </w:pPr>
          </w:p>
        </w:tc>
      </w:tr>
      <w:tr>
        <w:trPr>
          <w:trHeight w:val="196"/>
        </w:trPr>
        <w:tc>
          <w:tcPr>
            <w:tcW w:w="1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380" w:type="dxa"/>
            <w:vAlign w:val="bottom"/>
            <w:gridSpan w:val="6"/>
          </w:tcPr>
          <w:p>
            <w:pPr>
              <w:spacing w:after="0" w:line="196" w:lineRule="exact"/>
              <w:rPr>
                <w:rFonts w:ascii="Arial" w:cs="Arial" w:eastAsia="Arial" w:hAnsi="Arial"/>
                <w:sz w:val="18"/>
                <w:szCs w:val="18"/>
                <w:color w:val="0000FF"/>
              </w:rPr>
            </w:pPr>
            <w:hyperlink w:anchor="page51">
              <w:r>
                <w:rPr>
                  <w:rFonts w:ascii="Arial" w:cs="Arial" w:eastAsia="Arial" w:hAnsi="Arial"/>
                  <w:sz w:val="18"/>
                  <w:szCs w:val="18"/>
                  <w:color w:val="0000FF"/>
                </w:rPr>
                <w:t>Incentive Plan.</w:t>
              </w:r>
            </w:hyperlink>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500" w:type="dxa"/>
            <w:vAlign w:val="bottom"/>
          </w:tcPr>
          <w:p>
            <w:pPr>
              <w:jc w:val="center"/>
              <w:ind w:left="110"/>
              <w:spacing w:after="0"/>
              <w:rPr>
                <w:rFonts w:ascii="Arial" w:cs="Arial" w:eastAsia="Arial" w:hAnsi="Arial"/>
                <w:sz w:val="18"/>
                <w:szCs w:val="18"/>
                <w:u w:val="single" w:color="auto"/>
                <w:color w:val="0000FF"/>
                <w:w w:val="95"/>
              </w:rPr>
            </w:pPr>
            <w:hyperlink w:anchor="page54">
              <w:r>
                <w:rPr>
                  <w:rFonts w:ascii="Arial" w:cs="Arial" w:eastAsia="Arial" w:hAnsi="Arial"/>
                  <w:sz w:val="18"/>
                  <w:szCs w:val="18"/>
                  <w:u w:val="single" w:color="auto"/>
                  <w:color w:val="0000FF"/>
                  <w:w w:val="95"/>
                </w:rPr>
                <w:t>*†10.3</w:t>
              </w:r>
            </w:hyperlink>
          </w:p>
        </w:tc>
        <w:tc>
          <w:tcPr>
            <w:tcW w:w="340" w:type="dxa"/>
            <w:vAlign w:val="bottom"/>
          </w:tcPr>
          <w:p>
            <w:pPr>
              <w:spacing w:after="0"/>
              <w:rPr>
                <w:sz w:val="24"/>
                <w:szCs w:val="24"/>
                <w:color w:val="auto"/>
              </w:rPr>
            </w:pPr>
          </w:p>
        </w:tc>
        <w:tc>
          <w:tcPr>
            <w:tcW w:w="9380" w:type="dxa"/>
            <w:vAlign w:val="bottom"/>
            <w:tcBorders>
              <w:bottom w:val="single" w:sz="8" w:color="0000FF"/>
            </w:tcBorders>
            <w:gridSpan w:val="6"/>
          </w:tcPr>
          <w:p>
            <w:pPr>
              <w:spacing w:after="0"/>
              <w:rPr>
                <w:rFonts w:ascii="Arial" w:cs="Arial" w:eastAsia="Arial" w:hAnsi="Arial"/>
                <w:sz w:val="18"/>
                <w:szCs w:val="18"/>
                <w:color w:val="0000FF"/>
                <w:w w:val="91"/>
              </w:rPr>
            </w:pPr>
            <w:hyperlink w:anchor="page54">
              <w:r>
                <w:rPr>
                  <w:rFonts w:ascii="Arial" w:cs="Arial" w:eastAsia="Arial" w:hAnsi="Arial"/>
                  <w:sz w:val="18"/>
                  <w:szCs w:val="18"/>
                  <w:color w:val="0000FF"/>
                  <w:w w:val="91"/>
                </w:rPr>
                <w:t>Form of Restricted Stock Unit Award Agreement for Employees under the Quanex Building Products Corporation 2020 Omnibus</w:t>
              </w:r>
            </w:hyperlink>
          </w:p>
        </w:tc>
        <w:tc>
          <w:tcPr>
            <w:tcW w:w="0" w:type="dxa"/>
            <w:vAlign w:val="bottom"/>
          </w:tcPr>
          <w:p>
            <w:pPr>
              <w:spacing w:after="0"/>
              <w:rPr>
                <w:sz w:val="1"/>
                <w:szCs w:val="1"/>
                <w:color w:val="auto"/>
              </w:rPr>
            </w:pPr>
          </w:p>
        </w:tc>
      </w:tr>
      <w:tr>
        <w:trPr>
          <w:trHeight w:val="196"/>
        </w:trPr>
        <w:tc>
          <w:tcPr>
            <w:tcW w:w="1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380" w:type="dxa"/>
            <w:vAlign w:val="bottom"/>
            <w:gridSpan w:val="6"/>
          </w:tcPr>
          <w:p>
            <w:pPr>
              <w:spacing w:after="0" w:line="196" w:lineRule="exact"/>
              <w:rPr>
                <w:rFonts w:ascii="Arial" w:cs="Arial" w:eastAsia="Arial" w:hAnsi="Arial"/>
                <w:sz w:val="18"/>
                <w:szCs w:val="18"/>
                <w:color w:val="0000FF"/>
              </w:rPr>
            </w:pPr>
            <w:hyperlink w:anchor="page54">
              <w:r>
                <w:rPr>
                  <w:rFonts w:ascii="Arial" w:cs="Arial" w:eastAsia="Arial" w:hAnsi="Arial"/>
                  <w:sz w:val="18"/>
                  <w:szCs w:val="18"/>
                  <w:color w:val="0000FF"/>
                </w:rPr>
                <w:t>Incentive Plan.</w:t>
              </w:r>
            </w:hyperlink>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500" w:type="dxa"/>
            <w:vAlign w:val="bottom"/>
          </w:tcPr>
          <w:p>
            <w:pPr>
              <w:jc w:val="center"/>
              <w:ind w:left="110"/>
              <w:spacing w:after="0"/>
              <w:rPr>
                <w:rFonts w:ascii="Arial" w:cs="Arial" w:eastAsia="Arial" w:hAnsi="Arial"/>
                <w:sz w:val="18"/>
                <w:szCs w:val="18"/>
                <w:u w:val="single" w:color="auto"/>
                <w:color w:val="0000FF"/>
                <w:w w:val="95"/>
              </w:rPr>
            </w:pPr>
            <w:hyperlink w:anchor="page57">
              <w:r>
                <w:rPr>
                  <w:rFonts w:ascii="Arial" w:cs="Arial" w:eastAsia="Arial" w:hAnsi="Arial"/>
                  <w:sz w:val="18"/>
                  <w:szCs w:val="18"/>
                  <w:u w:val="single" w:color="auto"/>
                  <w:color w:val="0000FF"/>
                  <w:w w:val="95"/>
                </w:rPr>
                <w:t>*†10.4</w:t>
              </w:r>
            </w:hyperlink>
          </w:p>
        </w:tc>
        <w:tc>
          <w:tcPr>
            <w:tcW w:w="340" w:type="dxa"/>
            <w:vAlign w:val="bottom"/>
          </w:tcPr>
          <w:p>
            <w:pPr>
              <w:spacing w:after="0"/>
              <w:rPr>
                <w:sz w:val="24"/>
                <w:szCs w:val="24"/>
                <w:color w:val="auto"/>
              </w:rPr>
            </w:pPr>
          </w:p>
        </w:tc>
        <w:tc>
          <w:tcPr>
            <w:tcW w:w="9380" w:type="dxa"/>
            <w:vAlign w:val="bottom"/>
            <w:tcBorders>
              <w:bottom w:val="single" w:sz="8" w:color="0000FF"/>
            </w:tcBorders>
            <w:gridSpan w:val="6"/>
          </w:tcPr>
          <w:p>
            <w:pPr>
              <w:spacing w:after="0"/>
              <w:rPr>
                <w:rFonts w:ascii="Arial" w:cs="Arial" w:eastAsia="Arial" w:hAnsi="Arial"/>
                <w:sz w:val="18"/>
                <w:szCs w:val="18"/>
                <w:color w:val="0000FF"/>
                <w:w w:val="92"/>
              </w:rPr>
            </w:pPr>
            <w:hyperlink w:anchor="page57">
              <w:r>
                <w:rPr>
                  <w:rFonts w:ascii="Arial" w:cs="Arial" w:eastAsia="Arial" w:hAnsi="Arial"/>
                  <w:sz w:val="18"/>
                  <w:szCs w:val="18"/>
                  <w:color w:val="0000FF"/>
                  <w:w w:val="92"/>
                </w:rPr>
                <w:t>Form of Performance Share Award Agreement for Employees under the Quanex Building Products Corporation 2020 Omnibus</w:t>
              </w:r>
            </w:hyperlink>
          </w:p>
        </w:tc>
        <w:tc>
          <w:tcPr>
            <w:tcW w:w="0" w:type="dxa"/>
            <w:vAlign w:val="bottom"/>
          </w:tcPr>
          <w:p>
            <w:pPr>
              <w:spacing w:after="0"/>
              <w:rPr>
                <w:sz w:val="1"/>
                <w:szCs w:val="1"/>
                <w:color w:val="auto"/>
              </w:rPr>
            </w:pPr>
          </w:p>
        </w:tc>
      </w:tr>
      <w:tr>
        <w:trPr>
          <w:trHeight w:val="196"/>
        </w:trPr>
        <w:tc>
          <w:tcPr>
            <w:tcW w:w="1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380" w:type="dxa"/>
            <w:vAlign w:val="bottom"/>
            <w:gridSpan w:val="6"/>
          </w:tcPr>
          <w:p>
            <w:pPr>
              <w:spacing w:after="0" w:line="196" w:lineRule="exact"/>
              <w:rPr>
                <w:rFonts w:ascii="Arial" w:cs="Arial" w:eastAsia="Arial" w:hAnsi="Arial"/>
                <w:sz w:val="18"/>
                <w:szCs w:val="18"/>
                <w:color w:val="0000FF"/>
              </w:rPr>
            </w:pPr>
            <w:hyperlink w:anchor="page57">
              <w:r>
                <w:rPr>
                  <w:rFonts w:ascii="Arial" w:cs="Arial" w:eastAsia="Arial" w:hAnsi="Arial"/>
                  <w:sz w:val="18"/>
                  <w:szCs w:val="18"/>
                  <w:color w:val="0000FF"/>
                </w:rPr>
                <w:t>Incentive Plan.</w:t>
              </w:r>
            </w:hyperlink>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500" w:type="dxa"/>
            <w:vAlign w:val="bottom"/>
          </w:tcPr>
          <w:p>
            <w:pPr>
              <w:jc w:val="center"/>
              <w:ind w:left="110"/>
              <w:spacing w:after="0"/>
              <w:rPr>
                <w:rFonts w:ascii="Arial" w:cs="Arial" w:eastAsia="Arial" w:hAnsi="Arial"/>
                <w:sz w:val="18"/>
                <w:szCs w:val="18"/>
                <w:u w:val="single" w:color="auto"/>
                <w:color w:val="0000FF"/>
                <w:w w:val="95"/>
              </w:rPr>
            </w:pPr>
            <w:hyperlink w:anchor="page62">
              <w:r>
                <w:rPr>
                  <w:rFonts w:ascii="Arial" w:cs="Arial" w:eastAsia="Arial" w:hAnsi="Arial"/>
                  <w:sz w:val="18"/>
                  <w:szCs w:val="18"/>
                  <w:u w:val="single" w:color="auto"/>
                  <w:color w:val="0000FF"/>
                  <w:w w:val="95"/>
                </w:rPr>
                <w:t>*†10.5</w:t>
              </w:r>
            </w:hyperlink>
          </w:p>
        </w:tc>
        <w:tc>
          <w:tcPr>
            <w:tcW w:w="340" w:type="dxa"/>
            <w:vAlign w:val="bottom"/>
          </w:tcPr>
          <w:p>
            <w:pPr>
              <w:spacing w:after="0"/>
              <w:rPr>
                <w:sz w:val="24"/>
                <w:szCs w:val="24"/>
                <w:color w:val="auto"/>
              </w:rPr>
            </w:pPr>
          </w:p>
        </w:tc>
        <w:tc>
          <w:tcPr>
            <w:tcW w:w="9380" w:type="dxa"/>
            <w:vAlign w:val="bottom"/>
            <w:tcBorders>
              <w:bottom w:val="single" w:sz="8" w:color="0000FF"/>
            </w:tcBorders>
            <w:gridSpan w:val="6"/>
          </w:tcPr>
          <w:p>
            <w:pPr>
              <w:spacing w:after="0"/>
              <w:rPr>
                <w:rFonts w:ascii="Arial" w:cs="Arial" w:eastAsia="Arial" w:hAnsi="Arial"/>
                <w:sz w:val="18"/>
                <w:szCs w:val="18"/>
                <w:color w:val="0000FF"/>
                <w:w w:val="93"/>
              </w:rPr>
            </w:pPr>
            <w:hyperlink w:anchor="page62">
              <w:r>
                <w:rPr>
                  <w:rFonts w:ascii="Arial" w:cs="Arial" w:eastAsia="Arial" w:hAnsi="Arial"/>
                  <w:sz w:val="18"/>
                  <w:szCs w:val="18"/>
                  <w:color w:val="0000FF"/>
                  <w:w w:val="93"/>
                </w:rPr>
                <w:t>Form of Performance Restricted Stock Unit Award Agreement for Employees under the Quanex Building Products Corporation</w:t>
              </w:r>
            </w:hyperlink>
          </w:p>
        </w:tc>
        <w:tc>
          <w:tcPr>
            <w:tcW w:w="0" w:type="dxa"/>
            <w:vAlign w:val="bottom"/>
          </w:tcPr>
          <w:p>
            <w:pPr>
              <w:spacing w:after="0"/>
              <w:rPr>
                <w:sz w:val="1"/>
                <w:szCs w:val="1"/>
                <w:color w:val="auto"/>
              </w:rPr>
            </w:pPr>
          </w:p>
        </w:tc>
      </w:tr>
      <w:tr>
        <w:trPr>
          <w:trHeight w:val="196"/>
        </w:trPr>
        <w:tc>
          <w:tcPr>
            <w:tcW w:w="1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0" w:type="dxa"/>
            <w:vAlign w:val="bottom"/>
            <w:tcBorders>
              <w:bottom w:val="single" w:sz="8" w:color="0000FF"/>
            </w:tcBorders>
            <w:gridSpan w:val="2"/>
          </w:tcPr>
          <w:p>
            <w:pPr>
              <w:spacing w:after="0" w:line="196" w:lineRule="exact"/>
              <w:rPr>
                <w:rFonts w:ascii="Arial" w:cs="Arial" w:eastAsia="Arial" w:hAnsi="Arial"/>
                <w:sz w:val="18"/>
                <w:szCs w:val="18"/>
                <w:color w:val="0000FF"/>
                <w:w w:val="90"/>
              </w:rPr>
            </w:pPr>
            <w:hyperlink w:anchor="page62">
              <w:r>
                <w:rPr>
                  <w:rFonts w:ascii="Arial" w:cs="Arial" w:eastAsia="Arial" w:hAnsi="Arial"/>
                  <w:sz w:val="18"/>
                  <w:szCs w:val="18"/>
                  <w:color w:val="0000FF"/>
                  <w:w w:val="90"/>
                </w:rPr>
                <w:t>2020 Omnibus Incentive Plan.</w:t>
              </w:r>
            </w:hyperlink>
          </w:p>
        </w:tc>
        <w:tc>
          <w:tcPr>
            <w:tcW w:w="71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500" w:type="dxa"/>
            <w:vAlign w:val="bottom"/>
          </w:tcPr>
          <w:p>
            <w:pPr>
              <w:jc w:val="center"/>
              <w:ind w:left="110"/>
              <w:spacing w:after="0"/>
              <w:rPr>
                <w:rFonts w:ascii="Arial" w:cs="Arial" w:eastAsia="Arial" w:hAnsi="Arial"/>
                <w:sz w:val="18"/>
                <w:szCs w:val="18"/>
                <w:u w:val="single" w:color="auto"/>
                <w:color w:val="0000FF"/>
                <w:w w:val="95"/>
              </w:rPr>
            </w:pPr>
            <w:hyperlink w:anchor="page66">
              <w:r>
                <w:rPr>
                  <w:rFonts w:ascii="Arial" w:cs="Arial" w:eastAsia="Arial" w:hAnsi="Arial"/>
                  <w:sz w:val="18"/>
                  <w:szCs w:val="18"/>
                  <w:u w:val="single" w:color="auto"/>
                  <w:color w:val="0000FF"/>
                  <w:w w:val="95"/>
                </w:rPr>
                <w:t>*†10.6</w:t>
              </w:r>
            </w:hyperlink>
          </w:p>
        </w:tc>
        <w:tc>
          <w:tcPr>
            <w:tcW w:w="340" w:type="dxa"/>
            <w:vAlign w:val="bottom"/>
          </w:tcPr>
          <w:p>
            <w:pPr>
              <w:spacing w:after="0"/>
              <w:rPr>
                <w:sz w:val="24"/>
                <w:szCs w:val="24"/>
                <w:color w:val="auto"/>
              </w:rPr>
            </w:pPr>
          </w:p>
        </w:tc>
        <w:tc>
          <w:tcPr>
            <w:tcW w:w="9380" w:type="dxa"/>
            <w:vAlign w:val="bottom"/>
            <w:gridSpan w:val="6"/>
          </w:tcPr>
          <w:p>
            <w:pPr>
              <w:spacing w:after="0"/>
              <w:rPr>
                <w:rFonts w:ascii="Arial" w:cs="Arial" w:eastAsia="Arial" w:hAnsi="Arial"/>
                <w:sz w:val="18"/>
                <w:szCs w:val="18"/>
                <w:color w:val="0000FF"/>
                <w:w w:val="94"/>
              </w:rPr>
            </w:pPr>
            <w:hyperlink w:anchor="page66">
              <w:r>
                <w:rPr>
                  <w:rFonts w:ascii="Arial" w:cs="Arial" w:eastAsia="Arial" w:hAnsi="Arial"/>
                  <w:sz w:val="18"/>
                  <w:szCs w:val="18"/>
                  <w:color w:val="0000FF"/>
                  <w:w w:val="94"/>
                </w:rPr>
                <w:t>Form of Performance Restricted Stock Unit Award Agreement for Directors under the Quanex Building Products Corporation</w:t>
              </w:r>
            </w:hyperlink>
          </w:p>
        </w:tc>
        <w:tc>
          <w:tcPr>
            <w:tcW w:w="0" w:type="dxa"/>
            <w:vAlign w:val="bottom"/>
          </w:tcPr>
          <w:p>
            <w:pPr>
              <w:spacing w:after="0"/>
              <w:rPr>
                <w:sz w:val="1"/>
                <w:szCs w:val="1"/>
                <w:color w:val="auto"/>
              </w:rPr>
            </w:pPr>
          </w:p>
        </w:tc>
      </w:tr>
      <w:tr>
        <w:trPr>
          <w:trHeight w:val="196"/>
        </w:trPr>
        <w:tc>
          <w:tcPr>
            <w:tcW w:w="1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90"/>
              </w:rPr>
            </w:pPr>
            <w:hyperlink w:anchor="page66">
              <w:r>
                <w:rPr>
                  <w:rFonts w:ascii="Arial" w:cs="Arial" w:eastAsia="Arial" w:hAnsi="Arial"/>
                  <w:sz w:val="18"/>
                  <w:szCs w:val="18"/>
                  <w:color w:val="0000FF"/>
                  <w:w w:val="90"/>
                </w:rPr>
                <w:t>2020 Omnibus Incentive Plan.</w:t>
              </w:r>
            </w:hyperlink>
          </w:p>
        </w:tc>
        <w:tc>
          <w:tcPr>
            <w:tcW w:w="7160" w:type="dxa"/>
            <w:vAlign w:val="bottom"/>
            <w:tcBorders>
              <w:top w:val="single" w:sz="8" w:color="0000FF"/>
            </w:tcBorders>
            <w:gridSpan w:val="3"/>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500" w:type="dxa"/>
            <w:vAlign w:val="bottom"/>
          </w:tcPr>
          <w:p>
            <w:pPr>
              <w:jc w:val="center"/>
              <w:ind w:left="110"/>
              <w:spacing w:after="0"/>
              <w:rPr>
                <w:rFonts w:ascii="Arial" w:cs="Arial" w:eastAsia="Arial" w:hAnsi="Arial"/>
                <w:sz w:val="18"/>
                <w:szCs w:val="18"/>
                <w:u w:val="single" w:color="auto"/>
                <w:color w:val="0000FF"/>
                <w:w w:val="99"/>
              </w:rPr>
            </w:pPr>
            <w:hyperlink w:anchor="page68">
              <w:r>
                <w:rPr>
                  <w:rFonts w:ascii="Arial" w:cs="Arial" w:eastAsia="Arial" w:hAnsi="Arial"/>
                  <w:sz w:val="18"/>
                  <w:szCs w:val="18"/>
                  <w:u w:val="single" w:color="auto"/>
                  <w:color w:val="0000FF"/>
                  <w:w w:val="99"/>
                </w:rPr>
                <w:t>*31.1</w:t>
              </w:r>
            </w:hyperlink>
          </w:p>
        </w:tc>
        <w:tc>
          <w:tcPr>
            <w:tcW w:w="340" w:type="dxa"/>
            <w:vAlign w:val="bottom"/>
          </w:tcPr>
          <w:p>
            <w:pPr>
              <w:spacing w:after="0"/>
              <w:rPr>
                <w:sz w:val="24"/>
                <w:szCs w:val="24"/>
                <w:color w:val="auto"/>
              </w:rPr>
            </w:pPr>
          </w:p>
        </w:tc>
        <w:tc>
          <w:tcPr>
            <w:tcW w:w="9380" w:type="dxa"/>
            <w:vAlign w:val="bottom"/>
            <w:gridSpan w:val="6"/>
          </w:tcPr>
          <w:p>
            <w:pPr>
              <w:spacing w:after="0"/>
              <w:rPr>
                <w:rFonts w:ascii="Arial" w:cs="Arial" w:eastAsia="Arial" w:hAnsi="Arial"/>
                <w:sz w:val="18"/>
                <w:szCs w:val="18"/>
                <w:u w:val="single" w:color="auto"/>
                <w:color w:val="0000FF"/>
              </w:rPr>
            </w:pPr>
            <w:hyperlink w:anchor="page68">
              <w:r>
                <w:rPr>
                  <w:rFonts w:ascii="Arial" w:cs="Arial" w:eastAsia="Arial" w:hAnsi="Arial"/>
                  <w:sz w:val="18"/>
                  <w:szCs w:val="18"/>
                  <w:u w:val="single" w:color="auto"/>
                  <w:color w:val="0000FF"/>
                </w:rPr>
                <w:t>Certification by chief executive officer pursuant to Rule 13a-14(a)/15d-14(a).</w:t>
              </w:r>
            </w:hyperlink>
          </w:p>
        </w:tc>
        <w:tc>
          <w:tcPr>
            <w:tcW w:w="0" w:type="dxa"/>
            <w:vAlign w:val="bottom"/>
          </w:tcPr>
          <w:p>
            <w:pPr>
              <w:spacing w:after="0"/>
              <w:rPr>
                <w:sz w:val="1"/>
                <w:szCs w:val="1"/>
                <w:color w:val="auto"/>
              </w:rPr>
            </w:pPr>
          </w:p>
        </w:tc>
      </w:tr>
      <w:tr>
        <w:trPr>
          <w:trHeight w:val="392"/>
        </w:trPr>
        <w:tc>
          <w:tcPr>
            <w:tcW w:w="1500" w:type="dxa"/>
            <w:vAlign w:val="bottom"/>
          </w:tcPr>
          <w:p>
            <w:pPr>
              <w:jc w:val="center"/>
              <w:ind w:left="110"/>
              <w:spacing w:after="0"/>
              <w:rPr>
                <w:rFonts w:ascii="Arial" w:cs="Arial" w:eastAsia="Arial" w:hAnsi="Arial"/>
                <w:sz w:val="18"/>
                <w:szCs w:val="18"/>
                <w:u w:val="single" w:color="auto"/>
                <w:color w:val="0000FF"/>
                <w:w w:val="99"/>
              </w:rPr>
            </w:pPr>
            <w:hyperlink w:anchor="page69">
              <w:r>
                <w:rPr>
                  <w:rFonts w:ascii="Arial" w:cs="Arial" w:eastAsia="Arial" w:hAnsi="Arial"/>
                  <w:sz w:val="18"/>
                  <w:szCs w:val="18"/>
                  <w:u w:val="single" w:color="auto"/>
                  <w:color w:val="0000FF"/>
                  <w:w w:val="99"/>
                </w:rPr>
                <w:t>*31.2</w:t>
              </w:r>
            </w:hyperlink>
          </w:p>
        </w:tc>
        <w:tc>
          <w:tcPr>
            <w:tcW w:w="340" w:type="dxa"/>
            <w:vAlign w:val="bottom"/>
          </w:tcPr>
          <w:p>
            <w:pPr>
              <w:spacing w:after="0"/>
              <w:rPr>
                <w:sz w:val="24"/>
                <w:szCs w:val="24"/>
                <w:color w:val="auto"/>
              </w:rPr>
            </w:pPr>
          </w:p>
        </w:tc>
        <w:tc>
          <w:tcPr>
            <w:tcW w:w="9380" w:type="dxa"/>
            <w:vAlign w:val="bottom"/>
            <w:gridSpan w:val="6"/>
          </w:tcPr>
          <w:p>
            <w:pPr>
              <w:spacing w:after="0"/>
              <w:rPr>
                <w:rFonts w:ascii="Arial" w:cs="Arial" w:eastAsia="Arial" w:hAnsi="Arial"/>
                <w:sz w:val="18"/>
                <w:szCs w:val="18"/>
                <w:u w:val="single" w:color="auto"/>
                <w:color w:val="0000FF"/>
              </w:rPr>
            </w:pPr>
            <w:hyperlink w:anchor="page69">
              <w:r>
                <w:rPr>
                  <w:rFonts w:ascii="Arial" w:cs="Arial" w:eastAsia="Arial" w:hAnsi="Arial"/>
                  <w:sz w:val="18"/>
                  <w:szCs w:val="18"/>
                  <w:u w:val="single" w:color="auto"/>
                  <w:color w:val="0000FF"/>
                </w:rPr>
                <w:t>Certification by chief financial officer pursuant to Rule 13a-14(a)/15d-14(a).</w:t>
              </w:r>
            </w:hyperlink>
          </w:p>
        </w:tc>
        <w:tc>
          <w:tcPr>
            <w:tcW w:w="0" w:type="dxa"/>
            <w:vAlign w:val="bottom"/>
          </w:tcPr>
          <w:p>
            <w:pPr>
              <w:spacing w:after="0"/>
              <w:rPr>
                <w:sz w:val="1"/>
                <w:szCs w:val="1"/>
                <w:color w:val="auto"/>
              </w:rPr>
            </w:pPr>
          </w:p>
        </w:tc>
      </w:tr>
      <w:tr>
        <w:trPr>
          <w:trHeight w:val="391"/>
        </w:trPr>
        <w:tc>
          <w:tcPr>
            <w:tcW w:w="1500" w:type="dxa"/>
            <w:vAlign w:val="bottom"/>
          </w:tcPr>
          <w:p>
            <w:pPr>
              <w:jc w:val="center"/>
              <w:ind w:left="110"/>
              <w:spacing w:after="0"/>
              <w:rPr>
                <w:rFonts w:ascii="Arial" w:cs="Arial" w:eastAsia="Arial" w:hAnsi="Arial"/>
                <w:sz w:val="18"/>
                <w:szCs w:val="18"/>
                <w:u w:val="single" w:color="auto"/>
                <w:color w:val="0000FF"/>
                <w:w w:val="99"/>
              </w:rPr>
            </w:pPr>
            <w:hyperlink w:anchor="page70">
              <w:r>
                <w:rPr>
                  <w:rFonts w:ascii="Arial" w:cs="Arial" w:eastAsia="Arial" w:hAnsi="Arial"/>
                  <w:sz w:val="18"/>
                  <w:szCs w:val="18"/>
                  <w:u w:val="single" w:color="auto"/>
                  <w:color w:val="0000FF"/>
                  <w:w w:val="99"/>
                </w:rPr>
                <w:t>*32.1</w:t>
              </w:r>
            </w:hyperlink>
          </w:p>
        </w:tc>
        <w:tc>
          <w:tcPr>
            <w:tcW w:w="340" w:type="dxa"/>
            <w:vAlign w:val="bottom"/>
          </w:tcPr>
          <w:p>
            <w:pPr>
              <w:spacing w:after="0"/>
              <w:rPr>
                <w:sz w:val="24"/>
                <w:szCs w:val="24"/>
                <w:color w:val="auto"/>
              </w:rPr>
            </w:pPr>
          </w:p>
        </w:tc>
        <w:tc>
          <w:tcPr>
            <w:tcW w:w="9380" w:type="dxa"/>
            <w:vAlign w:val="bottom"/>
            <w:gridSpan w:val="6"/>
          </w:tcPr>
          <w:p>
            <w:pPr>
              <w:spacing w:after="0"/>
              <w:rPr>
                <w:rFonts w:ascii="Arial" w:cs="Arial" w:eastAsia="Arial" w:hAnsi="Arial"/>
                <w:sz w:val="18"/>
                <w:szCs w:val="18"/>
                <w:u w:val="single" w:color="auto"/>
                <w:color w:val="0000FF"/>
              </w:rPr>
            </w:pPr>
            <w:hyperlink w:anchor="page70">
              <w:r>
                <w:rPr>
                  <w:rFonts w:ascii="Arial" w:cs="Arial" w:eastAsia="Arial" w:hAnsi="Arial"/>
                  <w:sz w:val="18"/>
                  <w:szCs w:val="18"/>
                  <w:u w:val="single" w:color="auto"/>
                  <w:color w:val="0000FF"/>
                </w:rPr>
                <w:t>Certification pursuant to Section 906 of the Sarbanes-Oxley Act of 2002.</w:t>
              </w:r>
            </w:hyperlink>
          </w:p>
        </w:tc>
        <w:tc>
          <w:tcPr>
            <w:tcW w:w="0" w:type="dxa"/>
            <w:vAlign w:val="bottom"/>
          </w:tcPr>
          <w:p>
            <w:pPr>
              <w:spacing w:after="0"/>
              <w:rPr>
                <w:sz w:val="1"/>
                <w:szCs w:val="1"/>
                <w:color w:val="auto"/>
              </w:rPr>
            </w:pPr>
          </w:p>
        </w:tc>
      </w:tr>
      <w:tr>
        <w:trPr>
          <w:trHeight w:val="377"/>
        </w:trPr>
        <w:tc>
          <w:tcPr>
            <w:tcW w:w="1500" w:type="dxa"/>
            <w:vAlign w:val="bottom"/>
          </w:tcPr>
          <w:p>
            <w:pPr>
              <w:jc w:val="center"/>
              <w:ind w:left="110"/>
              <w:spacing w:after="0"/>
              <w:rPr>
                <w:sz w:val="20"/>
                <w:szCs w:val="20"/>
                <w:color w:val="auto"/>
              </w:rPr>
            </w:pPr>
            <w:r>
              <w:rPr>
                <w:rFonts w:ascii="Arial" w:cs="Arial" w:eastAsia="Arial" w:hAnsi="Arial"/>
                <w:sz w:val="18"/>
                <w:szCs w:val="18"/>
                <w:color w:val="auto"/>
                <w:w w:val="97"/>
              </w:rPr>
              <w:t>*101.INS</w:t>
            </w:r>
          </w:p>
        </w:tc>
        <w:tc>
          <w:tcPr>
            <w:tcW w:w="340" w:type="dxa"/>
            <w:vAlign w:val="bottom"/>
          </w:tcPr>
          <w:p>
            <w:pPr>
              <w:spacing w:after="0"/>
              <w:rPr>
                <w:sz w:val="24"/>
                <w:szCs w:val="24"/>
                <w:color w:val="auto"/>
              </w:rPr>
            </w:pPr>
          </w:p>
        </w:tc>
        <w:tc>
          <w:tcPr>
            <w:tcW w:w="9380" w:type="dxa"/>
            <w:vAlign w:val="bottom"/>
            <w:gridSpan w:val="6"/>
          </w:tcPr>
          <w:p>
            <w:pPr>
              <w:spacing w:after="0"/>
              <w:rPr>
                <w:sz w:val="20"/>
                <w:szCs w:val="20"/>
                <w:color w:val="auto"/>
              </w:rPr>
            </w:pPr>
            <w:r>
              <w:rPr>
                <w:rFonts w:ascii="Arial" w:cs="Arial" w:eastAsia="Arial" w:hAnsi="Arial"/>
                <w:sz w:val="18"/>
                <w:szCs w:val="18"/>
                <w:color w:val="auto"/>
                <w:w w:val="96"/>
              </w:rPr>
              <w:t>XBRL Instance Document - the instance document does not appear in the Interactive Data File because its XBRL tags are</w:t>
            </w:r>
          </w:p>
        </w:tc>
        <w:tc>
          <w:tcPr>
            <w:tcW w:w="0" w:type="dxa"/>
            <w:vAlign w:val="bottom"/>
          </w:tcPr>
          <w:p>
            <w:pPr>
              <w:spacing w:after="0"/>
              <w:rPr>
                <w:sz w:val="1"/>
                <w:szCs w:val="1"/>
                <w:color w:val="auto"/>
              </w:rPr>
            </w:pPr>
          </w:p>
        </w:tc>
      </w:tr>
      <w:tr>
        <w:trPr>
          <w:trHeight w:val="230"/>
        </w:trPr>
        <w:tc>
          <w:tcPr>
            <w:tcW w:w="1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380" w:type="dxa"/>
            <w:vAlign w:val="bottom"/>
            <w:gridSpan w:val="6"/>
          </w:tcPr>
          <w:p>
            <w:pPr>
              <w:spacing w:after="0"/>
              <w:rPr>
                <w:sz w:val="20"/>
                <w:szCs w:val="20"/>
                <w:color w:val="auto"/>
              </w:rPr>
            </w:pPr>
            <w:r>
              <w:rPr>
                <w:rFonts w:ascii="Arial" w:cs="Arial" w:eastAsia="Arial" w:hAnsi="Arial"/>
                <w:sz w:val="18"/>
                <w:szCs w:val="18"/>
                <w:color w:val="auto"/>
              </w:rPr>
              <w:t>embedded within the Inline XBRL document.</w:t>
            </w:r>
          </w:p>
        </w:tc>
        <w:tc>
          <w:tcPr>
            <w:tcW w:w="0" w:type="dxa"/>
            <w:vAlign w:val="bottom"/>
          </w:tcPr>
          <w:p>
            <w:pPr>
              <w:spacing w:after="0"/>
              <w:rPr>
                <w:sz w:val="1"/>
                <w:szCs w:val="1"/>
                <w:color w:val="auto"/>
              </w:rPr>
            </w:pPr>
          </w:p>
        </w:tc>
      </w:tr>
      <w:tr>
        <w:trPr>
          <w:trHeight w:val="392"/>
        </w:trPr>
        <w:tc>
          <w:tcPr>
            <w:tcW w:w="1500" w:type="dxa"/>
            <w:vAlign w:val="bottom"/>
          </w:tcPr>
          <w:p>
            <w:pPr>
              <w:jc w:val="center"/>
              <w:ind w:left="110"/>
              <w:spacing w:after="0"/>
              <w:rPr>
                <w:sz w:val="20"/>
                <w:szCs w:val="20"/>
                <w:color w:val="auto"/>
              </w:rPr>
            </w:pPr>
            <w:r>
              <w:rPr>
                <w:rFonts w:ascii="Arial" w:cs="Arial" w:eastAsia="Arial" w:hAnsi="Arial"/>
                <w:sz w:val="18"/>
                <w:szCs w:val="18"/>
                <w:color w:val="auto"/>
                <w:w w:val="92"/>
              </w:rPr>
              <w:t>*101.SCH</w:t>
            </w:r>
          </w:p>
        </w:tc>
        <w:tc>
          <w:tcPr>
            <w:tcW w:w="340" w:type="dxa"/>
            <w:vAlign w:val="bottom"/>
          </w:tcPr>
          <w:p>
            <w:pPr>
              <w:spacing w:after="0"/>
              <w:rPr>
                <w:sz w:val="24"/>
                <w:szCs w:val="24"/>
                <w:color w:val="auto"/>
              </w:rPr>
            </w:pPr>
          </w:p>
        </w:tc>
        <w:tc>
          <w:tcPr>
            <w:tcW w:w="9380" w:type="dxa"/>
            <w:vAlign w:val="bottom"/>
            <w:gridSpan w:val="6"/>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391"/>
        </w:trPr>
        <w:tc>
          <w:tcPr>
            <w:tcW w:w="1500" w:type="dxa"/>
            <w:vAlign w:val="bottom"/>
          </w:tcPr>
          <w:p>
            <w:pPr>
              <w:jc w:val="center"/>
              <w:ind w:left="110"/>
              <w:spacing w:after="0"/>
              <w:rPr>
                <w:sz w:val="20"/>
                <w:szCs w:val="20"/>
                <w:color w:val="auto"/>
              </w:rPr>
            </w:pPr>
            <w:r>
              <w:rPr>
                <w:rFonts w:ascii="Arial" w:cs="Arial" w:eastAsia="Arial" w:hAnsi="Arial"/>
                <w:sz w:val="18"/>
                <w:szCs w:val="18"/>
                <w:color w:val="auto"/>
              </w:rPr>
              <w:t>*101.CAL</w:t>
            </w:r>
          </w:p>
        </w:tc>
        <w:tc>
          <w:tcPr>
            <w:tcW w:w="340" w:type="dxa"/>
            <w:vAlign w:val="bottom"/>
          </w:tcPr>
          <w:p>
            <w:pPr>
              <w:spacing w:after="0"/>
              <w:rPr>
                <w:sz w:val="24"/>
                <w:szCs w:val="24"/>
                <w:color w:val="auto"/>
              </w:rPr>
            </w:pPr>
          </w:p>
        </w:tc>
        <w:tc>
          <w:tcPr>
            <w:tcW w:w="9380" w:type="dxa"/>
            <w:vAlign w:val="bottom"/>
            <w:gridSpan w:val="6"/>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392"/>
        </w:trPr>
        <w:tc>
          <w:tcPr>
            <w:tcW w:w="1500" w:type="dxa"/>
            <w:vAlign w:val="bottom"/>
          </w:tcPr>
          <w:p>
            <w:pPr>
              <w:jc w:val="center"/>
              <w:ind w:left="110"/>
              <w:spacing w:after="0"/>
              <w:rPr>
                <w:sz w:val="20"/>
                <w:szCs w:val="20"/>
                <w:color w:val="auto"/>
              </w:rPr>
            </w:pPr>
            <w:r>
              <w:rPr>
                <w:rFonts w:ascii="Arial" w:cs="Arial" w:eastAsia="Arial" w:hAnsi="Arial"/>
                <w:sz w:val="18"/>
                <w:szCs w:val="18"/>
                <w:color w:val="auto"/>
                <w:w w:val="94"/>
              </w:rPr>
              <w:t>*101.DEF</w:t>
            </w:r>
          </w:p>
        </w:tc>
        <w:tc>
          <w:tcPr>
            <w:tcW w:w="340" w:type="dxa"/>
            <w:vAlign w:val="bottom"/>
          </w:tcPr>
          <w:p>
            <w:pPr>
              <w:spacing w:after="0"/>
              <w:rPr>
                <w:sz w:val="24"/>
                <w:szCs w:val="24"/>
                <w:color w:val="auto"/>
              </w:rPr>
            </w:pPr>
          </w:p>
        </w:tc>
        <w:tc>
          <w:tcPr>
            <w:tcW w:w="9380" w:type="dxa"/>
            <w:vAlign w:val="bottom"/>
            <w:gridSpan w:val="6"/>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391"/>
        </w:trPr>
        <w:tc>
          <w:tcPr>
            <w:tcW w:w="1500" w:type="dxa"/>
            <w:vAlign w:val="bottom"/>
          </w:tcPr>
          <w:p>
            <w:pPr>
              <w:jc w:val="center"/>
              <w:ind w:left="110"/>
              <w:spacing w:after="0"/>
              <w:rPr>
                <w:sz w:val="20"/>
                <w:szCs w:val="20"/>
                <w:color w:val="auto"/>
              </w:rPr>
            </w:pPr>
            <w:r>
              <w:rPr>
                <w:rFonts w:ascii="Arial" w:cs="Arial" w:eastAsia="Arial" w:hAnsi="Arial"/>
                <w:sz w:val="18"/>
                <w:szCs w:val="18"/>
                <w:color w:val="auto"/>
              </w:rPr>
              <w:t>*101.LAB</w:t>
            </w:r>
          </w:p>
        </w:tc>
        <w:tc>
          <w:tcPr>
            <w:tcW w:w="340" w:type="dxa"/>
            <w:vAlign w:val="bottom"/>
          </w:tcPr>
          <w:p>
            <w:pPr>
              <w:spacing w:after="0"/>
              <w:rPr>
                <w:sz w:val="24"/>
                <w:szCs w:val="24"/>
                <w:color w:val="auto"/>
              </w:rPr>
            </w:pPr>
          </w:p>
        </w:tc>
        <w:tc>
          <w:tcPr>
            <w:tcW w:w="9380" w:type="dxa"/>
            <w:vAlign w:val="bottom"/>
            <w:gridSpan w:val="6"/>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391"/>
        </w:trPr>
        <w:tc>
          <w:tcPr>
            <w:tcW w:w="1500" w:type="dxa"/>
            <w:vAlign w:val="bottom"/>
          </w:tcPr>
          <w:p>
            <w:pPr>
              <w:jc w:val="center"/>
              <w:ind w:left="110"/>
              <w:spacing w:after="0"/>
              <w:rPr>
                <w:sz w:val="20"/>
                <w:szCs w:val="20"/>
                <w:color w:val="auto"/>
              </w:rPr>
            </w:pPr>
            <w:r>
              <w:rPr>
                <w:rFonts w:ascii="Arial" w:cs="Arial" w:eastAsia="Arial" w:hAnsi="Arial"/>
                <w:sz w:val="18"/>
                <w:szCs w:val="18"/>
                <w:color w:val="auto"/>
                <w:w w:val="93"/>
              </w:rPr>
              <w:t>*101.PRE</w:t>
            </w:r>
          </w:p>
        </w:tc>
        <w:tc>
          <w:tcPr>
            <w:tcW w:w="340" w:type="dxa"/>
            <w:vAlign w:val="bottom"/>
          </w:tcPr>
          <w:p>
            <w:pPr>
              <w:spacing w:after="0"/>
              <w:rPr>
                <w:sz w:val="24"/>
                <w:szCs w:val="24"/>
                <w:color w:val="auto"/>
              </w:rPr>
            </w:pPr>
          </w:p>
        </w:tc>
        <w:tc>
          <w:tcPr>
            <w:tcW w:w="9380" w:type="dxa"/>
            <w:vAlign w:val="bottom"/>
            <w:gridSpan w:val="6"/>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Management Compensation or Incentive Plan</w:t>
      </w:r>
    </w:p>
    <w:p>
      <w:pPr>
        <w:spacing w:after="0" w:line="13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As permitted by Item 601(b)(4)(iii)(A) of Regulation S-K, the Registrant has not filed with this Quarterly Report on Form 10-Q certain instruments defining the rights of holders of long-term debt of the Registrant and its subsidiaries because the total amount of securities authorized under any of such instruments does not exceed 10% of the total assets of the Registrant and its subsidiaries on a consolidated basis. The Registrant agrees to furnish a copy of any such agreements to the Securities and Exchange Commission upon request.</w:t>
      </w:r>
    </w:p>
    <w:p>
      <w:pPr>
        <w:sectPr>
          <w:pgSz w:w="11900" w:h="16838" w:orient="portrait"/>
          <w:cols w:equalWidth="0" w:num="1">
            <w:col w:w="11240"/>
          </w:cols>
          <w:pgMar w:left="320" w:top="125" w:right="339" w:bottom="1440" w:gutter="0" w:footer="0" w:header="0"/>
        </w:sectPr>
      </w:pPr>
    </w:p>
    <w:bookmarkStart w:id="46" w:name="page47"/>
    <w:bookmarkEnd w:id="46"/>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QUANEX BUILDING PRODUCTS CORPORATION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ANNUAL INCENTIVE AWARD AGREEMENT</w:t>
      </w:r>
    </w:p>
    <w:p>
      <w:pPr>
        <w:spacing w:after="0" w:line="216"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[____________________]</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i w:val="1"/>
          <w:iCs w:val="1"/>
          <w:color w:val="auto"/>
        </w:rPr>
        <w:t>Grantee</w:t>
      </w:r>
    </w:p>
    <w:p>
      <w:pPr>
        <w:sectPr>
          <w:pgSz w:w="11900" w:h="16891" w:orient="portrait"/>
          <w:cols w:equalWidth="0" w:num="1">
            <w:col w:w="11240"/>
          </w:cols>
          <w:pgMar w:left="320" w:top="1440" w:right="339" w:bottom="0" w:gutter="0" w:footer="0" w:header="0"/>
        </w:sectPr>
      </w:pPr>
    </w:p>
    <w:p>
      <w:pPr>
        <w:spacing w:after="0" w:line="362"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Date of Award:</w:t>
      </w:r>
    </w:p>
    <w:p>
      <w:pPr>
        <w:spacing w:after="0" w:line="20" w:lineRule="exact"/>
        <w:rPr>
          <w:sz w:val="20"/>
          <w:szCs w:val="20"/>
          <w:color w:val="auto"/>
        </w:rPr>
      </w:pPr>
      <w:r>
        <w:rPr>
          <w:sz w:val="20"/>
          <w:szCs w:val="20"/>
          <w:color w:val="auto"/>
        </w:rPr>
        <w:br w:type="column"/>
      </w:r>
    </w:p>
    <w:p>
      <w:pPr>
        <w:spacing w:after="0" w:line="342"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w:t>
      </w:r>
    </w:p>
    <w:p>
      <w:pPr>
        <w:spacing w:after="0" w:line="222" w:lineRule="exact"/>
        <w:rPr>
          <w:sz w:val="20"/>
          <w:szCs w:val="20"/>
          <w:color w:val="auto"/>
        </w:rPr>
      </w:pPr>
    </w:p>
    <w:p>
      <w:pPr>
        <w:sectPr>
          <w:pgSz w:w="11900" w:h="16891" w:orient="portrait"/>
          <w:cols w:equalWidth="0" w:num="2">
            <w:col w:w="5180" w:space="720"/>
            <w:col w:w="5340"/>
          </w:cols>
          <w:pgMar w:left="320" w:top="1440" w:right="339" w:bottom="0" w:gutter="0" w:footer="0" w:header="0"/>
          <w:type w:val="continuous"/>
        </w:sectPr>
      </w:pPr>
    </w:p>
    <w:p>
      <w:pPr>
        <w:spacing w:after="0" w:line="282"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Individual Annual Incentive Target:</w:t>
      </w:r>
    </w:p>
    <w:p>
      <w:pPr>
        <w:spacing w:after="0" w:line="20" w:lineRule="exact"/>
        <w:rPr>
          <w:sz w:val="20"/>
          <w:szCs w:val="20"/>
          <w:color w:val="auto"/>
        </w:rPr>
      </w:pPr>
      <w:r>
        <w:rPr>
          <w:sz w:val="20"/>
          <w:szCs w:val="20"/>
          <w:color w:val="auto"/>
        </w:rPr>
        <w:br w:type="column"/>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Threshold: [__]%</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color w:val="auto"/>
        </w:rPr>
        <w:t>Target: [__]%</w:t>
      </w:r>
    </w:p>
    <w:p>
      <w:pPr>
        <w:spacing w:after="0" w:line="108" w:lineRule="exact"/>
        <w:rPr>
          <w:sz w:val="20"/>
          <w:szCs w:val="20"/>
          <w:color w:val="auto"/>
        </w:rPr>
      </w:pPr>
    </w:p>
    <w:p>
      <w:pPr>
        <w:spacing w:after="0"/>
        <w:rPr>
          <w:sz w:val="20"/>
          <w:szCs w:val="20"/>
          <w:color w:val="auto"/>
        </w:rPr>
      </w:pPr>
      <w:r>
        <w:rPr>
          <w:rFonts w:ascii="Arial" w:cs="Arial" w:eastAsia="Arial" w:hAnsi="Arial"/>
          <w:sz w:val="19"/>
          <w:szCs w:val="19"/>
          <w:color w:val="auto"/>
        </w:rPr>
        <w:t>Maximum: [__]%</w:t>
      </w:r>
    </w:p>
    <w:p>
      <w:pPr>
        <w:spacing w:after="0" w:line="200" w:lineRule="exact"/>
        <w:rPr>
          <w:sz w:val="20"/>
          <w:szCs w:val="20"/>
          <w:color w:val="auto"/>
        </w:rPr>
      </w:pPr>
    </w:p>
    <w:p>
      <w:pPr>
        <w:sectPr>
          <w:pgSz w:w="11900" w:h="16891" w:orient="portrait"/>
          <w:cols w:equalWidth="0" w:num="2">
            <w:col w:w="5180" w:space="720"/>
            <w:col w:w="5340"/>
          </w:cols>
          <w:pgMar w:left="320" w:top="1440" w:right="339" w:bottom="0" w:gutter="0" w:footer="0" w:header="0"/>
          <w:type w:val="continuous"/>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ANNUAL INCENTIVE AWARD</w:t>
      </w:r>
    </w:p>
    <w:p>
      <w:pPr>
        <w:spacing w:after="0" w:line="216" w:lineRule="exact"/>
        <w:rPr>
          <w:sz w:val="20"/>
          <w:szCs w:val="20"/>
          <w:color w:val="auto"/>
        </w:rPr>
      </w:pPr>
    </w:p>
    <w:p>
      <w:pPr>
        <w:jc w:val="both"/>
        <w:ind w:firstLine="8"/>
        <w:spacing w:after="0" w:line="233" w:lineRule="auto"/>
        <w:tabs>
          <w:tab w:leader="none" w:pos="796" w:val="left"/>
        </w:tabs>
        <w:numPr>
          <w:ilvl w:val="0"/>
          <w:numId w:val="12"/>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GRANT OF ANNUAL INCENTIVE AWARD</w:t>
      </w:r>
      <w:r>
        <w:rPr>
          <w:rFonts w:ascii="Arial" w:cs="Arial" w:eastAsia="Arial" w:hAnsi="Arial"/>
          <w:sz w:val="20"/>
          <w:szCs w:val="20"/>
          <w:b w:val="1"/>
          <w:bCs w:val="1"/>
          <w:color w:val="auto"/>
        </w:rPr>
        <w:t xml:space="preserve">. </w:t>
      </w:r>
      <w:r>
        <w:rPr>
          <w:rFonts w:ascii="Arial" w:cs="Arial" w:eastAsia="Arial" w:hAnsi="Arial"/>
          <w:sz w:val="20"/>
          <w:szCs w:val="20"/>
          <w:color w:val="auto"/>
        </w:rPr>
        <w:t>The Compensation Committee (the “</w:t>
      </w:r>
      <w:r>
        <w:rPr>
          <w:rFonts w:ascii="Arial" w:cs="Arial" w:eastAsia="Arial" w:hAnsi="Arial"/>
          <w:sz w:val="20"/>
          <w:szCs w:val="20"/>
          <w:i w:val="1"/>
          <w:iCs w:val="1"/>
          <w:color w:val="auto"/>
        </w:rPr>
        <w:t>Committee</w:t>
      </w:r>
      <w:r>
        <w:rPr>
          <w:rFonts w:ascii="Arial" w:cs="Arial" w:eastAsia="Arial" w:hAnsi="Arial"/>
          <w:sz w:val="20"/>
          <w:szCs w:val="20"/>
          <w:color w:val="auto"/>
        </w:rPr>
        <w:t>”) of the Board of Directors of</w:t>
      </w:r>
      <w:r>
        <w:rPr>
          <w:rFonts w:ascii="Arial" w:cs="Arial" w:eastAsia="Arial" w:hAnsi="Arial"/>
          <w:sz w:val="20"/>
          <w:szCs w:val="20"/>
          <w:b w:val="1"/>
          <w:bCs w:val="1"/>
          <w:color w:val="auto"/>
        </w:rPr>
        <w:t xml:space="preserve"> </w:t>
      </w:r>
      <w:r>
        <w:rPr>
          <w:rFonts w:ascii="Arial" w:cs="Arial" w:eastAsia="Arial" w:hAnsi="Arial"/>
          <w:sz w:val="20"/>
          <w:szCs w:val="20"/>
          <w:color w:val="auto"/>
        </w:rPr>
        <w:t>Quanex Building Products Corporation, a Delaware corporation (the “</w:t>
      </w:r>
      <w:r>
        <w:rPr>
          <w:rFonts w:ascii="Arial" w:cs="Arial" w:eastAsia="Arial" w:hAnsi="Arial"/>
          <w:sz w:val="20"/>
          <w:szCs w:val="20"/>
          <w:i w:val="1"/>
          <w:iCs w:val="1"/>
          <w:color w:val="auto"/>
        </w:rPr>
        <w:t>Company</w:t>
      </w:r>
      <w:r>
        <w:rPr>
          <w:rFonts w:ascii="Arial" w:cs="Arial" w:eastAsia="Arial" w:hAnsi="Arial"/>
          <w:sz w:val="20"/>
          <w:szCs w:val="20"/>
          <w:color w:val="auto"/>
        </w:rPr>
        <w:t>”), subject to the terms and provisions of the Quanex Building Products Corporation 2020 Omnibus Incentive Plan (the “</w:t>
      </w:r>
      <w:r>
        <w:rPr>
          <w:rFonts w:ascii="Arial" w:cs="Arial" w:eastAsia="Arial" w:hAnsi="Arial"/>
          <w:sz w:val="20"/>
          <w:szCs w:val="20"/>
          <w:i w:val="1"/>
          <w:iCs w:val="1"/>
          <w:color w:val="auto"/>
        </w:rPr>
        <w:t>Plan</w:t>
      </w:r>
      <w:r>
        <w:rPr>
          <w:rFonts w:ascii="Arial" w:cs="Arial" w:eastAsia="Arial" w:hAnsi="Arial"/>
          <w:sz w:val="20"/>
          <w:szCs w:val="20"/>
          <w:color w:val="auto"/>
        </w:rPr>
        <w:t>”), hereby awards to you, the above-named Grantee, effective as of the Date of Award set forth above, an Annual Incentive Award under the Plan on the terms and conditions set forth in this Annual Incentive Award Agreement (this “</w:t>
      </w:r>
      <w:r>
        <w:rPr>
          <w:rFonts w:ascii="Arial" w:cs="Arial" w:eastAsia="Arial" w:hAnsi="Arial"/>
          <w:sz w:val="20"/>
          <w:szCs w:val="20"/>
          <w:i w:val="1"/>
          <w:iCs w:val="1"/>
          <w:color w:val="auto"/>
        </w:rPr>
        <w:t>Agreement</w:t>
      </w:r>
      <w:r>
        <w:rPr>
          <w:rFonts w:ascii="Arial" w:cs="Arial" w:eastAsia="Arial" w:hAnsi="Arial"/>
          <w:sz w:val="20"/>
          <w:szCs w:val="20"/>
          <w:color w:val="auto"/>
        </w:rPr>
        <w:t>”).</w:t>
      </w:r>
    </w:p>
    <w:p>
      <w:pPr>
        <w:spacing w:after="0" w:line="18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Under this Annual Incentive Award you have an opportunity to earn an incentive cash payment based upon the achievement of the Performance Goals assigned to you by the Committee for the one-year period beginning November 1, [__], and ending October 31, [__] (the “</w:t>
      </w:r>
      <w:r>
        <w:rPr>
          <w:rFonts w:ascii="Arial" w:cs="Arial" w:eastAsia="Arial" w:hAnsi="Arial"/>
          <w:sz w:val="20"/>
          <w:szCs w:val="20"/>
          <w:i w:val="1"/>
          <w:iCs w:val="1"/>
          <w:color w:val="auto"/>
        </w:rPr>
        <w:t>Performance Period</w:t>
      </w:r>
      <w:r>
        <w:rPr>
          <w:rFonts w:ascii="Arial" w:cs="Arial" w:eastAsia="Arial" w:hAnsi="Arial"/>
          <w:sz w:val="20"/>
          <w:szCs w:val="20"/>
          <w:color w:val="auto"/>
        </w:rPr>
        <w:t>”), as compared with the Threshold Milestone, Target Milestone and Maximum Milestone established for you by the Committee for the Performance Period.</w:t>
      </w:r>
    </w:p>
    <w:p>
      <w:pPr>
        <w:spacing w:after="0" w:line="185" w:lineRule="exact"/>
        <w:rPr>
          <w:sz w:val="20"/>
          <w:szCs w:val="20"/>
          <w:color w:val="auto"/>
        </w:rPr>
      </w:pPr>
    </w:p>
    <w:p>
      <w:pPr>
        <w:jc w:val="both"/>
        <w:ind w:firstLine="8"/>
        <w:spacing w:after="0" w:line="248" w:lineRule="auto"/>
        <w:tabs>
          <w:tab w:leader="none" w:pos="423" w:val="left"/>
        </w:tabs>
        <w:numPr>
          <w:ilvl w:val="0"/>
          <w:numId w:val="13"/>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ACHIEVED INDIVIDUAL INCENTIVE</w:t>
      </w:r>
      <w:r>
        <w:rPr>
          <w:rFonts w:ascii="Arial" w:cs="Arial" w:eastAsia="Arial" w:hAnsi="Arial"/>
          <w:sz w:val="20"/>
          <w:szCs w:val="20"/>
          <w:b w:val="1"/>
          <w:bCs w:val="1"/>
          <w:color w:val="auto"/>
        </w:rPr>
        <w:t xml:space="preserve">. </w:t>
      </w:r>
      <w:r>
        <w:rPr>
          <w:rFonts w:ascii="Arial" w:cs="Arial" w:eastAsia="Arial" w:hAnsi="Arial"/>
          <w:sz w:val="20"/>
          <w:szCs w:val="20"/>
          <w:color w:val="auto"/>
        </w:rPr>
        <w:t>The aggregate amount payable to you under this Agreement as your Annual Incentive</w:t>
      </w:r>
      <w:r>
        <w:rPr>
          <w:rFonts w:ascii="Arial" w:cs="Arial" w:eastAsia="Arial" w:hAnsi="Arial"/>
          <w:sz w:val="20"/>
          <w:szCs w:val="20"/>
          <w:b w:val="1"/>
          <w:bCs w:val="1"/>
          <w:color w:val="auto"/>
        </w:rPr>
        <w:t xml:space="preserve"> </w:t>
      </w:r>
      <w:r>
        <w:rPr>
          <w:rFonts w:ascii="Arial" w:cs="Arial" w:eastAsia="Arial" w:hAnsi="Arial"/>
          <w:sz w:val="20"/>
          <w:szCs w:val="20"/>
          <w:color w:val="auto"/>
        </w:rPr>
        <w:t>Award for the Performance Period is equal to your Achieved Individual Incentive for the Performance Period multiplied by your Salary (as defined below) for the Performance Period. The term “</w:t>
      </w:r>
      <w:r>
        <w:rPr>
          <w:rFonts w:ascii="Arial" w:cs="Arial" w:eastAsia="Arial" w:hAnsi="Arial"/>
          <w:sz w:val="20"/>
          <w:szCs w:val="20"/>
          <w:i w:val="1"/>
          <w:iCs w:val="1"/>
          <w:color w:val="auto"/>
        </w:rPr>
        <w:t>Achieved Individual Incentive</w:t>
      </w:r>
      <w:r>
        <w:rPr>
          <w:rFonts w:ascii="Arial" w:cs="Arial" w:eastAsia="Arial" w:hAnsi="Arial"/>
          <w:sz w:val="20"/>
          <w:szCs w:val="20"/>
          <w:color w:val="auto"/>
        </w:rPr>
        <w:t>” means the amount determined by the Committee using the following guidelines below:</w:t>
      </w:r>
    </w:p>
    <w:p>
      <w:pPr>
        <w:spacing w:after="0" w:line="18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2.1 If (a) the Target Milestones are achieved for the Performance Period (but the Maximum Milestones are not achieved for the Performance Period) and (b) you remain in the active employ of the Company Group through the last day of the Performance Period (except as otherwise provided in this Agreement), then the Achieved Individual Incentive will be equal to the Individual Incentive Target set forth above multiplied by [number] [fraction] ____.</w:t>
      </w:r>
    </w:p>
    <w:p>
      <w:pPr>
        <w:spacing w:after="0" w:line="19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2.2 If (a) the Maximum Milestones are achieved for the Performance Period and (b) you remain in the active employ of the Company Group through the last day of the Performance Period (except as otherwise provided in this Agreement), then the Achieved Individual Incentive will be equal to the Individual Incentive Target set forth above multiplied by [number] [fraction] ____.</w:t>
      </w:r>
    </w:p>
    <w:p>
      <w:pPr>
        <w:spacing w:after="0" w:line="17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2.3 If (a) the Threshold Milestones are achieved for the Performance Period (but the Target Milestones are not achieved for the Performance Period) and (b) you remain in the active employ of the Company Group through the last day of the Performance Period (except as otherwise provided in this Agreement), then the Achieved Individual Incentive will be equal to the Individual Incentive Target set forth above multiplied by [number] [fraction] ____.</w:t>
      </w:r>
    </w:p>
    <w:p>
      <w:pPr>
        <w:spacing w:after="0" w:line="19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2.4 If the performance standard achieved with respect to a particular Performance Goal is between the Threshold Milestone and the Target Milestone or between the Target Milestone and the Maximum Milestone, the applicable Achieved Individual Incentive shall be determined by interpolation.</w:t>
      </w:r>
    </w:p>
    <w:p>
      <w:pPr>
        <w:spacing w:after="0" w:line="18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For example, assume that the Committee grants an employee an annual incentive award under the Plan that is contingent upon achieving Performance Goal A and Performance Goal B, weighting the importance of the goals equally as 50% and 50%, respectively. The Committee establishes Threshold, Target and Maximum Milestones for each Performance Goal. The Individual Annual Incentive Target is 100% if the Target Milestones are met, 200% if the Maximum Milestones are met and 75% if the Threshold Milestones are met. Finally, assume that the employee earns a Salary of $100,000 during the Performance Period, is continuously employed by the Company throughout the Performance Period and achieves the Maximum Milestone for Performance Goal A, and precisely halfway between the Target and Maximum Milestones for Performance Goal B. The total amount payable to the employee under the award is $175,000, which is determined as follows: The amount payable to the employee with respect to Performance Goal A is $100,000 (50% (Performance Goal Percentage) x $100,000 (Salary) x 200% (Achieved Individual Incentive at “Maximum”) = $100,000), and the amount payable to the employee with respect to Performance Goal B is $75,000 (50% (Performance Goal Percentage) x $100,000 (Salary) x 150% (Achieved Individual Incentive interpolated halfway between “Target” and “Maximum”) = $75,000).</w:t>
      </w:r>
    </w:p>
    <w:p>
      <w:pPr>
        <w:spacing w:after="0" w:line="17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2.5 The term “</w:t>
      </w:r>
      <w:r>
        <w:rPr>
          <w:rFonts w:ascii="Arial" w:cs="Arial" w:eastAsia="Arial" w:hAnsi="Arial"/>
          <w:sz w:val="20"/>
          <w:szCs w:val="20"/>
          <w:i w:val="1"/>
          <w:iCs w:val="1"/>
          <w:color w:val="auto"/>
        </w:rPr>
        <w:t>Salary</w:t>
      </w:r>
      <w:r>
        <w:rPr>
          <w:rFonts w:ascii="Arial" w:cs="Arial" w:eastAsia="Arial" w:hAnsi="Arial"/>
          <w:sz w:val="20"/>
          <w:szCs w:val="20"/>
          <w:color w:val="auto"/>
        </w:rPr>
        <w:t>” means the cash amounts paid or payable by the Company Group to you as regular compensation for services rendered during the Performance Period (whether or not deferred), exclusive of bonuses, awards, severance payments, reimbursement of expenses, or fringe benefits.</w:t>
      </w:r>
    </w:p>
    <w:p>
      <w:pPr>
        <w:sectPr>
          <w:pgSz w:w="11900" w:h="16891" w:orient="portrait"/>
          <w:cols w:equalWidth="0" w:num="1">
            <w:col w:w="11240"/>
          </w:cols>
          <w:pgMar w:left="320" w:top="1440" w:right="339" w:bottom="0" w:gutter="0" w:footer="0" w:header="0"/>
          <w:type w:val="continuous"/>
        </w:sectPr>
      </w:pPr>
    </w:p>
    <w:bookmarkStart w:id="47" w:name="page48"/>
    <w:bookmarkEnd w:id="47"/>
    <w:p>
      <w:pPr>
        <w:spacing w:after="0" w:line="19"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0"/>
          <w:szCs w:val="20"/>
          <w:color w:val="auto"/>
        </w:rPr>
        <w:t>2.6</w:t>
      </w:r>
      <w:r>
        <w:rPr>
          <w:sz w:val="20"/>
          <w:szCs w:val="20"/>
          <w:color w:val="auto"/>
        </w:rPr>
        <w:tab/>
      </w:r>
      <w:r>
        <w:rPr>
          <w:rFonts w:ascii="Arial" w:cs="Arial" w:eastAsia="Arial" w:hAnsi="Arial"/>
          <w:sz w:val="16"/>
          <w:szCs w:val="16"/>
          <w:color w:val="auto"/>
        </w:rPr>
        <w:t>The Committee may increase or decrease the amount payable under this Agreement in its sole discretion.</w:t>
      </w:r>
    </w:p>
    <w:p>
      <w:pPr>
        <w:spacing w:after="0" w:line="216" w:lineRule="exact"/>
        <w:rPr>
          <w:sz w:val="20"/>
          <w:szCs w:val="20"/>
          <w:color w:val="auto"/>
        </w:rPr>
      </w:pPr>
    </w:p>
    <w:p>
      <w:pPr>
        <w:ind w:right="20" w:firstLine="648"/>
        <w:spacing w:after="0" w:line="260" w:lineRule="auto"/>
        <w:rPr>
          <w:sz w:val="20"/>
          <w:szCs w:val="20"/>
          <w:color w:val="auto"/>
        </w:rPr>
      </w:pPr>
      <w:r>
        <w:rPr>
          <w:rFonts w:ascii="Arial" w:cs="Arial" w:eastAsia="Arial" w:hAnsi="Arial"/>
          <w:sz w:val="20"/>
          <w:szCs w:val="20"/>
          <w:color w:val="auto"/>
        </w:rPr>
        <w:t>2.7 The Committee’s determinations with respect to the Performance Period for purposes of this Agreement shall be binding upon all persons.</w:t>
      </w:r>
    </w:p>
    <w:p>
      <w:pPr>
        <w:spacing w:after="0" w:line="171" w:lineRule="exact"/>
        <w:rPr>
          <w:sz w:val="20"/>
          <w:szCs w:val="20"/>
          <w:color w:val="auto"/>
        </w:rPr>
      </w:pPr>
    </w:p>
    <w:p>
      <w:pPr>
        <w:jc w:val="both"/>
        <w:ind w:firstLine="8"/>
        <w:spacing w:after="0" w:line="248" w:lineRule="auto"/>
        <w:tabs>
          <w:tab w:leader="none" w:pos="409" w:val="left"/>
        </w:tabs>
        <w:numPr>
          <w:ilvl w:val="0"/>
          <w:numId w:val="14"/>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PAYMENT</w:t>
      </w:r>
      <w:r>
        <w:rPr>
          <w:rFonts w:ascii="Arial" w:cs="Arial" w:eastAsia="Arial" w:hAnsi="Arial"/>
          <w:sz w:val="20"/>
          <w:szCs w:val="20"/>
          <w:b w:val="1"/>
          <w:bCs w:val="1"/>
          <w:color w:val="auto"/>
        </w:rPr>
        <w:t xml:space="preserve">. </w:t>
      </w:r>
      <w:r>
        <w:rPr>
          <w:rFonts w:ascii="Arial" w:cs="Arial" w:eastAsia="Arial" w:hAnsi="Arial"/>
          <w:sz w:val="20"/>
          <w:szCs w:val="20"/>
          <w:color w:val="auto"/>
        </w:rPr>
        <w:t>Any amount payable to you pursuant to this Agreement will be paid to you by the legal entity that is a member of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Group and that is classified by the Company Group as your employer (the “</w:t>
      </w:r>
      <w:r>
        <w:rPr>
          <w:rFonts w:ascii="Arial" w:cs="Arial" w:eastAsia="Arial" w:hAnsi="Arial"/>
          <w:sz w:val="20"/>
          <w:szCs w:val="20"/>
          <w:i w:val="1"/>
          <w:iCs w:val="1"/>
          <w:color w:val="auto"/>
        </w:rPr>
        <w:t>Employer</w:t>
      </w:r>
      <w:r>
        <w:rPr>
          <w:rFonts w:ascii="Arial" w:cs="Arial" w:eastAsia="Arial" w:hAnsi="Arial"/>
          <w:sz w:val="20"/>
          <w:szCs w:val="20"/>
          <w:color w:val="auto"/>
        </w:rPr>
        <w:t>”) (or the Company, if applicable) as soon as practicable after the end of the Performance Period but no later than March 15 of the calendar year following the fiscal year in which the Performance Period ends (the “</w:t>
      </w:r>
      <w:r>
        <w:rPr>
          <w:rFonts w:ascii="Arial" w:cs="Arial" w:eastAsia="Arial" w:hAnsi="Arial"/>
          <w:sz w:val="20"/>
          <w:szCs w:val="20"/>
          <w:i w:val="1"/>
          <w:iCs w:val="1"/>
          <w:color w:val="auto"/>
        </w:rPr>
        <w:t>Payment Date</w:t>
      </w:r>
      <w:r>
        <w:rPr>
          <w:rFonts w:ascii="Arial" w:cs="Arial" w:eastAsia="Arial" w:hAnsi="Arial"/>
          <w:sz w:val="20"/>
          <w:szCs w:val="20"/>
          <w:color w:val="auto"/>
        </w:rPr>
        <w:t>”).</w:t>
      </w:r>
    </w:p>
    <w:p>
      <w:pPr>
        <w:spacing w:after="0" w:line="183" w:lineRule="exact"/>
        <w:rPr>
          <w:rFonts w:ascii="Arial" w:cs="Arial" w:eastAsia="Arial" w:hAnsi="Arial"/>
          <w:sz w:val="20"/>
          <w:szCs w:val="20"/>
          <w:b w:val="1"/>
          <w:bCs w:val="1"/>
          <w:color w:val="auto"/>
        </w:rPr>
      </w:pPr>
    </w:p>
    <w:p>
      <w:pPr>
        <w:jc w:val="both"/>
        <w:ind w:firstLine="8"/>
        <w:spacing w:after="0" w:line="248" w:lineRule="auto"/>
        <w:tabs>
          <w:tab w:leader="none" w:pos="328" w:val="left"/>
        </w:tabs>
        <w:numPr>
          <w:ilvl w:val="0"/>
          <w:numId w:val="14"/>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SEPARATION FROM SERVICE/CHANGE IN CONTROL OF THE COMPANY</w:t>
      </w:r>
      <w:r>
        <w:rPr>
          <w:rFonts w:ascii="Arial" w:cs="Arial" w:eastAsia="Arial" w:hAnsi="Arial"/>
          <w:sz w:val="20"/>
          <w:szCs w:val="20"/>
          <w:b w:val="1"/>
          <w:bCs w:val="1"/>
          <w:color w:val="auto"/>
        </w:rPr>
        <w:t xml:space="preserve">. </w:t>
      </w:r>
      <w:r>
        <w:rPr>
          <w:rFonts w:ascii="Arial" w:cs="Arial" w:eastAsia="Arial" w:hAnsi="Arial"/>
          <w:sz w:val="20"/>
          <w:szCs w:val="20"/>
          <w:color w:val="auto"/>
        </w:rPr>
        <w:t>Notwithstanding anything to the contrary in this</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the following provisions will apply in the event of your Separation from Service (within the meaning of Section 409A (your “</w:t>
      </w:r>
      <w:r>
        <w:rPr>
          <w:rFonts w:ascii="Arial" w:cs="Arial" w:eastAsia="Arial" w:hAnsi="Arial"/>
          <w:sz w:val="20"/>
          <w:szCs w:val="20"/>
          <w:i w:val="1"/>
          <w:iCs w:val="1"/>
          <w:color w:val="auto"/>
        </w:rPr>
        <w:t>Separation from Service</w:t>
      </w:r>
      <w:r>
        <w:rPr>
          <w:rFonts w:ascii="Arial" w:cs="Arial" w:eastAsia="Arial" w:hAnsi="Arial"/>
          <w:sz w:val="20"/>
          <w:szCs w:val="20"/>
          <w:color w:val="auto"/>
        </w:rPr>
        <w:t>”)) from the Company and all Affiliates (the “</w:t>
      </w:r>
      <w:r>
        <w:rPr>
          <w:rFonts w:ascii="Arial" w:cs="Arial" w:eastAsia="Arial" w:hAnsi="Arial"/>
          <w:sz w:val="20"/>
          <w:szCs w:val="20"/>
          <w:i w:val="1"/>
          <w:iCs w:val="1"/>
          <w:color w:val="auto"/>
        </w:rPr>
        <w:t>Company Group</w:t>
      </w:r>
      <w:r>
        <w:rPr>
          <w:rFonts w:ascii="Arial" w:cs="Arial" w:eastAsia="Arial" w:hAnsi="Arial"/>
          <w:sz w:val="20"/>
          <w:szCs w:val="20"/>
          <w:color w:val="auto"/>
        </w:rPr>
        <w:t>”), on or before the last day of the Performance Period.</w:t>
      </w:r>
    </w:p>
    <w:p>
      <w:pPr>
        <w:spacing w:after="0" w:line="18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Separation from Service Generally</w:t>
      </w:r>
      <w:r>
        <w:rPr>
          <w:rFonts w:ascii="Arial" w:cs="Arial" w:eastAsia="Arial" w:hAnsi="Arial"/>
          <w:sz w:val="18"/>
          <w:szCs w:val="18"/>
          <w:color w:val="auto"/>
        </w:rPr>
        <w:t>. Except as otherwise expressly provided to the contrary in this Section 4, in the event of your Separation from Service on or before the end of the Performance Period, all of your rights in this Agreement, including all rights to the Annual Incentive Award, will lapse and be completely forfeited without consideration on the date your employment terminates.</w:t>
      </w:r>
    </w:p>
    <w:p>
      <w:pPr>
        <w:spacing w:after="0" w:line="15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Change in Control.</w:t>
      </w:r>
      <w:r>
        <w:rPr>
          <w:rFonts w:ascii="Arial" w:cs="Arial" w:eastAsia="Arial" w:hAnsi="Arial"/>
          <w:sz w:val="18"/>
          <w:szCs w:val="18"/>
          <w:color w:val="auto"/>
        </w:rPr>
        <w:t xml:space="preserve"> If a “</w:t>
      </w:r>
      <w:r>
        <w:rPr>
          <w:rFonts w:ascii="Arial" w:cs="Arial" w:eastAsia="Arial" w:hAnsi="Arial"/>
          <w:sz w:val="18"/>
          <w:szCs w:val="18"/>
          <w:i w:val="1"/>
          <w:iCs w:val="1"/>
          <w:color w:val="auto"/>
        </w:rPr>
        <w:t>Change in Control</w:t>
      </w:r>
      <w:r>
        <w:rPr>
          <w:rFonts w:ascii="Arial" w:cs="Arial" w:eastAsia="Arial" w:hAnsi="Arial"/>
          <w:sz w:val="18"/>
          <w:szCs w:val="18"/>
          <w:color w:val="auto"/>
        </w:rPr>
        <w:t>” (as defined in the Plan) of the Company occurs on or before the last day of the Performance Period, you do not incur a Separation from Service prior to that time, and the successor company in the Change in Control does not otherwise assume or substitute for the award granted hereby, then no later than ten (10) business days after the closing date of the Change in Control of the Company, the Company or its successor will pay to you an amount in cash equal to the product of (A) the Target Annual Incentive that would be paid to you under this Agreement and (B) a fraction, the numerator of which is the number of days in the current fiscal year through the closing date of the Change in Control and the denominator of which is 365. Notwithstanding the foregoing, if a Change in Control constitutes a payment event with respect to the deferral of compensation and payment hereunder is subject to Section 409A, then the transaction or event with respect to such payment must also constitute a “</w:t>
      </w:r>
      <w:r>
        <w:rPr>
          <w:rFonts w:ascii="Arial" w:cs="Arial" w:eastAsia="Arial" w:hAnsi="Arial"/>
          <w:sz w:val="18"/>
          <w:szCs w:val="18"/>
          <w:i w:val="1"/>
          <w:iCs w:val="1"/>
          <w:color w:val="auto"/>
        </w:rPr>
        <w:t>change in control event</w:t>
      </w:r>
      <w:r>
        <w:rPr>
          <w:rFonts w:ascii="Arial" w:cs="Arial" w:eastAsia="Arial" w:hAnsi="Arial"/>
          <w:sz w:val="18"/>
          <w:szCs w:val="18"/>
          <w:color w:val="auto"/>
        </w:rPr>
        <w:t>,” as defined in Treasury Regulation §1.409A-3(i)(5) to the extent required by Section 409A, and if it does not, and the payment does not meet any other exemption under Section 409A, then payment shall be made when it otherwise would have been made, notwithstanding the Change in Control.</w:t>
      </w:r>
    </w:p>
    <w:p>
      <w:pPr>
        <w:spacing w:after="0" w:line="174"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If this award is assumed or substituted for in connection with a Change in Control, and if you incur an involuntary termination by the Company or its successor without Cause, or you voluntarily terminate employment for Good Reason, in each case following the effective date of a Change in Control of the Company and while the Performance Period associated with this Award is still in effect (or if the Performance Period is complete but the Award has not yet been paid), then this award shall vest in full (based on the Target Annual Incentive amount) upon such termination. For purposes of this Award, the following terms are defined as follows:</w:t>
      </w:r>
    </w:p>
    <w:p>
      <w:pPr>
        <w:spacing w:after="0" w:line="72" w:lineRule="exact"/>
        <w:rPr>
          <w:sz w:val="20"/>
          <w:szCs w:val="20"/>
          <w:color w:val="auto"/>
        </w:rPr>
      </w:pPr>
    </w:p>
    <w:p>
      <w:pPr>
        <w:jc w:val="both"/>
        <w:ind w:left="660"/>
        <w:spacing w:after="0" w:line="259" w:lineRule="auto"/>
        <w:rPr>
          <w:sz w:val="20"/>
          <w:szCs w:val="20"/>
          <w:color w:val="auto"/>
        </w:rPr>
      </w:pPr>
      <w:r>
        <w:rPr>
          <w:rFonts w:ascii="Arial" w:cs="Arial" w:eastAsia="Arial" w:hAnsi="Arial"/>
          <w:sz w:val="19"/>
          <w:szCs w:val="19"/>
          <w:i w:val="1"/>
          <w:iCs w:val="1"/>
          <w:color w:val="auto"/>
        </w:rPr>
        <w:t xml:space="preserve">“Cause” </w:t>
      </w:r>
      <w:r>
        <w:rPr>
          <w:rFonts w:ascii="Arial" w:cs="Arial" w:eastAsia="Arial" w:hAnsi="Arial"/>
          <w:sz w:val="19"/>
          <w:szCs w:val="19"/>
          <w:color w:val="auto"/>
        </w:rPr>
        <w:t>means any action or inaction by you that constitutes (a) gross negligence or willful misconduct in connection with your</w:t>
      </w:r>
      <w:r>
        <w:rPr>
          <w:rFonts w:ascii="Arial" w:cs="Arial" w:eastAsia="Arial" w:hAnsi="Arial"/>
          <w:sz w:val="19"/>
          <w:szCs w:val="19"/>
          <w:i w:val="1"/>
          <w:iCs w:val="1"/>
          <w:color w:val="auto"/>
        </w:rPr>
        <w:t xml:space="preserve"> </w:t>
      </w:r>
      <w:r>
        <w:rPr>
          <w:rFonts w:ascii="Arial" w:cs="Arial" w:eastAsia="Arial" w:hAnsi="Arial"/>
          <w:sz w:val="19"/>
          <w:szCs w:val="19"/>
          <w:color w:val="auto"/>
        </w:rPr>
        <w:t>duties or in the course of your employment with the Company; (b) any act of fraud, embezzlement or theft in connection with your duties or in the course of employment with the Company; (c) intentional wrongful damage to property of the Company; (d) a substantial failure by you to perform your duties after notice to you and a reasonable opportunity to cure; (e) your material breach of restrictive covenants contained in any Company policy or any agreement between you and the Company; or (f) your intentional wrongful disclosure of secret processes or confidential information of the Company.</w:t>
      </w:r>
    </w:p>
    <w:p>
      <w:pPr>
        <w:spacing w:after="0" w:line="192" w:lineRule="exact"/>
        <w:rPr>
          <w:sz w:val="20"/>
          <w:szCs w:val="20"/>
          <w:color w:val="auto"/>
        </w:rPr>
      </w:pPr>
    </w:p>
    <w:p>
      <w:pPr>
        <w:jc w:val="both"/>
        <w:ind w:left="660"/>
        <w:spacing w:after="0" w:line="267" w:lineRule="auto"/>
        <w:rPr>
          <w:sz w:val="20"/>
          <w:szCs w:val="20"/>
          <w:color w:val="auto"/>
        </w:rPr>
      </w:pPr>
      <w:r>
        <w:rPr>
          <w:rFonts w:ascii="Arial" w:cs="Arial" w:eastAsia="Arial" w:hAnsi="Arial"/>
          <w:sz w:val="18"/>
          <w:szCs w:val="18"/>
          <w:i w:val="1"/>
          <w:iCs w:val="1"/>
          <w:color w:val="auto"/>
        </w:rPr>
        <w:t xml:space="preserve">“Good Reason” </w:t>
      </w:r>
      <w:r>
        <w:rPr>
          <w:rFonts w:ascii="Arial" w:cs="Arial" w:eastAsia="Arial" w:hAnsi="Arial"/>
          <w:sz w:val="18"/>
          <w:szCs w:val="18"/>
          <w:color w:val="auto"/>
        </w:rPr>
        <w:t>means, to the extent any such action has been taken without your written consent, the occurrence of any of the</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events: (a) the Company or its successor assigns to you any duties materially inconsistent with your position (including offices, titles and reporting requirements), authority, duties or responsibilities with the Company in effect immediately before the occurrence of the Change in Control, or otherwise makes any material negative change in any such position, authority, duties or responsibilities; (b) the Company or its successor takes any other action that results in a material diminution in such position, authority, duties or responsibilities or otherwise take any action that materially interferes therewith; (c) the Company or its successor materially reduces your annual base salary or target annual bonus as in effect immediately before the occurrence of the Change in Control, other than as part of a reduction of less than ten percent (10%) that is applicable to all executives of the Company or its successor; or (d) the Company or its successor relocates your principal office more than fifty (50) miles from your principal office at the time of the Change in Control, provided that such relocation results in an increase to your daily commute time. A termination for Good Reason also requires that you give the Company written notice of the Good Reason facts and circumstances within sixty (60) days of after becoming aware (or should have become aware) of the applicable facts and circumstances, the Company has an opportunity to cure such circumstances within thirty (30) days after receipt of notice, and you must terminate employment within thirty (30) days after expiration of the Company’s opportunity to cure.</w:t>
      </w:r>
    </w:p>
    <w:p>
      <w:pPr>
        <w:spacing w:after="0" w:line="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Disability</w:t>
      </w:r>
      <w:r>
        <w:rPr>
          <w:rFonts w:ascii="Arial" w:cs="Arial" w:eastAsia="Arial" w:hAnsi="Arial"/>
          <w:sz w:val="18"/>
          <w:szCs w:val="18"/>
          <w:color w:val="auto"/>
        </w:rPr>
        <w:t>. In the event of your Separation from Service due to your Disability on or before the last day of the Performance Period, you will be entitled to receive, on the Payment Date, a cash amount equal to the product of (1) and (2) where (1) is the amount you would have received under this Agreement if you had not incurred a Separation from Service before the end of the Performance Period and</w:t>
      </w:r>
    </w:p>
    <w:p>
      <w:pPr>
        <w:ind w:firstLine="8"/>
        <w:spacing w:after="0" w:line="244" w:lineRule="auto"/>
        <w:tabs>
          <w:tab w:leader="none" w:pos="307" w:val="left"/>
        </w:tabs>
        <w:numPr>
          <w:ilvl w:val="0"/>
          <w:numId w:val="15"/>
        </w:numPr>
        <w:rPr>
          <w:rFonts w:ascii="Arial" w:cs="Arial" w:eastAsia="Arial" w:hAnsi="Arial"/>
          <w:sz w:val="20"/>
          <w:szCs w:val="20"/>
          <w:color w:val="auto"/>
        </w:rPr>
      </w:pPr>
      <w:r>
        <w:rPr>
          <w:rFonts w:ascii="Arial" w:cs="Arial" w:eastAsia="Arial" w:hAnsi="Arial"/>
          <w:sz w:val="20"/>
          <w:szCs w:val="20"/>
          <w:color w:val="auto"/>
        </w:rPr>
        <w:t>is a fraction, the numerator of which is the number of days from the beginning of the Performance Period through the date of your Separation from Service and the denominator of which is the number of days in the Performance Period.</w:t>
      </w:r>
    </w:p>
    <w:p>
      <w:pPr>
        <w:spacing w:after="0" w:line="19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 xml:space="preserve">4.4 </w:t>
      </w:r>
      <w:r>
        <w:rPr>
          <w:rFonts w:ascii="Arial" w:cs="Arial" w:eastAsia="Arial" w:hAnsi="Arial"/>
          <w:sz w:val="19"/>
          <w:szCs w:val="19"/>
          <w:u w:val="single" w:color="auto"/>
          <w:color w:val="auto"/>
        </w:rPr>
        <w:t>Death</w:t>
      </w:r>
      <w:r>
        <w:rPr>
          <w:rFonts w:ascii="Arial" w:cs="Arial" w:eastAsia="Arial" w:hAnsi="Arial"/>
          <w:sz w:val="19"/>
          <w:szCs w:val="19"/>
          <w:color w:val="auto"/>
        </w:rPr>
        <w:t>. In the event of your Separation from Service due to your death on or before the last day of the Performance Period, your estate will be entitled to receive, on the Payment Date, a cash amount equal to the product of (1) and (2) where (1) is the amount you would have received under this Agreement if you had not incurred a Separation from Service before the end of the Performance Period and (2) is a fraction, the numerator of which is the number of days from the beginning of the Performance Period through the date of your Separation from Service and the denominator of which is the number of days in the Performance Period.</w:t>
      </w:r>
    </w:p>
    <w:p>
      <w:pPr>
        <w:spacing w:after="0" w:line="18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Retirement</w:t>
      </w:r>
      <w:r>
        <w:rPr>
          <w:rFonts w:ascii="Arial" w:cs="Arial" w:eastAsia="Arial" w:hAnsi="Arial"/>
          <w:sz w:val="18"/>
          <w:szCs w:val="18"/>
          <w:color w:val="auto"/>
        </w:rPr>
        <w:t>. In the event of your Separation from Service due to your Retirement on or before the last day of the Performance Period, you will be entitled to receive a cash amount, on the Payment Date, equal to the product of (1) and (2) where (1) is the amount you would have received under this Agreement if you had not incurred a Separation from Service before the end of the Performance Period and</w:t>
      </w:r>
    </w:p>
    <w:p>
      <w:pPr>
        <w:sectPr>
          <w:pgSz w:w="11900" w:h="16858" w:orient="portrait"/>
          <w:cols w:equalWidth="0" w:num="1">
            <w:col w:w="11240"/>
          </w:cols>
          <w:pgMar w:left="320" w:top="298" w:right="339" w:bottom="0" w:gutter="0" w:footer="0" w:header="0"/>
        </w:sectPr>
      </w:pPr>
    </w:p>
    <w:bookmarkStart w:id="48" w:name="page49"/>
    <w:bookmarkEnd w:id="48"/>
    <w:p>
      <w:pPr>
        <w:jc w:val="both"/>
        <w:ind w:firstLine="8"/>
        <w:spacing w:after="0" w:line="246" w:lineRule="auto"/>
        <w:tabs>
          <w:tab w:leader="none" w:pos="307" w:val="left"/>
        </w:tabs>
        <w:numPr>
          <w:ilvl w:val="0"/>
          <w:numId w:val="16"/>
        </w:numPr>
        <w:rPr>
          <w:rFonts w:ascii="Arial" w:cs="Arial" w:eastAsia="Arial" w:hAnsi="Arial"/>
          <w:sz w:val="20"/>
          <w:szCs w:val="20"/>
          <w:color w:val="auto"/>
        </w:rPr>
      </w:pPr>
      <w:r>
        <w:rPr>
          <w:rFonts w:ascii="Arial" w:cs="Arial" w:eastAsia="Arial" w:hAnsi="Arial"/>
          <w:sz w:val="20"/>
          <w:szCs w:val="20"/>
          <w:color w:val="auto"/>
        </w:rPr>
        <w:t>is a fraction, the numerator of which is the number of days from the beginning of the Performance Period through the date of your Separation from Service and the denominator of which is the number of days in the Performance Period. For purposes of this Section 4.5 “</w:t>
      </w:r>
      <w:r>
        <w:rPr>
          <w:rFonts w:ascii="Arial" w:cs="Arial" w:eastAsia="Arial" w:hAnsi="Arial"/>
          <w:sz w:val="20"/>
          <w:szCs w:val="20"/>
          <w:i w:val="1"/>
          <w:iCs w:val="1"/>
          <w:color w:val="auto"/>
        </w:rPr>
        <w:t>Retirement</w:t>
      </w:r>
      <w:r>
        <w:rPr>
          <w:rFonts w:ascii="Arial" w:cs="Arial" w:eastAsia="Arial" w:hAnsi="Arial"/>
          <w:sz w:val="20"/>
          <w:szCs w:val="20"/>
          <w:color w:val="auto"/>
        </w:rPr>
        <w:t>” means your voluntary Separation from Service on or after the date on which (a) you are age 65 or (b) you are age 55 and have five years of service with the Company Group.</w:t>
      </w:r>
    </w:p>
    <w:p>
      <w:pPr>
        <w:spacing w:after="0" w:line="186" w:lineRule="exact"/>
        <w:rPr>
          <w:sz w:val="20"/>
          <w:szCs w:val="20"/>
          <w:color w:val="auto"/>
        </w:rPr>
      </w:pPr>
    </w:p>
    <w:p>
      <w:pPr>
        <w:jc w:val="both"/>
        <w:ind w:firstLine="8"/>
        <w:spacing w:after="0" w:line="244" w:lineRule="auto"/>
        <w:tabs>
          <w:tab w:leader="none" w:pos="409" w:val="left"/>
        </w:tabs>
        <w:numPr>
          <w:ilvl w:val="0"/>
          <w:numId w:val="17"/>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TAX WITHHOLDING</w:t>
      </w:r>
      <w:r>
        <w:rPr>
          <w:rFonts w:ascii="Arial" w:cs="Arial" w:eastAsia="Arial" w:hAnsi="Arial"/>
          <w:sz w:val="20"/>
          <w:szCs w:val="20"/>
          <w:color w:val="auto"/>
        </w:rPr>
        <w:t>. To the extent that the receipt of this Agreement or payment pursuant to this Agreement results in income,</w:t>
      </w:r>
      <w:r>
        <w:rPr>
          <w:rFonts w:ascii="Arial" w:cs="Arial" w:eastAsia="Arial" w:hAnsi="Arial"/>
          <w:sz w:val="20"/>
          <w:szCs w:val="20"/>
          <w:b w:val="1"/>
          <w:bCs w:val="1"/>
          <w:color w:val="auto"/>
        </w:rPr>
        <w:t xml:space="preserve"> </w:t>
      </w:r>
      <w:r>
        <w:rPr>
          <w:rFonts w:ascii="Arial" w:cs="Arial" w:eastAsia="Arial" w:hAnsi="Arial"/>
          <w:sz w:val="20"/>
          <w:szCs w:val="20"/>
          <w:color w:val="auto"/>
        </w:rPr>
        <w:t>wages or other compensation to you for any income, employment or other tax purposes with respect to which the Company or Employer, as applicable, has a withholding obligation, you shall deliver to the Company or Employer at the time of such receipt or payment, as the case may be, such amount of money as the Company or Employer may require to meet its obligation under applicable tax laws or regulations, and, if you fail to do so, the Company or Employer is authorized to withhold from any payment under this Agreement or from any cash or stock remuneration or other payment then or thereafter payable to you by the Company Group any tax required to be withheld by reason of such taxable income, wages or compensation.</w:t>
      </w:r>
    </w:p>
    <w:p>
      <w:pPr>
        <w:spacing w:after="0" w:line="185" w:lineRule="exact"/>
        <w:rPr>
          <w:rFonts w:ascii="Arial" w:cs="Arial" w:eastAsia="Arial" w:hAnsi="Arial"/>
          <w:sz w:val="20"/>
          <w:szCs w:val="20"/>
          <w:b w:val="1"/>
          <w:bCs w:val="1"/>
          <w:color w:val="auto"/>
        </w:rPr>
      </w:pPr>
    </w:p>
    <w:p>
      <w:pPr>
        <w:jc w:val="both"/>
        <w:ind w:firstLine="8"/>
        <w:spacing w:after="0" w:line="285" w:lineRule="auto"/>
        <w:tabs>
          <w:tab w:leader="none" w:pos="369"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NONTRANSFERABILITY</w:t>
      </w:r>
      <w:r>
        <w:rPr>
          <w:rFonts w:ascii="Arial" w:cs="Arial" w:eastAsia="Arial" w:hAnsi="Arial"/>
          <w:sz w:val="18"/>
          <w:szCs w:val="18"/>
          <w:b w:val="1"/>
          <w:bCs w:val="1"/>
          <w:color w:val="auto"/>
        </w:rPr>
        <w:t xml:space="preserve">. </w:t>
      </w:r>
      <w:r>
        <w:rPr>
          <w:rFonts w:ascii="Arial" w:cs="Arial" w:eastAsia="Arial" w:hAnsi="Arial"/>
          <w:sz w:val="18"/>
          <w:szCs w:val="18"/>
          <w:color w:val="auto"/>
        </w:rPr>
        <w:t>Your rights under this Agreement and to any Annual Incentive Award that may be payable to you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may not be sold, assigned, pledged, exchanged, hypothecated or otherwise transferred, encumbered or disposed of (other than by will or the applicable laws of descent and distribution). Any such attempted sale, assignment, pledge, exchange, hypothecation, transfer, encumbrance or disposition in violation of this Agreement shall be void and the Company Group shall not be bound thereby.</w:t>
      </w:r>
    </w:p>
    <w:p>
      <w:pPr>
        <w:spacing w:after="0" w:line="150" w:lineRule="exact"/>
        <w:rPr>
          <w:rFonts w:ascii="Arial" w:cs="Arial" w:eastAsia="Arial" w:hAnsi="Arial"/>
          <w:sz w:val="18"/>
          <w:szCs w:val="18"/>
          <w:b w:val="1"/>
          <w:bCs w:val="1"/>
          <w:color w:val="auto"/>
        </w:rPr>
      </w:pPr>
    </w:p>
    <w:p>
      <w:pPr>
        <w:jc w:val="both"/>
        <w:ind w:firstLine="8"/>
        <w:spacing w:after="0" w:line="265" w:lineRule="auto"/>
        <w:tabs>
          <w:tab w:leader="none" w:pos="355" w:val="left"/>
        </w:tabs>
        <w:numPr>
          <w:ilvl w:val="0"/>
          <w:numId w:val="17"/>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CAPITAL ADJUSTMENTS AND REORGANIZATIONS</w:t>
      </w:r>
      <w:r>
        <w:rPr>
          <w:rFonts w:ascii="Arial" w:cs="Arial" w:eastAsia="Arial" w:hAnsi="Arial"/>
          <w:sz w:val="19"/>
          <w:szCs w:val="19"/>
          <w:b w:val="1"/>
          <w:bCs w:val="1"/>
          <w:color w:val="auto"/>
        </w:rPr>
        <w:t xml:space="preserve">. </w:t>
      </w:r>
      <w:r>
        <w:rPr>
          <w:rFonts w:ascii="Arial" w:cs="Arial" w:eastAsia="Arial" w:hAnsi="Arial"/>
          <w:sz w:val="19"/>
          <w:szCs w:val="19"/>
          <w:color w:val="auto"/>
        </w:rPr>
        <w:t>The existence of the Annual Incentive Award shall not affect in any way</w:t>
      </w:r>
      <w:r>
        <w:rPr>
          <w:rFonts w:ascii="Arial" w:cs="Arial" w:eastAsia="Arial" w:hAnsi="Arial"/>
          <w:sz w:val="19"/>
          <w:szCs w:val="19"/>
          <w:b w:val="1"/>
          <w:bCs w:val="1"/>
          <w:color w:val="auto"/>
        </w:rPr>
        <w:t xml:space="preserve"> </w:t>
      </w:r>
      <w:r>
        <w:rPr>
          <w:rFonts w:ascii="Arial" w:cs="Arial" w:eastAsia="Arial" w:hAnsi="Arial"/>
          <w:sz w:val="19"/>
          <w:szCs w:val="19"/>
          <w:color w:val="auto"/>
        </w:rPr>
        <w:t>the right or power of the Company to make or authorize any adjustment, recapitalization, reorganization or other change in its capital structure or its business, engage in any merger or consolidation, issue any debt or equity securities, dissolve or liquidate, or sell, lease, exchange or otherwise dispose of all or any part of its assets or business, or engage in any other corporate act or proceeding.</w:t>
      </w:r>
    </w:p>
    <w:p>
      <w:pPr>
        <w:spacing w:after="0" w:line="169" w:lineRule="exact"/>
        <w:rPr>
          <w:rFonts w:ascii="Arial" w:cs="Arial" w:eastAsia="Arial" w:hAnsi="Arial"/>
          <w:sz w:val="19"/>
          <w:szCs w:val="19"/>
          <w:b w:val="1"/>
          <w:bCs w:val="1"/>
          <w:color w:val="auto"/>
        </w:rPr>
      </w:pPr>
    </w:p>
    <w:p>
      <w:pPr>
        <w:jc w:val="both"/>
        <w:ind w:right="20" w:firstLine="8"/>
        <w:spacing w:after="0" w:line="253" w:lineRule="auto"/>
        <w:tabs>
          <w:tab w:leader="none" w:pos="396" w:val="left"/>
        </w:tabs>
        <w:numPr>
          <w:ilvl w:val="0"/>
          <w:numId w:val="17"/>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NOT AN EMPLOYMENT AGREEMENT</w:t>
      </w:r>
      <w:r>
        <w:rPr>
          <w:rFonts w:ascii="Arial" w:cs="Arial" w:eastAsia="Arial" w:hAnsi="Arial"/>
          <w:sz w:val="20"/>
          <w:szCs w:val="20"/>
          <w:color w:val="auto"/>
        </w:rPr>
        <w:t>. This Agreement is not an employment agreement, and no provision of this Agreement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shall be construed or interpreted to create an employment relationship between you and the Company or any Affiliate or guarantee the right to remain employed by the Company or any Affiliate for any specified term.</w:t>
      </w:r>
    </w:p>
    <w:p>
      <w:pPr>
        <w:spacing w:after="0" w:line="177" w:lineRule="exact"/>
        <w:rPr>
          <w:rFonts w:ascii="Arial" w:cs="Arial" w:eastAsia="Arial" w:hAnsi="Arial"/>
          <w:sz w:val="20"/>
          <w:szCs w:val="20"/>
          <w:b w:val="1"/>
          <w:bCs w:val="1"/>
          <w:color w:val="auto"/>
        </w:rPr>
      </w:pPr>
    </w:p>
    <w:p>
      <w:pPr>
        <w:jc w:val="both"/>
        <w:ind w:firstLine="8"/>
        <w:spacing w:after="0" w:line="253" w:lineRule="auto"/>
        <w:tabs>
          <w:tab w:leader="none" w:pos="355" w:val="left"/>
        </w:tabs>
        <w:numPr>
          <w:ilvl w:val="0"/>
          <w:numId w:val="17"/>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LIMIT OF LIABILITY</w:t>
      </w:r>
      <w:r>
        <w:rPr>
          <w:rFonts w:ascii="Arial" w:cs="Arial" w:eastAsia="Arial" w:hAnsi="Arial"/>
          <w:sz w:val="20"/>
          <w:szCs w:val="20"/>
          <w:color w:val="auto"/>
        </w:rPr>
        <w:t>. Under no circumstances will the Company or an Affiliate be liable for any indirect, incidental, consequential</w:t>
      </w:r>
      <w:r>
        <w:rPr>
          <w:rFonts w:ascii="Arial" w:cs="Arial" w:eastAsia="Arial" w:hAnsi="Arial"/>
          <w:sz w:val="20"/>
          <w:szCs w:val="20"/>
          <w:b w:val="1"/>
          <w:bCs w:val="1"/>
          <w:color w:val="auto"/>
        </w:rPr>
        <w:t xml:space="preserve"> </w:t>
      </w:r>
      <w:r>
        <w:rPr>
          <w:rFonts w:ascii="Arial" w:cs="Arial" w:eastAsia="Arial" w:hAnsi="Arial"/>
          <w:sz w:val="20"/>
          <w:szCs w:val="20"/>
          <w:color w:val="auto"/>
        </w:rPr>
        <w:t>or special damages (including lost profits) of any form incurred by any person, whether or not foreseeable and regardless of the form of the act in which such a claim may be brought, with respect to the Plan.</w:t>
      </w:r>
    </w:p>
    <w:p>
      <w:pPr>
        <w:spacing w:after="0" w:line="177" w:lineRule="exact"/>
        <w:rPr>
          <w:rFonts w:ascii="Arial" w:cs="Arial" w:eastAsia="Arial" w:hAnsi="Arial"/>
          <w:sz w:val="20"/>
          <w:szCs w:val="20"/>
          <w:b w:val="1"/>
          <w:bCs w:val="1"/>
          <w:color w:val="auto"/>
        </w:rPr>
      </w:pPr>
    </w:p>
    <w:p>
      <w:pPr>
        <w:jc w:val="both"/>
        <w:ind w:firstLine="8"/>
        <w:spacing w:after="0" w:line="242" w:lineRule="auto"/>
        <w:tabs>
          <w:tab w:leader="none" w:pos="468" w:val="left"/>
        </w:tabs>
        <w:numPr>
          <w:ilvl w:val="0"/>
          <w:numId w:val="17"/>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REIMBURSEMENT OF EXECUTIVE COMPENSATION IN RESTATEMENT SITUATIONS.</w:t>
      </w:r>
      <w:r>
        <w:rPr>
          <w:rFonts w:ascii="Arial" w:cs="Arial" w:eastAsia="Arial" w:hAnsi="Arial"/>
          <w:sz w:val="20"/>
          <w:szCs w:val="20"/>
          <w:b w:val="1"/>
          <w:bCs w:val="1"/>
          <w:color w:val="auto"/>
        </w:rPr>
        <w:t xml:space="preserve"> </w:t>
      </w:r>
      <w:r>
        <w:rPr>
          <w:rFonts w:ascii="Arial" w:cs="Arial" w:eastAsia="Arial" w:hAnsi="Arial"/>
          <w:sz w:val="20"/>
          <w:szCs w:val="20"/>
          <w:color w:val="auto"/>
        </w:rPr>
        <w:t>To the extent permitted by law,</w:t>
      </w:r>
      <w:r>
        <w:rPr>
          <w:rFonts w:ascii="Arial" w:cs="Arial" w:eastAsia="Arial" w:hAnsi="Arial"/>
          <w:sz w:val="20"/>
          <w:szCs w:val="20"/>
          <w:b w:val="1"/>
          <w:bCs w:val="1"/>
          <w:color w:val="auto"/>
        </w:rPr>
        <w:t xml:space="preserve"> </w:t>
      </w:r>
      <w:r>
        <w:rPr>
          <w:rFonts w:ascii="Arial" w:cs="Arial" w:eastAsia="Arial" w:hAnsi="Arial"/>
          <w:sz w:val="20"/>
          <w:szCs w:val="20"/>
          <w:color w:val="auto"/>
        </w:rPr>
        <w:t>and as determined by the Board in its judgment, the Company may require reimbursement of a portion of any payment to you under this Agreement when (a) the award payment was predicated upon the achievement of certain financial results that were subsequently the subject of a material restatement and (b) a lower payment would have been made to you based upon the restated financial results. In each such instance, the Company will, to the extent practicable, seek to recover the amount by which your cash payment for the relevant period exceeded the lower payment that would have been made based on the restated financial results. If there are multiple performance metrics and one is more readily calculable to determine whether a lower payment should have been made, then the same ratio or percentage applicable for the readily calculable metric shall be applied to the other metric(s) so that the entire bonus amount is recovered on a pro-rata basis to the event. No reimbursement shall be required if such material restatement was caused by or resulted from any change in accounting policy or rules.</w:t>
      </w:r>
    </w:p>
    <w:p>
      <w:pPr>
        <w:spacing w:after="0" w:line="205" w:lineRule="exact"/>
        <w:rPr>
          <w:rFonts w:ascii="Arial" w:cs="Arial" w:eastAsia="Arial" w:hAnsi="Arial"/>
          <w:sz w:val="20"/>
          <w:szCs w:val="20"/>
          <w:b w:val="1"/>
          <w:bCs w:val="1"/>
          <w:color w:val="auto"/>
        </w:rPr>
      </w:pPr>
    </w:p>
    <w:p>
      <w:pPr>
        <w:jc w:val="both"/>
        <w:ind w:firstLine="8"/>
        <w:spacing w:after="0" w:line="303" w:lineRule="auto"/>
        <w:tabs>
          <w:tab w:leader="none" w:pos="443"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AGREEMENT TO REPAYMENT OF PERFORMANCE BASED INCENTIVE COMPENSATION WHEN PAYMENTS ARE REQUIRED UNDER FEDERAL LAW OR THE RULES OF AN EXCHANGE</w:t>
      </w:r>
      <w:r>
        <w:rPr>
          <w:rFonts w:ascii="Arial" w:cs="Arial" w:eastAsia="Arial" w:hAnsi="Arial"/>
          <w:sz w:val="18"/>
          <w:szCs w:val="18"/>
          <w:color w:val="auto"/>
        </w:rPr>
        <w:t>. You acknowledge that the Company is a publicly-traded entity subject to the laws and regulations of the United States Securities and Exchange Commission, as well as the requirements of the New York Stock Exchange. You further acknowledge that the Company’s approved form agreements for performance-based incentive compensation granted to you contain certain “clawback” terms and provisions. You agree to the terms and conditions of any policy adopted by the Company to comply with, or any decision of the Company to adhere to, any requirement or policy of the New York Stock Exchange (or any other exchange on which the securities of the Company are listed) pursuant to Section 10D of the Securities Exchange Act of 1934 (the “</w:t>
      </w:r>
      <w:r>
        <w:rPr>
          <w:rFonts w:ascii="Arial" w:cs="Arial" w:eastAsia="Arial" w:hAnsi="Arial"/>
          <w:sz w:val="18"/>
          <w:szCs w:val="18"/>
          <w:i w:val="1"/>
          <w:iCs w:val="1"/>
          <w:color w:val="auto"/>
        </w:rPr>
        <w:t>Policy</w:t>
      </w:r>
      <w:r>
        <w:rPr>
          <w:rFonts w:ascii="Arial" w:cs="Arial" w:eastAsia="Arial" w:hAnsi="Arial"/>
          <w:sz w:val="18"/>
          <w:szCs w:val="18"/>
          <w:color w:val="auto"/>
        </w:rPr>
        <w:t>”) from this point forward for any grants made previously or in the future. Section 10D provides for the recovery of incentive-based compensation that has been erroneously granted, earned, vested or paid because of one or more errors that are material in the financial statements of the Company. To the extent such Policy requires the repayment or recovery of incentive-based compensation granted to, or earned or received by you, or in which you vested, whether granted, vested, earned or paid pursuant to any past or future award agreements or any other plan of incentive-based compensation maintained in the past or adopted in the future by the Company, you agree to the forfeiture, recovery or repayment of such amounts to the extent required by such Policy.</w:t>
      </w:r>
    </w:p>
    <w:p>
      <w:pPr>
        <w:spacing w:after="0" w:line="153" w:lineRule="exact"/>
        <w:rPr>
          <w:rFonts w:ascii="Arial" w:cs="Arial" w:eastAsia="Arial" w:hAnsi="Arial"/>
          <w:sz w:val="18"/>
          <w:szCs w:val="18"/>
          <w:b w:val="1"/>
          <w:bCs w:val="1"/>
          <w:color w:val="auto"/>
        </w:rPr>
      </w:pPr>
    </w:p>
    <w:p>
      <w:pPr>
        <w:ind w:firstLine="8"/>
        <w:spacing w:after="0" w:line="323" w:lineRule="auto"/>
        <w:tabs>
          <w:tab w:leader="none" w:pos="427"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EMPLOYER LIABLE FOR PAYMENT</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the Committee may determine otherwise in connection with a Change in Control,</w:t>
      </w:r>
      <w:r>
        <w:rPr>
          <w:rFonts w:ascii="Arial" w:cs="Arial" w:eastAsia="Arial" w:hAnsi="Arial"/>
          <w:sz w:val="18"/>
          <w:szCs w:val="18"/>
          <w:b w:val="1"/>
          <w:bCs w:val="1"/>
          <w:color w:val="auto"/>
        </w:rPr>
        <w:t xml:space="preserve"> </w:t>
      </w:r>
      <w:r>
        <w:rPr>
          <w:rFonts w:ascii="Arial" w:cs="Arial" w:eastAsia="Arial" w:hAnsi="Arial"/>
          <w:sz w:val="18"/>
          <w:szCs w:val="18"/>
          <w:color w:val="auto"/>
        </w:rPr>
        <w:t>the Employer (or the Company, as applicable) is liable for the payment of any amounts that become due under this Agreement.</w:t>
      </w:r>
    </w:p>
    <w:p>
      <w:pPr>
        <w:spacing w:after="0" w:line="117" w:lineRule="exact"/>
        <w:rPr>
          <w:rFonts w:ascii="Arial" w:cs="Arial" w:eastAsia="Arial" w:hAnsi="Arial"/>
          <w:sz w:val="18"/>
          <w:szCs w:val="18"/>
          <w:b w:val="1"/>
          <w:bCs w:val="1"/>
          <w:color w:val="auto"/>
        </w:rPr>
      </w:pPr>
    </w:p>
    <w:p>
      <w:pPr>
        <w:jc w:val="both"/>
        <w:ind w:firstLine="8"/>
        <w:spacing w:after="0" w:line="274" w:lineRule="auto"/>
        <w:tabs>
          <w:tab w:leader="none" w:pos="454"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SECTION 409A OF THE INTERNAL REVENUE CODE</w:t>
      </w:r>
      <w:r>
        <w:rPr>
          <w:rFonts w:ascii="Arial" w:cs="Arial" w:eastAsia="Arial" w:hAnsi="Arial"/>
          <w:sz w:val="18"/>
          <w:szCs w:val="18"/>
          <w:color w:val="auto"/>
        </w:rPr>
        <w:t>. This Agreement and all payments made hereunder are intended to meet</w:t>
      </w:r>
      <w:r>
        <w:rPr>
          <w:rFonts w:ascii="Arial" w:cs="Arial" w:eastAsia="Arial" w:hAnsi="Arial"/>
          <w:sz w:val="18"/>
          <w:szCs w:val="18"/>
          <w:b w:val="1"/>
          <w:bCs w:val="1"/>
          <w:color w:val="auto"/>
        </w:rPr>
        <w:t xml:space="preserve"> </w:t>
      </w:r>
      <w:r>
        <w:rPr>
          <w:rFonts w:ascii="Arial" w:cs="Arial" w:eastAsia="Arial" w:hAnsi="Arial"/>
          <w:sz w:val="18"/>
          <w:szCs w:val="18"/>
          <w:color w:val="auto"/>
        </w:rPr>
        <w:t>the short-term deferral exception described under section 1.409A-1(b)(4) of the applicable Treasury regulations, or otherwise comply with, Section 409A, and this Agreement shall be interpreted so as to effect that intent. By accepting this Award, you acknowledge and agree that</w:t>
      </w:r>
    </w:p>
    <w:p>
      <w:pPr>
        <w:spacing w:after="0" w:line="1" w:lineRule="exact"/>
        <w:rPr>
          <w:rFonts w:ascii="Arial" w:cs="Arial" w:eastAsia="Arial" w:hAnsi="Arial"/>
          <w:sz w:val="18"/>
          <w:szCs w:val="18"/>
          <w:b w:val="1"/>
          <w:bCs w:val="1"/>
          <w:color w:val="auto"/>
        </w:rPr>
      </w:pPr>
    </w:p>
    <w:p>
      <w:pPr>
        <w:jc w:val="both"/>
        <w:spacing w:after="0" w:line="254" w:lineRule="auto"/>
        <w:rPr>
          <w:rFonts w:ascii="Arial" w:cs="Arial" w:eastAsia="Arial" w:hAnsi="Arial"/>
          <w:sz w:val="18"/>
          <w:szCs w:val="18"/>
          <w:b w:val="1"/>
          <w:bCs w:val="1"/>
          <w:color w:val="auto"/>
        </w:rPr>
      </w:pPr>
      <w:r>
        <w:rPr>
          <w:rFonts w:ascii="Arial" w:cs="Arial" w:eastAsia="Arial" w:hAnsi="Arial"/>
          <w:sz w:val="19"/>
          <w:szCs w:val="19"/>
          <w:color w:val="auto"/>
        </w:rPr>
        <w:t xml:space="preserve">(a) you are not relying upon any written or oral statement or oral statement or representation of the Company, its Affiliates, or any of their respective employees, directors, officers, attorneys or agents (collectively, the </w:t>
      </w:r>
      <w:r>
        <w:rPr>
          <w:rFonts w:ascii="Arial" w:cs="Arial" w:eastAsia="Arial" w:hAnsi="Arial"/>
          <w:sz w:val="19"/>
          <w:szCs w:val="19"/>
          <w:b w:val="1"/>
          <w:bCs w:val="1"/>
          <w:color w:val="auto"/>
        </w:rPr>
        <w:t>“</w:t>
      </w:r>
      <w:r>
        <w:rPr>
          <w:rFonts w:ascii="Arial" w:cs="Arial" w:eastAsia="Arial" w:hAnsi="Arial"/>
          <w:sz w:val="19"/>
          <w:szCs w:val="19"/>
          <w:i w:val="1"/>
          <w:iCs w:val="1"/>
          <w:color w:val="auto"/>
        </w:rPr>
        <w:t>Company Parties</w:t>
      </w:r>
      <w:r>
        <w:rPr>
          <w:rFonts w:ascii="Arial" w:cs="Arial" w:eastAsia="Arial" w:hAnsi="Arial"/>
          <w:sz w:val="19"/>
          <w:szCs w:val="19"/>
          <w:b w:val="1"/>
          <w:bCs w:val="1"/>
          <w:color w:val="auto"/>
        </w:rPr>
        <w:t>”</w:t>
      </w:r>
      <w:r>
        <w:rPr>
          <w:rFonts w:ascii="Arial" w:cs="Arial" w:eastAsia="Arial" w:hAnsi="Arial"/>
          <w:sz w:val="19"/>
          <w:szCs w:val="19"/>
          <w:color w:val="auto"/>
        </w:rPr>
        <w:t>) regarding the tax effects associated with execution of this Agreement and the payment made pursuant to the Plan, and (b) in deciding to enter into this Agreement, you are relying on your own judgment and the judgment of the professionals of your choice with whom you have consulted. By accepting this Award, you thereby release, acquit and forever discharge the Company Parties from all actions, causes of actions, suits, debts, obligations, liabilities, claims, damages, losses, costs and expenses of any nature whatsoever, known or unknown, on account of, arising out of, or in any way related to the tax effects associated with the Award and this Agreement.</w:t>
      </w:r>
    </w:p>
    <w:p>
      <w:pPr>
        <w:sectPr>
          <w:pgSz w:w="11900" w:h="16838" w:orient="portrait"/>
          <w:cols w:equalWidth="0" w:num="1">
            <w:col w:w="11240"/>
          </w:cols>
          <w:pgMar w:left="320" w:top="122" w:right="339" w:bottom="44" w:gutter="0" w:footer="0" w:header="0"/>
        </w:sectPr>
      </w:pPr>
    </w:p>
    <w:bookmarkStart w:id="49" w:name="page50"/>
    <w:bookmarkEnd w:id="49"/>
    <w:p>
      <w:pPr>
        <w:jc w:val="both"/>
        <w:ind w:firstLine="8"/>
        <w:spacing w:after="0" w:line="258" w:lineRule="auto"/>
        <w:tabs>
          <w:tab w:leader="none" w:pos="549" w:val="left"/>
        </w:tabs>
        <w:numPr>
          <w:ilvl w:val="0"/>
          <w:numId w:val="18"/>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DELAYED PAYMENT IN CERTAIN CIRCUMSTANCES</w:t>
      </w:r>
      <w:r>
        <w:rPr>
          <w:rFonts w:ascii="Arial" w:cs="Arial" w:eastAsia="Arial" w:hAnsi="Arial"/>
          <w:sz w:val="19"/>
          <w:szCs w:val="19"/>
          <w:b w:val="1"/>
          <w:bCs w:val="1"/>
          <w:color w:val="auto"/>
        </w:rPr>
        <w:t>. NOTWITHSTANDING ANY OTHER PROVISION OF THIS AGREEMENT, IF YOU ARE A “</w:t>
      </w:r>
      <w:r>
        <w:rPr>
          <w:rFonts w:ascii="Arial" w:cs="Arial" w:eastAsia="Arial" w:hAnsi="Arial"/>
          <w:sz w:val="19"/>
          <w:szCs w:val="19"/>
          <w:b w:val="1"/>
          <w:bCs w:val="1"/>
          <w:i w:val="1"/>
          <w:iCs w:val="1"/>
          <w:color w:val="auto"/>
        </w:rPr>
        <w:t>SPECIFIED EMPLOYEE</w:t>
      </w:r>
      <w:r>
        <w:rPr>
          <w:rFonts w:ascii="Arial" w:cs="Arial" w:eastAsia="Arial" w:hAnsi="Arial"/>
          <w:sz w:val="19"/>
          <w:szCs w:val="19"/>
          <w:b w:val="1"/>
          <w:bCs w:val="1"/>
          <w:color w:val="auto"/>
        </w:rPr>
        <w:t>” (WITHIN THE MEANING OF SECTION 409A) AND THE COMPANY DETERMINES THAT A PAYMENT HEREUNDER IS NOT PERMITTED TO BE PAID ON THE DATE SPECIFIED WITHOUT THE IMPOSITION OF ADDITIONAL TAXES, INTEREST OR PENALTIES UNDER SECTION 409A, THEN NO PAYMENTS SHALL BE MADE TO YOU PURSUANT TO THIS AWARD DUE TO A SEPARATION FROM SERVICE FOR ANY REASON BEFORE THE EARLIER OF THE DATE THAT IS SIX MONTHS AND A DAY AFTER THE DATE ON WHICH YOU INCUR SUCH SEPARATION FROM SERVICE OR FIVE BUSINESS DAYS FOLLOWING THE DATE OF YOUR DEATH.</w:t>
      </w:r>
    </w:p>
    <w:p>
      <w:pPr>
        <w:spacing w:after="0" w:line="177" w:lineRule="exact"/>
        <w:rPr>
          <w:rFonts w:ascii="Arial" w:cs="Arial" w:eastAsia="Arial" w:hAnsi="Arial"/>
          <w:sz w:val="19"/>
          <w:szCs w:val="19"/>
          <w:b w:val="1"/>
          <w:bCs w:val="1"/>
          <w:color w:val="auto"/>
        </w:rPr>
      </w:pPr>
    </w:p>
    <w:p>
      <w:pPr>
        <w:jc w:val="both"/>
        <w:ind w:firstLine="8"/>
        <w:spacing w:after="0" w:line="285" w:lineRule="auto"/>
        <w:tabs>
          <w:tab w:leader="none" w:pos="441"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color w:val="auto"/>
        </w:rPr>
        <w:t>. This Agreement is awarded pursuant to and is subject to all of the provisions of the Plan, including amendments</w:t>
      </w:r>
      <w:r>
        <w:rPr>
          <w:rFonts w:ascii="Arial" w:cs="Arial" w:eastAsia="Arial" w:hAnsi="Arial"/>
          <w:sz w:val="18"/>
          <w:szCs w:val="18"/>
          <w:b w:val="1"/>
          <w:bCs w:val="1"/>
          <w:color w:val="auto"/>
        </w:rPr>
        <w:t xml:space="preserve"> </w:t>
      </w:r>
      <w:r>
        <w:rPr>
          <w:rFonts w:ascii="Arial" w:cs="Arial" w:eastAsia="Arial" w:hAnsi="Arial"/>
          <w:sz w:val="18"/>
          <w:szCs w:val="18"/>
          <w:color w:val="auto"/>
        </w:rPr>
        <w:t>to the Plan, if any. In the event of a conflict between this Agreement and the Plan provisions, the Plan provisions will control. The term “</w:t>
      </w:r>
      <w:r>
        <w:rPr>
          <w:rFonts w:ascii="Arial" w:cs="Arial" w:eastAsia="Arial" w:hAnsi="Arial"/>
          <w:sz w:val="18"/>
          <w:szCs w:val="18"/>
          <w:i w:val="1"/>
          <w:iCs w:val="1"/>
          <w:color w:val="auto"/>
        </w:rPr>
        <w:t>you</w:t>
      </w:r>
      <w:r>
        <w:rPr>
          <w:rFonts w:ascii="Arial" w:cs="Arial" w:eastAsia="Arial" w:hAnsi="Arial"/>
          <w:sz w:val="18"/>
          <w:szCs w:val="18"/>
          <w:color w:val="auto"/>
        </w:rPr>
        <w:t>” and “</w:t>
      </w:r>
      <w:r>
        <w:rPr>
          <w:rFonts w:ascii="Arial" w:cs="Arial" w:eastAsia="Arial" w:hAnsi="Arial"/>
          <w:sz w:val="18"/>
          <w:szCs w:val="18"/>
          <w:i w:val="1"/>
          <w:iCs w:val="1"/>
          <w:color w:val="auto"/>
        </w:rPr>
        <w:t>your</w:t>
      </w:r>
      <w:r>
        <w:rPr>
          <w:rFonts w:ascii="Arial" w:cs="Arial" w:eastAsia="Arial" w:hAnsi="Arial"/>
          <w:sz w:val="18"/>
          <w:szCs w:val="18"/>
          <w:color w:val="auto"/>
        </w:rPr>
        <w:t>” refer to the Grantee named in this Agreement. Capitalized terms that are not defined herein shall have the meanings ascribed to such terms in the Plan. This Agreement shall be binding on all successors and assigns of the Company.</w:t>
      </w:r>
    </w:p>
    <w:p>
      <w:pPr>
        <w:spacing w:after="0" w:line="157"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In accepting the Annual Incentive Award set forth in this Agreement you accept and agree to be bound by all the terms and conditions of the Plan and this Agreement.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QUANEX BUILDING PRODUCTS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571500</wp:posOffset>
            </wp:positionV>
            <wp:extent cx="7537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7537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[Name]</w:t>
      </w:r>
    </w:p>
    <w:p>
      <w:pPr>
        <w:spacing w:after="0" w:line="16"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Annual Incentive Award</w:t>
      </w:r>
    </w:p>
    <w:p>
      <w:pPr>
        <w:sectPr>
          <w:pgSz w:w="11900" w:h="16838" w:orient="portrait"/>
          <w:cols w:equalWidth="0" w:num="1">
            <w:col w:w="11240"/>
          </w:cols>
          <w:pgMar w:left="320" w:top="118" w:right="339" w:bottom="1440" w:gutter="0" w:footer="0" w:header="0"/>
        </w:sectPr>
      </w:pPr>
    </w:p>
    <w:bookmarkStart w:id="50" w:name="page51"/>
    <w:bookmarkEnd w:id="50"/>
    <w:p>
      <w:pPr>
        <w:jc w:val="center"/>
        <w:ind w:right="-19"/>
        <w:spacing w:after="0"/>
        <w:rPr>
          <w:sz w:val="20"/>
          <w:szCs w:val="20"/>
          <w:color w:val="auto"/>
        </w:rPr>
      </w:pPr>
      <w:r>
        <w:rPr>
          <w:rFonts w:ascii="Arial" w:cs="Arial" w:eastAsia="Arial" w:hAnsi="Arial"/>
          <w:sz w:val="19"/>
          <w:szCs w:val="19"/>
          <w:b w:val="1"/>
          <w:bCs w:val="1"/>
          <w:color w:val="auto"/>
        </w:rPr>
        <w:t>QUANEX BUILDING PRODUCTS CORPORATION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RESTRICTED STOCK AWARD AGREEMENT</w:t>
      </w:r>
    </w:p>
    <w:p>
      <w:pPr>
        <w:spacing w:after="0" w:line="216"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[__________________]</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i w:val="1"/>
          <w:iCs w:val="1"/>
          <w:color w:val="auto"/>
        </w:rPr>
        <w:t>Grantee</w:t>
      </w:r>
    </w:p>
    <w:p>
      <w:pPr>
        <w:sectPr>
          <w:pgSz w:w="11900" w:h="16838" w:orient="portrait"/>
          <w:cols w:equalWidth="0" w:num="1">
            <w:col w:w="11240"/>
          </w:cols>
          <w:pgMar w:left="320" w:top="549" w:right="339" w:bottom="0" w:gutter="0" w:footer="0" w:header="0"/>
        </w:sectPr>
      </w:pPr>
    </w:p>
    <w:p>
      <w:pPr>
        <w:spacing w:after="0" w:line="36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Date of Award:</w:t>
      </w:r>
    </w:p>
    <w:p>
      <w:pPr>
        <w:spacing w:after="0" w:line="20" w:lineRule="exact"/>
        <w:rPr>
          <w:sz w:val="20"/>
          <w:szCs w:val="20"/>
          <w:color w:val="auto"/>
        </w:rPr>
      </w:pPr>
      <w:r>
        <w:rPr>
          <w:sz w:val="20"/>
          <w:szCs w:val="20"/>
          <w:color w:val="auto"/>
        </w:rPr>
        <w:br w:type="column"/>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w:t>
      </w:r>
    </w:p>
    <w:p>
      <w:pPr>
        <w:spacing w:after="0" w:line="200" w:lineRule="exact"/>
        <w:rPr>
          <w:sz w:val="20"/>
          <w:szCs w:val="20"/>
          <w:color w:val="auto"/>
        </w:rPr>
      </w:pPr>
    </w:p>
    <w:p>
      <w:pPr>
        <w:sectPr>
          <w:pgSz w:w="11900" w:h="16838" w:orient="portrait"/>
          <w:cols w:equalWidth="0" w:num="2">
            <w:col w:w="3860" w:space="720"/>
            <w:col w:w="6660"/>
          </w:cols>
          <w:pgMar w:left="320" w:top="549" w:right="339" w:bottom="0" w:gutter="0" w:footer="0" w:header="0"/>
          <w:type w:val="continuous"/>
        </w:sectPr>
      </w:pPr>
    </w:p>
    <w:p>
      <w:pPr>
        <w:spacing w:after="0" w:line="6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Number of Shares:</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w:t>
      </w:r>
    </w:p>
    <w:p>
      <w:pPr>
        <w:spacing w:after="0" w:line="200" w:lineRule="exact"/>
        <w:rPr>
          <w:sz w:val="20"/>
          <w:szCs w:val="20"/>
          <w:color w:val="auto"/>
        </w:rPr>
      </w:pPr>
    </w:p>
    <w:p>
      <w:pPr>
        <w:sectPr>
          <w:pgSz w:w="11900" w:h="16838" w:orient="portrait"/>
          <w:cols w:equalWidth="0" w:num="2">
            <w:col w:w="3860" w:space="720"/>
            <w:col w:w="6660"/>
          </w:cols>
          <w:pgMar w:left="320" w:top="549" w:right="339" w:bottom="0" w:gutter="0" w:footer="0" w:header="0"/>
          <w:type w:val="continuous"/>
        </w:sectPr>
      </w:pPr>
    </w:p>
    <w:p>
      <w:pPr>
        <w:spacing w:after="0" w:line="6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General Vesting Schedule/Restricted Period:</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w:t>
      </w:r>
    </w:p>
    <w:p>
      <w:pPr>
        <w:spacing w:after="0" w:line="200" w:lineRule="exact"/>
        <w:rPr>
          <w:sz w:val="20"/>
          <w:szCs w:val="20"/>
          <w:color w:val="auto"/>
        </w:rPr>
      </w:pPr>
    </w:p>
    <w:p>
      <w:pPr>
        <w:sectPr>
          <w:pgSz w:w="11900" w:h="16838" w:orient="portrait"/>
          <w:cols w:equalWidth="0" w:num="2">
            <w:col w:w="3860" w:space="720"/>
            <w:col w:w="6660"/>
          </w:cols>
          <w:pgMar w:left="320" w:top="549" w:right="339" w:bottom="0" w:gutter="0" w:footer="0" w:header="0"/>
          <w:type w:val="continuous"/>
        </w:sectPr>
      </w:pPr>
    </w:p>
    <w:p>
      <w:pPr>
        <w:spacing w:after="0" w:line="14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AWARD OF RESTRICTED STOCK</w:t>
      </w:r>
    </w:p>
    <w:p>
      <w:pPr>
        <w:spacing w:after="0" w:line="175" w:lineRule="exact"/>
        <w:rPr>
          <w:sz w:val="20"/>
          <w:szCs w:val="20"/>
          <w:color w:val="auto"/>
        </w:rPr>
      </w:pPr>
    </w:p>
    <w:p>
      <w:pPr>
        <w:jc w:val="both"/>
        <w:ind w:left="660" w:hanging="652"/>
        <w:spacing w:after="0" w:line="245" w:lineRule="auto"/>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20"/>
          <w:szCs w:val="20"/>
          <w:b w:val="1"/>
          <w:bCs w:val="1"/>
          <w:u w:val="single" w:color="auto"/>
          <w:color w:val="auto"/>
        </w:rPr>
        <w:t>GRANT OF RESTRICTED STOCK AWARD</w:t>
      </w:r>
      <w:r>
        <w:rPr>
          <w:rFonts w:ascii="Arial" w:cs="Arial" w:eastAsia="Arial" w:hAnsi="Arial"/>
          <w:sz w:val="20"/>
          <w:szCs w:val="20"/>
          <w:b w:val="1"/>
          <w:bCs w:val="1"/>
          <w:color w:val="auto"/>
        </w:rPr>
        <w:t xml:space="preserve">. </w:t>
      </w:r>
      <w:r>
        <w:rPr>
          <w:rFonts w:ascii="Arial" w:cs="Arial" w:eastAsia="Arial" w:hAnsi="Arial"/>
          <w:sz w:val="20"/>
          <w:szCs w:val="20"/>
          <w:color w:val="auto"/>
        </w:rPr>
        <w:t>The Compensation Committee (the “</w:t>
      </w:r>
      <w:r>
        <w:rPr>
          <w:rFonts w:ascii="Arial" w:cs="Arial" w:eastAsia="Arial" w:hAnsi="Arial"/>
          <w:sz w:val="20"/>
          <w:szCs w:val="20"/>
          <w:i w:val="1"/>
          <w:iCs w:val="1"/>
          <w:color w:val="auto"/>
        </w:rPr>
        <w:t>Committee</w:t>
      </w:r>
      <w:r>
        <w:rPr>
          <w:rFonts w:ascii="Arial" w:cs="Arial" w:eastAsia="Arial" w:hAnsi="Arial"/>
          <w:sz w:val="20"/>
          <w:szCs w:val="20"/>
          <w:color w:val="auto"/>
        </w:rPr>
        <w:t>”) of the Board of Directors of</w:t>
      </w:r>
      <w:r>
        <w:rPr>
          <w:rFonts w:ascii="Arial" w:cs="Arial" w:eastAsia="Arial" w:hAnsi="Arial"/>
          <w:sz w:val="20"/>
          <w:szCs w:val="20"/>
          <w:b w:val="1"/>
          <w:bCs w:val="1"/>
          <w:color w:val="auto"/>
        </w:rPr>
        <w:t xml:space="preserve"> </w:t>
      </w:r>
      <w:r>
        <w:rPr>
          <w:rFonts w:ascii="Arial" w:cs="Arial" w:eastAsia="Arial" w:hAnsi="Arial"/>
          <w:sz w:val="20"/>
          <w:szCs w:val="20"/>
          <w:color w:val="auto"/>
        </w:rPr>
        <w:t>Quanex Building Products Corporation, a Delaware corporation (the “</w:t>
      </w:r>
      <w:r>
        <w:rPr>
          <w:rFonts w:ascii="Arial" w:cs="Arial" w:eastAsia="Arial" w:hAnsi="Arial"/>
          <w:sz w:val="20"/>
          <w:szCs w:val="20"/>
          <w:i w:val="1"/>
          <w:iCs w:val="1"/>
          <w:color w:val="auto"/>
        </w:rPr>
        <w:t>Company</w:t>
      </w:r>
      <w:r>
        <w:rPr>
          <w:rFonts w:ascii="Arial" w:cs="Arial" w:eastAsia="Arial" w:hAnsi="Arial"/>
          <w:sz w:val="20"/>
          <w:szCs w:val="20"/>
          <w:color w:val="auto"/>
        </w:rPr>
        <w:t>”), subject to the terms and provisions of the Quanex Building Products Corporation 2020 Omnibus Incentive Plan (the “</w:t>
      </w:r>
      <w:r>
        <w:rPr>
          <w:rFonts w:ascii="Arial" w:cs="Arial" w:eastAsia="Arial" w:hAnsi="Arial"/>
          <w:sz w:val="20"/>
          <w:szCs w:val="20"/>
          <w:i w:val="1"/>
          <w:iCs w:val="1"/>
          <w:color w:val="auto"/>
        </w:rPr>
        <w:t>Plan</w:t>
      </w:r>
      <w:r>
        <w:rPr>
          <w:rFonts w:ascii="Arial" w:cs="Arial" w:eastAsia="Arial" w:hAnsi="Arial"/>
          <w:sz w:val="20"/>
          <w:szCs w:val="20"/>
          <w:color w:val="auto"/>
        </w:rPr>
        <w:t>”), hereby awards to you, the above-named Grantee, effective as of the Date of Award set forth above (the “</w:t>
      </w:r>
      <w:r>
        <w:rPr>
          <w:rFonts w:ascii="Arial" w:cs="Arial" w:eastAsia="Arial" w:hAnsi="Arial"/>
          <w:sz w:val="20"/>
          <w:szCs w:val="20"/>
          <w:i w:val="1"/>
          <w:iCs w:val="1"/>
          <w:color w:val="auto"/>
        </w:rPr>
        <w:t>Date of Award</w:t>
      </w:r>
      <w:r>
        <w:rPr>
          <w:rFonts w:ascii="Arial" w:cs="Arial" w:eastAsia="Arial" w:hAnsi="Arial"/>
          <w:sz w:val="20"/>
          <w:szCs w:val="20"/>
          <w:color w:val="auto"/>
        </w:rPr>
        <w:t>”), that number of shares (the “</w:t>
      </w:r>
      <w:r>
        <w:rPr>
          <w:rFonts w:ascii="Arial" w:cs="Arial" w:eastAsia="Arial" w:hAnsi="Arial"/>
          <w:sz w:val="20"/>
          <w:szCs w:val="20"/>
          <w:i w:val="1"/>
          <w:iCs w:val="1"/>
          <w:color w:val="auto"/>
        </w:rPr>
        <w:t>Shares</w:t>
      </w:r>
      <w:r>
        <w:rPr>
          <w:rFonts w:ascii="Arial" w:cs="Arial" w:eastAsia="Arial" w:hAnsi="Arial"/>
          <w:sz w:val="20"/>
          <w:szCs w:val="20"/>
          <w:color w:val="auto"/>
        </w:rPr>
        <w:t>”) of the Company’s common stock, $0.01 par value per share (the “</w:t>
      </w:r>
      <w:r>
        <w:rPr>
          <w:rFonts w:ascii="Arial" w:cs="Arial" w:eastAsia="Arial" w:hAnsi="Arial"/>
          <w:sz w:val="20"/>
          <w:szCs w:val="20"/>
          <w:i w:val="1"/>
          <w:iCs w:val="1"/>
          <w:color w:val="auto"/>
        </w:rPr>
        <w:t>Common Stock</w:t>
      </w:r>
      <w:r>
        <w:rPr>
          <w:rFonts w:ascii="Arial" w:cs="Arial" w:eastAsia="Arial" w:hAnsi="Arial"/>
          <w:sz w:val="20"/>
          <w:szCs w:val="20"/>
          <w:color w:val="auto"/>
        </w:rPr>
        <w:t>”), set forth above as restricted stock (the “</w:t>
      </w:r>
      <w:r>
        <w:rPr>
          <w:rFonts w:ascii="Arial" w:cs="Arial" w:eastAsia="Arial" w:hAnsi="Arial"/>
          <w:sz w:val="20"/>
          <w:szCs w:val="20"/>
          <w:i w:val="1"/>
          <w:iCs w:val="1"/>
          <w:color w:val="auto"/>
        </w:rPr>
        <w:t>Restricted Stock</w:t>
      </w:r>
      <w:r>
        <w:rPr>
          <w:rFonts w:ascii="Arial" w:cs="Arial" w:eastAsia="Arial" w:hAnsi="Arial"/>
          <w:sz w:val="20"/>
          <w:szCs w:val="20"/>
          <w:color w:val="auto"/>
        </w:rPr>
        <w:t>”) on the following terms and conditions:</w:t>
      </w:r>
    </w:p>
    <w:p>
      <w:pPr>
        <w:spacing w:after="0" w:line="190" w:lineRule="exact"/>
        <w:rPr>
          <w:rFonts w:ascii="Arial" w:cs="Arial" w:eastAsia="Arial" w:hAnsi="Arial"/>
          <w:sz w:val="18"/>
          <w:szCs w:val="18"/>
          <w:b w:val="1"/>
          <w:bCs w:val="1"/>
          <w:color w:val="auto"/>
        </w:rPr>
      </w:pPr>
    </w:p>
    <w:p>
      <w:pPr>
        <w:jc w:val="both"/>
        <w:ind w:left="660"/>
        <w:spacing w:after="0" w:line="246" w:lineRule="auto"/>
        <w:rPr>
          <w:rFonts w:ascii="Arial" w:cs="Arial" w:eastAsia="Arial" w:hAnsi="Arial"/>
          <w:sz w:val="18"/>
          <w:szCs w:val="18"/>
          <w:b w:val="1"/>
          <w:bCs w:val="1"/>
          <w:color w:val="auto"/>
        </w:rPr>
      </w:pPr>
      <w:r>
        <w:rPr>
          <w:rFonts w:ascii="Arial" w:cs="Arial" w:eastAsia="Arial" w:hAnsi="Arial"/>
          <w:sz w:val="20"/>
          <w:szCs w:val="20"/>
          <w:color w:val="auto"/>
        </w:rPr>
        <w:t>During the Restricted Period, the Shares of Restricted Stock will be evidenced by entries in the stock register of the Company reflecting that such Shares of Restricted Stock have been issued in your name. For purposes of this Agreement, the term “</w:t>
      </w:r>
      <w:r>
        <w:rPr>
          <w:rFonts w:ascii="Arial" w:cs="Arial" w:eastAsia="Arial" w:hAnsi="Arial"/>
          <w:sz w:val="20"/>
          <w:szCs w:val="20"/>
          <w:i w:val="1"/>
          <w:iCs w:val="1"/>
          <w:color w:val="auto"/>
        </w:rPr>
        <w:t>Restricted</w:t>
      </w:r>
      <w:r>
        <w:rPr>
          <w:rFonts w:ascii="Arial" w:cs="Arial" w:eastAsia="Arial" w:hAnsi="Arial"/>
          <w:sz w:val="20"/>
          <w:szCs w:val="20"/>
          <w:color w:val="auto"/>
        </w:rPr>
        <w:t xml:space="preserve"> </w:t>
      </w:r>
      <w:r>
        <w:rPr>
          <w:rFonts w:ascii="Arial" w:cs="Arial" w:eastAsia="Arial" w:hAnsi="Arial"/>
          <w:sz w:val="20"/>
          <w:szCs w:val="20"/>
          <w:i w:val="1"/>
          <w:iCs w:val="1"/>
          <w:color w:val="auto"/>
        </w:rPr>
        <w:t>Period</w:t>
      </w:r>
      <w:r>
        <w:rPr>
          <w:rFonts w:ascii="Arial" w:cs="Arial" w:eastAsia="Arial" w:hAnsi="Arial"/>
          <w:sz w:val="20"/>
          <w:szCs w:val="20"/>
          <w:color w:val="auto"/>
        </w:rPr>
        <w:t>” means the period designated above by the Committee during which the Restricted Stock may not be sold, assigned,</w:t>
      </w:r>
      <w:r>
        <w:rPr>
          <w:rFonts w:ascii="Arial" w:cs="Arial" w:eastAsia="Arial" w:hAnsi="Arial"/>
          <w:sz w:val="20"/>
          <w:szCs w:val="20"/>
          <w:i w:val="1"/>
          <w:iCs w:val="1"/>
          <w:color w:val="auto"/>
        </w:rPr>
        <w:t xml:space="preserve"> </w:t>
      </w:r>
      <w:r>
        <w:rPr>
          <w:rFonts w:ascii="Arial" w:cs="Arial" w:eastAsia="Arial" w:hAnsi="Arial"/>
          <w:sz w:val="20"/>
          <w:szCs w:val="20"/>
          <w:color w:val="auto"/>
        </w:rPr>
        <w:t>transferred, pledged, or otherwise encumbered.</w:t>
      </w:r>
    </w:p>
    <w:p>
      <w:pPr>
        <w:spacing w:after="0" w:line="191" w:lineRule="exact"/>
        <w:rPr>
          <w:rFonts w:ascii="Arial" w:cs="Arial" w:eastAsia="Arial" w:hAnsi="Arial"/>
          <w:sz w:val="18"/>
          <w:szCs w:val="18"/>
          <w:b w:val="1"/>
          <w:bCs w:val="1"/>
          <w:color w:val="auto"/>
        </w:rPr>
      </w:pPr>
    </w:p>
    <w:p>
      <w:pPr>
        <w:jc w:val="both"/>
        <w:ind w:left="660"/>
        <w:spacing w:after="0" w:line="260" w:lineRule="auto"/>
        <w:rPr>
          <w:rFonts w:ascii="Arial" w:cs="Arial" w:eastAsia="Arial" w:hAnsi="Arial"/>
          <w:sz w:val="18"/>
          <w:szCs w:val="18"/>
          <w:b w:val="1"/>
          <w:bCs w:val="1"/>
          <w:color w:val="auto"/>
        </w:rPr>
      </w:pPr>
      <w:r>
        <w:rPr>
          <w:rFonts w:ascii="Arial" w:cs="Arial" w:eastAsia="Arial" w:hAnsi="Arial"/>
          <w:sz w:val="19"/>
          <w:szCs w:val="19"/>
          <w:color w:val="auto"/>
        </w:rPr>
        <w:t>The Shares that are awarded hereby to you as Restricted Stock shall be subject to the prohibitions and restrictions set forth herein with respect to the sale or other disposition of such Shares and the obligation to forfeit and surrender such Shares to the Company under the circumstances set forth herein (the “</w:t>
      </w:r>
      <w:r>
        <w:rPr>
          <w:rFonts w:ascii="Arial" w:cs="Arial" w:eastAsia="Arial" w:hAnsi="Arial"/>
          <w:sz w:val="19"/>
          <w:szCs w:val="19"/>
          <w:i w:val="1"/>
          <w:iCs w:val="1"/>
          <w:color w:val="auto"/>
        </w:rPr>
        <w:t>Forfeiture Restrictions</w:t>
      </w:r>
      <w:r>
        <w:rPr>
          <w:rFonts w:ascii="Arial" w:cs="Arial" w:eastAsia="Arial" w:hAnsi="Arial"/>
          <w:sz w:val="19"/>
          <w:szCs w:val="19"/>
          <w:color w:val="auto"/>
        </w:rPr>
        <w:t>”). The Restricted Period and all Forfeiture Restrictions on the Restricted Stock covered hereby shall lapse as to those Shares when the Shares become vested and you meet all other terms and conditions of this Restricted Stock Award Agreement awarded to you (this “</w:t>
      </w:r>
      <w:r>
        <w:rPr>
          <w:rFonts w:ascii="Arial" w:cs="Arial" w:eastAsia="Arial" w:hAnsi="Arial"/>
          <w:sz w:val="19"/>
          <w:szCs w:val="19"/>
          <w:i w:val="1"/>
          <w:iCs w:val="1"/>
          <w:color w:val="auto"/>
        </w:rPr>
        <w:t>Agreement</w:t>
      </w:r>
      <w:r>
        <w:rPr>
          <w:rFonts w:ascii="Arial" w:cs="Arial" w:eastAsia="Arial" w:hAnsi="Arial"/>
          <w:sz w:val="19"/>
          <w:szCs w:val="19"/>
          <w:color w:val="auto"/>
        </w:rPr>
        <w:t>”).</w:t>
      </w:r>
    </w:p>
    <w:p>
      <w:pPr>
        <w:spacing w:after="0" w:line="174" w:lineRule="exact"/>
        <w:rPr>
          <w:rFonts w:ascii="Arial" w:cs="Arial" w:eastAsia="Arial" w:hAnsi="Arial"/>
          <w:sz w:val="18"/>
          <w:szCs w:val="18"/>
          <w:b w:val="1"/>
          <w:bCs w:val="1"/>
          <w:color w:val="auto"/>
        </w:rPr>
      </w:pPr>
    </w:p>
    <w:p>
      <w:pPr>
        <w:jc w:val="both"/>
        <w:ind w:left="660" w:hanging="652"/>
        <w:spacing w:after="0" w:line="253" w:lineRule="auto"/>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20"/>
          <w:szCs w:val="20"/>
          <w:b w:val="1"/>
          <w:bCs w:val="1"/>
          <w:u w:val="single" w:color="auto"/>
          <w:color w:val="auto"/>
        </w:rPr>
        <w:t>SEPARATION FROM SERVICE/CHANGE IN CONTROL OF THE COMPANY</w:t>
      </w:r>
      <w:r>
        <w:rPr>
          <w:rFonts w:ascii="Arial" w:cs="Arial" w:eastAsia="Arial" w:hAnsi="Arial"/>
          <w:sz w:val="20"/>
          <w:szCs w:val="20"/>
          <w:b w:val="1"/>
          <w:bCs w:val="1"/>
          <w:color w:val="auto"/>
        </w:rPr>
        <w:t xml:space="preserve">. </w:t>
      </w:r>
      <w:r>
        <w:rPr>
          <w:rFonts w:ascii="Arial" w:cs="Arial" w:eastAsia="Arial" w:hAnsi="Arial"/>
          <w:sz w:val="20"/>
          <w:szCs w:val="20"/>
          <w:color w:val="auto"/>
        </w:rPr>
        <w:t>The following provisions will apply in the</w:t>
      </w:r>
      <w:r>
        <w:rPr>
          <w:rFonts w:ascii="Arial" w:cs="Arial" w:eastAsia="Arial" w:hAnsi="Arial"/>
          <w:sz w:val="20"/>
          <w:szCs w:val="20"/>
          <w:b w:val="1"/>
          <w:bCs w:val="1"/>
          <w:color w:val="auto"/>
        </w:rPr>
        <w:t xml:space="preserve"> </w:t>
      </w:r>
      <w:r>
        <w:rPr>
          <w:rFonts w:ascii="Arial" w:cs="Arial" w:eastAsia="Arial" w:hAnsi="Arial"/>
          <w:sz w:val="20"/>
          <w:szCs w:val="20"/>
          <w:color w:val="auto"/>
        </w:rPr>
        <w:t>event your employment with the Company and all Affiliates (collectively, the “</w:t>
      </w:r>
      <w:r>
        <w:rPr>
          <w:rFonts w:ascii="Arial" w:cs="Arial" w:eastAsia="Arial" w:hAnsi="Arial"/>
          <w:sz w:val="20"/>
          <w:szCs w:val="20"/>
          <w:i w:val="1"/>
          <w:iCs w:val="1"/>
          <w:color w:val="auto"/>
        </w:rPr>
        <w:t>Company Group</w:t>
      </w:r>
      <w:r>
        <w:rPr>
          <w:rFonts w:ascii="Arial" w:cs="Arial" w:eastAsia="Arial" w:hAnsi="Arial"/>
          <w:sz w:val="20"/>
          <w:szCs w:val="20"/>
          <w:color w:val="auto"/>
        </w:rPr>
        <w:t>”) terminates, or a Change in Control of the Company occurs, before the end of the Restricted Period under this Agreement:</w:t>
      </w:r>
    </w:p>
    <w:p>
      <w:pPr>
        <w:spacing w:after="0" w:line="183" w:lineRule="exact"/>
        <w:rPr>
          <w:rFonts w:ascii="Arial" w:cs="Arial" w:eastAsia="Arial" w:hAnsi="Arial"/>
          <w:sz w:val="18"/>
          <w:szCs w:val="18"/>
          <w:b w:val="1"/>
          <w:bCs w:val="1"/>
          <w:color w:val="auto"/>
        </w:rPr>
      </w:pPr>
    </w:p>
    <w:p>
      <w:pPr>
        <w:jc w:val="both"/>
        <w:ind w:left="660"/>
        <w:spacing w:after="0" w:line="250" w:lineRule="auto"/>
        <w:rPr>
          <w:rFonts w:ascii="Arial" w:cs="Arial" w:eastAsia="Arial" w:hAnsi="Arial"/>
          <w:sz w:val="18"/>
          <w:szCs w:val="18"/>
          <w:b w:val="1"/>
          <w:bCs w:val="1"/>
          <w:color w:val="auto"/>
        </w:rPr>
      </w:pPr>
      <w:r>
        <w:rPr>
          <w:rFonts w:ascii="Arial" w:cs="Arial" w:eastAsia="Arial" w:hAnsi="Arial"/>
          <w:sz w:val="20"/>
          <w:szCs w:val="20"/>
          <w:color w:val="auto"/>
        </w:rPr>
        <w:t xml:space="preserve">2.1 </w:t>
      </w:r>
      <w:r>
        <w:rPr>
          <w:rFonts w:ascii="Arial" w:cs="Arial" w:eastAsia="Arial" w:hAnsi="Arial"/>
          <w:sz w:val="20"/>
          <w:szCs w:val="20"/>
          <w:u w:val="single" w:color="auto"/>
          <w:color w:val="auto"/>
        </w:rPr>
        <w:t>Termination Generally</w:t>
      </w:r>
      <w:r>
        <w:rPr>
          <w:rFonts w:ascii="Arial" w:cs="Arial" w:eastAsia="Arial" w:hAnsi="Arial"/>
          <w:sz w:val="20"/>
          <w:szCs w:val="20"/>
          <w:color w:val="auto"/>
        </w:rPr>
        <w:t>. Except as otherwise expressly provided to the contrary in this Section 2, if your employment with the Company Group terminates for any reason, the number of Shares of Restricted Stock then subject to Forfeiture Restrictions shall be forfeited to the Company without consideration on the date your employment terminates.</w:t>
      </w:r>
    </w:p>
    <w:p>
      <w:pPr>
        <w:spacing w:after="0" w:line="185" w:lineRule="exact"/>
        <w:rPr>
          <w:rFonts w:ascii="Arial" w:cs="Arial" w:eastAsia="Arial" w:hAnsi="Arial"/>
          <w:sz w:val="18"/>
          <w:szCs w:val="18"/>
          <w:b w:val="1"/>
          <w:bCs w:val="1"/>
          <w:color w:val="auto"/>
        </w:rPr>
      </w:pPr>
    </w:p>
    <w:p>
      <w:pPr>
        <w:jc w:val="both"/>
        <w:ind w:left="660"/>
        <w:spacing w:after="0" w:line="246" w:lineRule="auto"/>
        <w:rPr>
          <w:rFonts w:ascii="Arial" w:cs="Arial" w:eastAsia="Arial" w:hAnsi="Arial"/>
          <w:sz w:val="18"/>
          <w:szCs w:val="18"/>
          <w:b w:val="1"/>
          <w:bCs w:val="1"/>
          <w:color w:val="auto"/>
        </w:rPr>
      </w:pPr>
      <w:r>
        <w:rPr>
          <w:rFonts w:ascii="Arial" w:cs="Arial" w:eastAsia="Arial" w:hAnsi="Arial"/>
          <w:sz w:val="20"/>
          <w:szCs w:val="20"/>
          <w:color w:val="auto"/>
        </w:rPr>
        <w:t xml:space="preserve">2.2 </w:t>
      </w:r>
      <w:r>
        <w:rPr>
          <w:rFonts w:ascii="Arial" w:cs="Arial" w:eastAsia="Arial" w:hAnsi="Arial"/>
          <w:sz w:val="20"/>
          <w:szCs w:val="20"/>
          <w:u w:val="single" w:color="auto"/>
          <w:color w:val="auto"/>
        </w:rPr>
        <w:t>Change in Control of the Company</w:t>
      </w:r>
      <w:r>
        <w:rPr>
          <w:rFonts w:ascii="Arial" w:cs="Arial" w:eastAsia="Arial" w:hAnsi="Arial"/>
          <w:sz w:val="20"/>
          <w:szCs w:val="20"/>
          <w:color w:val="auto"/>
        </w:rPr>
        <w:t>. If a Change in Control (as such term is defined in the Plan) of the Company occurs while this Award remains outstanding, and the successor company in the Change in Control does not otherwise assume or substitute for this Award of Restricted Stock, then the unvested Restricted Stock subject to this Award shall vest in full immediately prior to the Change in Control.</w:t>
      </w:r>
    </w:p>
    <w:p>
      <w:pPr>
        <w:spacing w:after="0" w:line="191" w:lineRule="exact"/>
        <w:rPr>
          <w:rFonts w:ascii="Arial" w:cs="Arial" w:eastAsia="Arial" w:hAnsi="Arial"/>
          <w:sz w:val="18"/>
          <w:szCs w:val="18"/>
          <w:b w:val="1"/>
          <w:bCs w:val="1"/>
          <w:color w:val="auto"/>
        </w:rPr>
      </w:pPr>
    </w:p>
    <w:p>
      <w:pPr>
        <w:jc w:val="both"/>
        <w:ind w:left="660"/>
        <w:spacing w:after="0" w:line="263" w:lineRule="auto"/>
        <w:rPr>
          <w:rFonts w:ascii="Arial" w:cs="Arial" w:eastAsia="Arial" w:hAnsi="Arial"/>
          <w:sz w:val="18"/>
          <w:szCs w:val="18"/>
          <w:b w:val="1"/>
          <w:bCs w:val="1"/>
          <w:color w:val="auto"/>
        </w:rPr>
      </w:pPr>
      <w:r>
        <w:rPr>
          <w:rFonts w:ascii="Arial" w:cs="Arial" w:eastAsia="Arial" w:hAnsi="Arial"/>
          <w:sz w:val="19"/>
          <w:szCs w:val="19"/>
          <w:color w:val="auto"/>
        </w:rPr>
        <w:t>If this Award is assumed or substituted for in connection with a Change in Control, and if you incur an involuntary termination by the Company or a successor without Cause, or you voluntarily terminate employment for Good Reason, in each case within twenty-four (24) months following the effective date of a Change in Control of the Company, then any unvested portion of this Award shall vest in full upon such termination. For purposes of this Award, the following terms are defined as follows:</w:t>
      </w:r>
    </w:p>
    <w:p>
      <w:pPr>
        <w:spacing w:after="0" w:line="68" w:lineRule="exact"/>
        <w:rPr>
          <w:sz w:val="20"/>
          <w:szCs w:val="20"/>
          <w:color w:val="auto"/>
        </w:rPr>
      </w:pPr>
    </w:p>
    <w:p>
      <w:pPr>
        <w:jc w:val="both"/>
        <w:ind w:left="660"/>
        <w:spacing w:after="0" w:line="259" w:lineRule="auto"/>
        <w:rPr>
          <w:sz w:val="20"/>
          <w:szCs w:val="20"/>
          <w:color w:val="auto"/>
        </w:rPr>
      </w:pPr>
      <w:r>
        <w:rPr>
          <w:rFonts w:ascii="Arial" w:cs="Arial" w:eastAsia="Arial" w:hAnsi="Arial"/>
          <w:sz w:val="19"/>
          <w:szCs w:val="19"/>
          <w:i w:val="1"/>
          <w:iCs w:val="1"/>
          <w:color w:val="auto"/>
        </w:rPr>
        <w:t xml:space="preserve">“Cause” </w:t>
      </w:r>
      <w:r>
        <w:rPr>
          <w:rFonts w:ascii="Arial" w:cs="Arial" w:eastAsia="Arial" w:hAnsi="Arial"/>
          <w:sz w:val="19"/>
          <w:szCs w:val="19"/>
          <w:color w:val="auto"/>
        </w:rPr>
        <w:t>means any action or inaction by you that constitutes (a) gross negligence or willful misconduct in connection with your</w:t>
      </w:r>
      <w:r>
        <w:rPr>
          <w:rFonts w:ascii="Arial" w:cs="Arial" w:eastAsia="Arial" w:hAnsi="Arial"/>
          <w:sz w:val="19"/>
          <w:szCs w:val="19"/>
          <w:i w:val="1"/>
          <w:iCs w:val="1"/>
          <w:color w:val="auto"/>
        </w:rPr>
        <w:t xml:space="preserve"> </w:t>
      </w:r>
      <w:r>
        <w:rPr>
          <w:rFonts w:ascii="Arial" w:cs="Arial" w:eastAsia="Arial" w:hAnsi="Arial"/>
          <w:sz w:val="19"/>
          <w:szCs w:val="19"/>
          <w:color w:val="auto"/>
        </w:rPr>
        <w:t>duties or in the course of your employment with the Company; (b) any act of fraud, embezzlement or theft in connection with your duties or in the course of employment with the Company; (c) intentional wrongful damage to property of the Company; (d) a substantial failure by you to perform your duties after notice to you and a reasonable opportunity to cure; (e) your material breach of restrictive covenants contained in any Company policy or any agreement between you and the Company; or (f) your intentional wrongful disclosure of secret processes or confidential information of the Company.</w:t>
      </w:r>
    </w:p>
    <w:p>
      <w:pPr>
        <w:spacing w:after="0" w:line="192" w:lineRule="exact"/>
        <w:rPr>
          <w:sz w:val="20"/>
          <w:szCs w:val="20"/>
          <w:color w:val="auto"/>
        </w:rPr>
      </w:pPr>
    </w:p>
    <w:p>
      <w:pPr>
        <w:jc w:val="both"/>
        <w:ind w:left="660"/>
        <w:spacing w:after="0" w:line="270" w:lineRule="auto"/>
        <w:rPr>
          <w:sz w:val="20"/>
          <w:szCs w:val="20"/>
          <w:color w:val="auto"/>
        </w:rPr>
      </w:pPr>
      <w:r>
        <w:rPr>
          <w:rFonts w:ascii="Arial" w:cs="Arial" w:eastAsia="Arial" w:hAnsi="Arial"/>
          <w:sz w:val="18"/>
          <w:szCs w:val="18"/>
          <w:i w:val="1"/>
          <w:iCs w:val="1"/>
          <w:color w:val="auto"/>
        </w:rPr>
        <w:t xml:space="preserve">“Good Reason” </w:t>
      </w:r>
      <w:r>
        <w:rPr>
          <w:rFonts w:ascii="Arial" w:cs="Arial" w:eastAsia="Arial" w:hAnsi="Arial"/>
          <w:sz w:val="18"/>
          <w:szCs w:val="18"/>
          <w:color w:val="auto"/>
        </w:rPr>
        <w:t>means, to the extent any such action has been taken without your written consent, the occurrence of any of the</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events: (a) the Company or its successor assigns to you any duties materially inconsistent with your position (including offices, titles and reporting requirements), authority, duties or responsibilities with the Company in effect immediately before the occurrence of the Change in Control, or otherwise makes any material negative change in any such position, authority, duties or responsibilities; (b) the Company or its successor takes any other action that results in a material diminution in such position, authority, duties or responsibilities or otherwise take any action that materially interferes therewith; (c) the Company or its successor materially reduces your annual base salary or target annual bonus as in effect immediately before the occurrence of the Change in Control, other than as part of a reduction of less than ten percent (10%) that is applicable to all executives of the Company or its successor; or (d) the Company or its successor relocates your principal office more than fifty (50) miles from your principal office at the time of the Change in Control, provided that such relocation results in an increase to your daily commute time. A termination for Good Reason also requires that you give the Company written notice of the Good Reason facts and circumstances within sixty (60) days of after becoming aware (or should have become aware) of the applicable facts and circumstances, the Company has an</w:t>
      </w:r>
    </w:p>
    <w:p>
      <w:pPr>
        <w:sectPr>
          <w:pgSz w:w="11900" w:h="16838" w:orient="portrait"/>
          <w:cols w:equalWidth="0" w:num="1">
            <w:col w:w="11240"/>
          </w:cols>
          <w:pgMar w:left="320" w:top="549" w:right="339" w:bottom="0" w:gutter="0" w:footer="0" w:header="0"/>
          <w:type w:val="continuous"/>
        </w:sectPr>
      </w:pPr>
    </w:p>
    <w:bookmarkStart w:id="51" w:name="page52"/>
    <w:bookmarkEnd w:id="51"/>
    <w:p>
      <w:pPr>
        <w:ind w:left="652"/>
        <w:spacing w:after="0" w:line="248" w:lineRule="auto"/>
        <w:rPr>
          <w:sz w:val="20"/>
          <w:szCs w:val="20"/>
          <w:color w:val="auto"/>
        </w:rPr>
      </w:pPr>
      <w:r>
        <w:rPr>
          <w:rFonts w:ascii="Arial" w:cs="Arial" w:eastAsia="Arial" w:hAnsi="Arial"/>
          <w:sz w:val="20"/>
          <w:szCs w:val="20"/>
          <w:color w:val="auto"/>
        </w:rPr>
        <w:t>opportunity to cure such circumstances within thirty (30) days after receipt of notice, and you must terminate employment within thirty (30) days after expiration of the Company’s opportunity to cure.</w:t>
      </w:r>
    </w:p>
    <w:p>
      <w:pPr>
        <w:spacing w:after="0" w:line="1" w:lineRule="exact"/>
        <w:rPr>
          <w:sz w:val="20"/>
          <w:szCs w:val="20"/>
          <w:color w:val="auto"/>
        </w:rPr>
      </w:pPr>
    </w:p>
    <w:p>
      <w:pPr>
        <w:ind w:left="652"/>
        <w:spacing w:after="0" w:line="269" w:lineRule="auto"/>
        <w:rPr>
          <w:sz w:val="20"/>
          <w:szCs w:val="20"/>
          <w:color w:val="auto"/>
        </w:rPr>
      </w:pPr>
      <w:r>
        <w:rPr>
          <w:rFonts w:ascii="Arial" w:cs="Arial" w:eastAsia="Arial" w:hAnsi="Arial"/>
          <w:sz w:val="19"/>
          <w:szCs w:val="19"/>
          <w:color w:val="auto"/>
        </w:rPr>
        <w:t xml:space="preserve">2.3 </w:t>
      </w:r>
      <w:r>
        <w:rPr>
          <w:rFonts w:ascii="Arial" w:cs="Arial" w:eastAsia="Arial" w:hAnsi="Arial"/>
          <w:sz w:val="19"/>
          <w:szCs w:val="19"/>
          <w:u w:val="single" w:color="auto"/>
          <w:color w:val="auto"/>
        </w:rPr>
        <w:t>Disability</w:t>
      </w:r>
      <w:r>
        <w:rPr>
          <w:rFonts w:ascii="Arial" w:cs="Arial" w:eastAsia="Arial" w:hAnsi="Arial"/>
          <w:sz w:val="19"/>
          <w:szCs w:val="19"/>
          <w:color w:val="auto"/>
        </w:rPr>
        <w:t>. If your employment with the Company Group terminates due to your Disability, then any remaining Forfeiture Restrictions shall lapse and your Award (to the extent unvested) shall vest on the date of such termination of employment.</w:t>
      </w:r>
    </w:p>
    <w:p>
      <w:pPr>
        <w:spacing w:after="0" w:line="169" w:lineRule="exact"/>
        <w:rPr>
          <w:sz w:val="20"/>
          <w:szCs w:val="20"/>
          <w:color w:val="auto"/>
        </w:rPr>
      </w:pPr>
    </w:p>
    <w:p>
      <w:pPr>
        <w:ind w:left="652" w:right="20"/>
        <w:spacing w:after="0" w:line="287" w:lineRule="auto"/>
        <w:rPr>
          <w:sz w:val="20"/>
          <w:szCs w:val="20"/>
          <w:color w:val="auto"/>
        </w:rPr>
      </w:pPr>
      <w:r>
        <w:rPr>
          <w:rFonts w:ascii="Arial" w:cs="Arial" w:eastAsia="Arial" w:hAnsi="Arial"/>
          <w:sz w:val="19"/>
          <w:szCs w:val="19"/>
          <w:color w:val="auto"/>
        </w:rPr>
        <w:t xml:space="preserve">2.4 </w:t>
      </w:r>
      <w:r>
        <w:rPr>
          <w:rFonts w:ascii="Arial" w:cs="Arial" w:eastAsia="Arial" w:hAnsi="Arial"/>
          <w:sz w:val="19"/>
          <w:szCs w:val="19"/>
          <w:u w:val="single" w:color="auto"/>
          <w:color w:val="auto"/>
        </w:rPr>
        <w:t>Death</w:t>
      </w:r>
      <w:r>
        <w:rPr>
          <w:rFonts w:ascii="Arial" w:cs="Arial" w:eastAsia="Arial" w:hAnsi="Arial"/>
          <w:sz w:val="19"/>
          <w:szCs w:val="19"/>
          <w:color w:val="auto"/>
        </w:rPr>
        <w:t>. If your employment with the Company Group terminates due to your death, then any remaining Forfeiture Restrictions shall lapse and your Award (to the extent unvested) shall vest on the date of such termination of employment.</w:t>
      </w:r>
    </w:p>
    <w:p>
      <w:pPr>
        <w:spacing w:after="0" w:line="146" w:lineRule="exact"/>
        <w:rPr>
          <w:sz w:val="20"/>
          <w:szCs w:val="20"/>
          <w:color w:val="auto"/>
        </w:rPr>
      </w:pPr>
    </w:p>
    <w:p>
      <w:pPr>
        <w:jc w:val="both"/>
        <w:ind w:left="652" w:hanging="652"/>
        <w:spacing w:after="0" w:line="272" w:lineRule="auto"/>
        <w:tabs>
          <w:tab w:leader="none" w:pos="652" w:val="left"/>
        </w:tabs>
        <w:numPr>
          <w:ilvl w:val="0"/>
          <w:numId w:val="20"/>
        </w:numPr>
        <w:rPr>
          <w:rFonts w:ascii="Arial" w:cs="Arial" w:eastAsia="Arial" w:hAnsi="Arial"/>
          <w:sz w:val="16"/>
          <w:szCs w:val="16"/>
          <w:b w:val="1"/>
          <w:bCs w:val="1"/>
          <w:color w:val="auto"/>
        </w:rPr>
      </w:pPr>
      <w:r>
        <w:rPr>
          <w:rFonts w:ascii="Arial" w:cs="Arial" w:eastAsia="Arial" w:hAnsi="Arial"/>
          <w:sz w:val="18"/>
          <w:szCs w:val="18"/>
          <w:b w:val="1"/>
          <w:bCs w:val="1"/>
          <w:u w:val="single" w:color="auto"/>
          <w:color w:val="auto"/>
        </w:rPr>
        <w:t>TAX WITHHOLDING</w:t>
      </w:r>
      <w:r>
        <w:rPr>
          <w:rFonts w:ascii="Arial" w:cs="Arial" w:eastAsia="Arial" w:hAnsi="Arial"/>
          <w:sz w:val="18"/>
          <w:szCs w:val="18"/>
          <w:color w:val="auto"/>
        </w:rPr>
        <w:t>. To the extent that the receipt of the Shares of Restricted Stock or the lapse of any Forfeiture Restrictions</w:t>
      </w:r>
      <w:r>
        <w:rPr>
          <w:rFonts w:ascii="Arial" w:cs="Arial" w:eastAsia="Arial" w:hAnsi="Arial"/>
          <w:sz w:val="18"/>
          <w:szCs w:val="18"/>
          <w:b w:val="1"/>
          <w:bCs w:val="1"/>
          <w:color w:val="auto"/>
        </w:rPr>
        <w:t xml:space="preserve"> </w:t>
      </w:r>
      <w:r>
        <w:rPr>
          <w:rFonts w:ascii="Arial" w:cs="Arial" w:eastAsia="Arial" w:hAnsi="Arial"/>
          <w:sz w:val="18"/>
          <w:szCs w:val="18"/>
          <w:color w:val="auto"/>
        </w:rPr>
        <w:t>results in income, wages or other compensation to you for any income, employment or other tax purposes with respect to which the Company or Employer, as applicable, has a withholding obligation, you shall deliver to the Company or Employer at the time of such receipt or lapse, as the case may be, such amount of money as the Company or Employer may require to meet its obligation under applicable tax laws or regulations, and, if you fail to do so, the Company or Employer is authorized to withhold from the Shares awarded hereby or from any cash or stock remuneration or other payment then or thereafter payable to you any tax required to be withheld by reason of such taxable income, wages or compensation sufficient to satisfy the withholding obligation based on the last per share sales price of the Common Stock for the trading day immediately preceding the date that the withholding obligation arises, as reported in the New York Stock Exchange Composite Transactions. For purposes of this Agreement, the “</w:t>
      </w:r>
      <w:r>
        <w:rPr>
          <w:rFonts w:ascii="Arial" w:cs="Arial" w:eastAsia="Arial" w:hAnsi="Arial"/>
          <w:sz w:val="18"/>
          <w:szCs w:val="18"/>
          <w:i w:val="1"/>
          <w:iCs w:val="1"/>
          <w:color w:val="auto"/>
        </w:rPr>
        <w:t>Employer</w:t>
      </w:r>
      <w:r>
        <w:rPr>
          <w:rFonts w:ascii="Arial" w:cs="Arial" w:eastAsia="Arial" w:hAnsi="Arial"/>
          <w:sz w:val="18"/>
          <w:szCs w:val="18"/>
          <w:color w:val="auto"/>
        </w:rPr>
        <w:t>” means the legal entity that is a member of the Company Group and that is classified by the Company Group as your employer.</w:t>
      </w:r>
    </w:p>
    <w:p>
      <w:pPr>
        <w:spacing w:after="0" w:line="165" w:lineRule="exact"/>
        <w:rPr>
          <w:rFonts w:ascii="Arial" w:cs="Arial" w:eastAsia="Arial" w:hAnsi="Arial"/>
          <w:sz w:val="16"/>
          <w:szCs w:val="16"/>
          <w:b w:val="1"/>
          <w:bCs w:val="1"/>
          <w:color w:val="auto"/>
        </w:rPr>
      </w:pPr>
    </w:p>
    <w:p>
      <w:pPr>
        <w:jc w:val="both"/>
        <w:ind w:left="652" w:hanging="652"/>
        <w:spacing w:after="0" w:line="275" w:lineRule="auto"/>
        <w:tabs>
          <w:tab w:leader="none" w:pos="652" w:val="left"/>
        </w:tabs>
        <w:numPr>
          <w:ilvl w:val="0"/>
          <w:numId w:val="20"/>
        </w:numPr>
        <w:rPr>
          <w:rFonts w:ascii="Arial" w:cs="Arial" w:eastAsia="Arial" w:hAnsi="Arial"/>
          <w:sz w:val="16"/>
          <w:szCs w:val="16"/>
          <w:b w:val="1"/>
          <w:bCs w:val="1"/>
          <w:color w:val="auto"/>
        </w:rPr>
      </w:pPr>
      <w:r>
        <w:rPr>
          <w:rFonts w:ascii="Arial" w:cs="Arial" w:eastAsia="Arial" w:hAnsi="Arial"/>
          <w:sz w:val="18"/>
          <w:szCs w:val="18"/>
          <w:b w:val="1"/>
          <w:bCs w:val="1"/>
          <w:u w:val="single" w:color="auto"/>
          <w:color w:val="auto"/>
        </w:rPr>
        <w:t>NONTRANSFERABILITY</w:t>
      </w:r>
      <w:r>
        <w:rPr>
          <w:rFonts w:ascii="Arial" w:cs="Arial" w:eastAsia="Arial" w:hAnsi="Arial"/>
          <w:sz w:val="18"/>
          <w:szCs w:val="18"/>
          <w:b w:val="1"/>
          <w:bCs w:val="1"/>
          <w:color w:val="auto"/>
        </w:rPr>
        <w:t xml:space="preserve">. </w:t>
      </w:r>
      <w:r>
        <w:rPr>
          <w:rFonts w:ascii="Arial" w:cs="Arial" w:eastAsia="Arial" w:hAnsi="Arial"/>
          <w:sz w:val="18"/>
          <w:szCs w:val="18"/>
          <w:color w:val="auto"/>
        </w:rPr>
        <w:t>Notwithstanding anything in this Agreement to the contrary and except as specified below, the Shares</w:t>
      </w:r>
      <w:r>
        <w:rPr>
          <w:rFonts w:ascii="Arial" w:cs="Arial" w:eastAsia="Arial" w:hAnsi="Arial"/>
          <w:sz w:val="18"/>
          <w:szCs w:val="18"/>
          <w:b w:val="1"/>
          <w:bCs w:val="1"/>
          <w:color w:val="auto"/>
        </w:rPr>
        <w:t xml:space="preserve"> </w:t>
      </w:r>
      <w:r>
        <w:rPr>
          <w:rFonts w:ascii="Arial" w:cs="Arial" w:eastAsia="Arial" w:hAnsi="Arial"/>
          <w:sz w:val="18"/>
          <w:szCs w:val="18"/>
          <w:color w:val="auto"/>
        </w:rPr>
        <w:t>of Restricted Stock awarded to you under this Agreement shall not be transferable or assignable by you other than by will or the laws of descent and distribution to the extent then subject to Forfeiture Restrictions. You may transfer the Shares to (a) a member or members of your immediate family, (b) to a revocable living trust established exclusively for you or you and your spouse, (c) a trust under which your immediate family members are the only beneficiaries or (d) a partnership of which your immediate family members are the only partners. For this purpose, “</w:t>
      </w:r>
      <w:r>
        <w:rPr>
          <w:rFonts w:ascii="Arial" w:cs="Arial" w:eastAsia="Arial" w:hAnsi="Arial"/>
          <w:sz w:val="18"/>
          <w:szCs w:val="18"/>
          <w:i w:val="1"/>
          <w:iCs w:val="1"/>
          <w:color w:val="auto"/>
        </w:rPr>
        <w:t>immediate family</w:t>
      </w:r>
      <w:r>
        <w:rPr>
          <w:rFonts w:ascii="Arial" w:cs="Arial" w:eastAsia="Arial" w:hAnsi="Arial"/>
          <w:sz w:val="18"/>
          <w:szCs w:val="18"/>
          <w:color w:val="auto"/>
        </w:rPr>
        <w:t>” means your spouse, children, stepchildren, grandchildren, parents, grandparents, siblings (including half brothers and sisters), and individuals who are family members by adoption.</w:t>
      </w:r>
    </w:p>
    <w:p>
      <w:pPr>
        <w:spacing w:after="0" w:line="168" w:lineRule="exact"/>
        <w:rPr>
          <w:rFonts w:ascii="Arial" w:cs="Arial" w:eastAsia="Arial" w:hAnsi="Arial"/>
          <w:sz w:val="16"/>
          <w:szCs w:val="16"/>
          <w:b w:val="1"/>
          <w:bCs w:val="1"/>
          <w:color w:val="auto"/>
        </w:rPr>
      </w:pPr>
    </w:p>
    <w:p>
      <w:pPr>
        <w:jc w:val="both"/>
        <w:ind w:left="652"/>
        <w:spacing w:after="0" w:line="274" w:lineRule="auto"/>
        <w:rPr>
          <w:rFonts w:ascii="Arial" w:cs="Arial" w:eastAsia="Arial" w:hAnsi="Arial"/>
          <w:sz w:val="16"/>
          <w:szCs w:val="16"/>
          <w:b w:val="1"/>
          <w:bCs w:val="1"/>
          <w:color w:val="auto"/>
        </w:rPr>
      </w:pPr>
      <w:r>
        <w:rPr>
          <w:rFonts w:ascii="Arial" w:cs="Arial" w:eastAsia="Arial" w:hAnsi="Arial"/>
          <w:sz w:val="18"/>
          <w:szCs w:val="18"/>
          <w:color w:val="auto"/>
        </w:rPr>
        <w:t>The terms applicable to the assigned Shares shall be the same as those in effect for the Shares immediately prior to such assignment and shall be set forth in such documents to be executed by the assignee as the Committee may deem appropriate. You may also designate one or more persons as the beneficiary or beneficiaries of your Shares of Restricted Stock under the Plan, and those Shares shall, in accordance with such designation, automatically be transferred to such beneficiary or beneficiaries upon your death while holding those Shares. Such beneficiary or beneficiaries shall take the transferred Shares of Restricted Stock subject to all the terms and conditions of this Agreement. Except for the limited transferability provided by the foregoing, outstanding Shares of Restricted Stock under the Plan shall not be assignable or transferable to the extent then subject to Forfeiture Restrictions.</w:t>
      </w:r>
    </w:p>
    <w:p>
      <w:pPr>
        <w:spacing w:after="0" w:line="168" w:lineRule="exact"/>
        <w:rPr>
          <w:rFonts w:ascii="Arial" w:cs="Arial" w:eastAsia="Arial" w:hAnsi="Arial"/>
          <w:sz w:val="16"/>
          <w:szCs w:val="16"/>
          <w:b w:val="1"/>
          <w:bCs w:val="1"/>
          <w:color w:val="auto"/>
        </w:rPr>
      </w:pPr>
    </w:p>
    <w:p>
      <w:pPr>
        <w:jc w:val="both"/>
        <w:ind w:left="652"/>
        <w:spacing w:after="0" w:line="246" w:lineRule="auto"/>
        <w:rPr>
          <w:rFonts w:ascii="Arial" w:cs="Arial" w:eastAsia="Arial" w:hAnsi="Arial"/>
          <w:sz w:val="16"/>
          <w:szCs w:val="16"/>
          <w:b w:val="1"/>
          <w:bCs w:val="1"/>
          <w:color w:val="auto"/>
        </w:rPr>
      </w:pPr>
      <w:r>
        <w:rPr>
          <w:rFonts w:ascii="Arial" w:cs="Arial" w:eastAsia="Arial" w:hAnsi="Arial"/>
          <w:sz w:val="20"/>
          <w:szCs w:val="20"/>
          <w:color w:val="auto"/>
        </w:rPr>
        <w:t>None of the Company, its employees or directors makes any representations or guarantees concerning the tax consequences associated with the inclusion of this provision in this Agreement or your transfer of the Shares of Restricted Stock. It is your sole responsibility to seek advice from your own tax advisors concerning those tax consequences. You are entitled to rely upon only the tax advice of your own tax advisors.</w:t>
      </w:r>
    </w:p>
    <w:p>
      <w:pPr>
        <w:spacing w:after="0" w:line="164" w:lineRule="exact"/>
        <w:rPr>
          <w:rFonts w:ascii="Arial" w:cs="Arial" w:eastAsia="Arial" w:hAnsi="Arial"/>
          <w:sz w:val="16"/>
          <w:szCs w:val="16"/>
          <w:b w:val="1"/>
          <w:bCs w:val="1"/>
          <w:color w:val="auto"/>
        </w:rPr>
      </w:pPr>
    </w:p>
    <w:p>
      <w:pPr>
        <w:jc w:val="both"/>
        <w:ind w:left="652"/>
        <w:spacing w:after="0" w:line="270" w:lineRule="auto"/>
        <w:rPr>
          <w:rFonts w:ascii="Arial" w:cs="Arial" w:eastAsia="Arial" w:hAnsi="Arial"/>
          <w:sz w:val="16"/>
          <w:szCs w:val="16"/>
          <w:b w:val="1"/>
          <w:bCs w:val="1"/>
          <w:color w:val="auto"/>
        </w:rPr>
      </w:pPr>
      <w:r>
        <w:rPr>
          <w:rFonts w:ascii="Arial" w:cs="Arial" w:eastAsia="Arial" w:hAnsi="Arial"/>
          <w:sz w:val="18"/>
          <w:szCs w:val="18"/>
          <w:color w:val="auto"/>
        </w:rPr>
        <w:t>Further, the Shares awarded hereby that are no longer subject to Forfeiture Restrictions may not be sold or otherwise disposed of in any manner that would constitute a violation of any applicable federal or state securities laws. You also agree that (x) the Company may refuse to cause the transfer of the Shares to be registered on the stock register of the Company if such proposed transfer would in the opinion of counsel satisfactory to the Company constitute a violation of any applicable federal or state securities law and</w:t>
      </w:r>
    </w:p>
    <w:p>
      <w:pPr>
        <w:spacing w:after="0" w:line="2" w:lineRule="exact"/>
        <w:rPr>
          <w:rFonts w:ascii="Arial" w:cs="Arial" w:eastAsia="Arial" w:hAnsi="Arial"/>
          <w:sz w:val="16"/>
          <w:szCs w:val="16"/>
          <w:b w:val="1"/>
          <w:bCs w:val="1"/>
          <w:color w:val="auto"/>
        </w:rPr>
      </w:pPr>
    </w:p>
    <w:p>
      <w:pPr>
        <w:jc w:val="both"/>
        <w:ind w:left="652"/>
        <w:spacing w:after="0" w:line="241" w:lineRule="auto"/>
        <w:rPr>
          <w:rFonts w:ascii="Arial" w:cs="Arial" w:eastAsia="Arial" w:hAnsi="Arial"/>
          <w:sz w:val="16"/>
          <w:szCs w:val="16"/>
          <w:b w:val="1"/>
          <w:bCs w:val="1"/>
          <w:color w:val="auto"/>
        </w:rPr>
      </w:pPr>
      <w:r>
        <w:rPr>
          <w:rFonts w:ascii="Arial" w:cs="Arial" w:eastAsia="Arial" w:hAnsi="Arial"/>
          <w:sz w:val="20"/>
          <w:szCs w:val="20"/>
          <w:color w:val="auto"/>
        </w:rPr>
        <w:t>(y) the Company may give related instructions to the transfer agent, if any, to stop registration of the transfer of the Shares. Upon the lapse of the Forfeiture Restrictions with respect to Shares awarded hereby such Shares shall be transferable by you (except to the extent that any proposed transfer would, in the opinion of counsel satisfactory to the Company, constitute a violation of applicable federal or state securities law).</w:t>
      </w:r>
    </w:p>
    <w:p>
      <w:pPr>
        <w:spacing w:after="0" w:line="188" w:lineRule="exact"/>
        <w:rPr>
          <w:rFonts w:ascii="Arial" w:cs="Arial" w:eastAsia="Arial" w:hAnsi="Arial"/>
          <w:sz w:val="16"/>
          <w:szCs w:val="16"/>
          <w:b w:val="1"/>
          <w:bCs w:val="1"/>
          <w:color w:val="auto"/>
        </w:rPr>
      </w:pPr>
    </w:p>
    <w:p>
      <w:pPr>
        <w:jc w:val="both"/>
        <w:ind w:left="652" w:hanging="652"/>
        <w:spacing w:after="0" w:line="262" w:lineRule="auto"/>
        <w:tabs>
          <w:tab w:leader="none" w:pos="652" w:val="left"/>
        </w:tabs>
        <w:numPr>
          <w:ilvl w:val="0"/>
          <w:numId w:val="20"/>
        </w:numPr>
        <w:rPr>
          <w:rFonts w:ascii="Arial" w:cs="Arial" w:eastAsia="Arial" w:hAnsi="Arial"/>
          <w:sz w:val="17"/>
          <w:szCs w:val="17"/>
          <w:b w:val="1"/>
          <w:bCs w:val="1"/>
          <w:color w:val="auto"/>
        </w:rPr>
      </w:pPr>
      <w:r>
        <w:rPr>
          <w:rFonts w:ascii="Arial" w:cs="Arial" w:eastAsia="Arial" w:hAnsi="Arial"/>
          <w:sz w:val="19"/>
          <w:szCs w:val="19"/>
          <w:b w:val="1"/>
          <w:bCs w:val="1"/>
          <w:u w:val="single" w:color="auto"/>
          <w:color w:val="auto"/>
        </w:rPr>
        <w:t>CAPITAL ADJUSTMENTS AND REORGANIZATIONS</w:t>
      </w:r>
      <w:r>
        <w:rPr>
          <w:rFonts w:ascii="Arial" w:cs="Arial" w:eastAsia="Arial" w:hAnsi="Arial"/>
          <w:sz w:val="19"/>
          <w:szCs w:val="19"/>
          <w:b w:val="1"/>
          <w:bCs w:val="1"/>
          <w:color w:val="auto"/>
        </w:rPr>
        <w:t xml:space="preserve">. </w:t>
      </w:r>
      <w:r>
        <w:rPr>
          <w:rFonts w:ascii="Arial" w:cs="Arial" w:eastAsia="Arial" w:hAnsi="Arial"/>
          <w:sz w:val="19"/>
          <w:szCs w:val="19"/>
          <w:color w:val="auto"/>
        </w:rPr>
        <w:t>The existence of the Shares of Restricted Stock shall not affect in any</w:t>
      </w:r>
      <w:r>
        <w:rPr>
          <w:rFonts w:ascii="Arial" w:cs="Arial" w:eastAsia="Arial" w:hAnsi="Arial"/>
          <w:sz w:val="19"/>
          <w:szCs w:val="19"/>
          <w:b w:val="1"/>
          <w:bCs w:val="1"/>
          <w:color w:val="auto"/>
        </w:rPr>
        <w:t xml:space="preserve"> </w:t>
      </w:r>
      <w:r>
        <w:rPr>
          <w:rFonts w:ascii="Arial" w:cs="Arial" w:eastAsia="Arial" w:hAnsi="Arial"/>
          <w:sz w:val="19"/>
          <w:szCs w:val="19"/>
          <w:color w:val="auto"/>
        </w:rPr>
        <w:t>way the right or power of the Company or any company the stock of which is awarded pursuant to this Agreement to make or authorize any adjustment, recapitalization, reorganization or other change in its capital structure or its business, engage in any merger or consolidation, issue any debt or equity securities, dissolve or liquidate, or sell, lease, exchange or otherwise dispose of all or any part of its assets or business, or engage in any other corporate act or proceeding.</w:t>
      </w:r>
    </w:p>
    <w:p>
      <w:pPr>
        <w:spacing w:after="0" w:line="170" w:lineRule="exact"/>
        <w:rPr>
          <w:rFonts w:ascii="Arial" w:cs="Arial" w:eastAsia="Arial" w:hAnsi="Arial"/>
          <w:sz w:val="17"/>
          <w:szCs w:val="17"/>
          <w:b w:val="1"/>
          <w:bCs w:val="1"/>
          <w:color w:val="auto"/>
        </w:rPr>
      </w:pPr>
    </w:p>
    <w:p>
      <w:pPr>
        <w:jc w:val="both"/>
        <w:ind w:left="652" w:hanging="652"/>
        <w:spacing w:after="0" w:line="272" w:lineRule="auto"/>
        <w:tabs>
          <w:tab w:leader="none" w:pos="652" w:val="left"/>
        </w:tabs>
        <w:numPr>
          <w:ilvl w:val="0"/>
          <w:numId w:val="20"/>
        </w:numPr>
        <w:rPr>
          <w:rFonts w:ascii="Arial" w:cs="Arial" w:eastAsia="Arial" w:hAnsi="Arial"/>
          <w:sz w:val="16"/>
          <w:szCs w:val="16"/>
          <w:b w:val="1"/>
          <w:bCs w:val="1"/>
          <w:color w:val="auto"/>
        </w:rPr>
      </w:pPr>
      <w:r>
        <w:rPr>
          <w:rFonts w:ascii="Arial" w:cs="Arial" w:eastAsia="Arial" w:hAnsi="Arial"/>
          <w:sz w:val="18"/>
          <w:szCs w:val="18"/>
          <w:b w:val="1"/>
          <w:bCs w:val="1"/>
          <w:u w:val="single" w:color="auto"/>
          <w:color w:val="auto"/>
        </w:rPr>
        <w:t>RIGHTS REGARDING DISTRIBUTIONS MADE BY THE COMPANY DURING THE RESTRICTED PERIOD</w:t>
      </w:r>
      <w:r>
        <w:rPr>
          <w:rFonts w:ascii="Arial" w:cs="Arial" w:eastAsia="Arial" w:hAnsi="Arial"/>
          <w:sz w:val="18"/>
          <w:szCs w:val="18"/>
          <w:color w:val="auto"/>
        </w:rPr>
        <w:t>. During</w:t>
      </w:r>
      <w:r>
        <w:rPr>
          <w:rFonts w:ascii="Arial" w:cs="Arial" w:eastAsia="Arial" w:hAnsi="Arial"/>
          <w:sz w:val="18"/>
          <w:szCs w:val="18"/>
          <w:b w:val="1"/>
          <w:bCs w:val="1"/>
          <w:color w:val="auto"/>
        </w:rPr>
        <w:t xml:space="preserve"> </w:t>
      </w:r>
      <w:r>
        <w:rPr>
          <w:rFonts w:ascii="Arial" w:cs="Arial" w:eastAsia="Arial" w:hAnsi="Arial"/>
          <w:sz w:val="18"/>
          <w:szCs w:val="18"/>
          <w:color w:val="auto"/>
        </w:rPr>
        <w:t>the Restricted Period, (a) any securities of the Company distributed by the Company in respect of the Shares of Restricted Stock will be evidenced by entries in the appropriate securities register of the Company reflecting that such securities of the Company, if any, have been issued in your name (the “</w:t>
      </w:r>
      <w:r>
        <w:rPr>
          <w:rFonts w:ascii="Arial" w:cs="Arial" w:eastAsia="Arial" w:hAnsi="Arial"/>
          <w:sz w:val="18"/>
          <w:szCs w:val="18"/>
          <w:i w:val="1"/>
          <w:iCs w:val="1"/>
          <w:color w:val="auto"/>
        </w:rPr>
        <w:t>Retained Company Securities</w:t>
      </w:r>
      <w:r>
        <w:rPr>
          <w:rFonts w:ascii="Arial" w:cs="Arial" w:eastAsia="Arial" w:hAnsi="Arial"/>
          <w:sz w:val="18"/>
          <w:szCs w:val="18"/>
          <w:color w:val="auto"/>
        </w:rPr>
        <w:t>”) and (b) any securities of any company other than the Company or any other property (other than regular cash dividends) distributed by the Company in respect of the Shares of Restricted Stock will be evidenced in your name by such certificates or in such other manner as the Company determines (the “</w:t>
      </w:r>
      <w:r>
        <w:rPr>
          <w:rFonts w:ascii="Arial" w:cs="Arial" w:eastAsia="Arial" w:hAnsi="Arial"/>
          <w:sz w:val="18"/>
          <w:szCs w:val="18"/>
          <w:i w:val="1"/>
          <w:iCs w:val="1"/>
          <w:color w:val="auto"/>
        </w:rPr>
        <w:t>Retained Other Securities</w:t>
      </w:r>
      <w:r>
        <w:rPr>
          <w:rFonts w:ascii="Arial" w:cs="Arial" w:eastAsia="Arial" w:hAnsi="Arial"/>
          <w:sz w:val="18"/>
          <w:szCs w:val="18"/>
          <w:color w:val="auto"/>
        </w:rPr>
        <w:t xml:space="preserve"> </w:t>
      </w:r>
      <w:r>
        <w:rPr>
          <w:rFonts w:ascii="Arial" w:cs="Arial" w:eastAsia="Arial" w:hAnsi="Arial"/>
          <w:sz w:val="18"/>
          <w:szCs w:val="18"/>
          <w:i w:val="1"/>
          <w:iCs w:val="1"/>
          <w:color w:val="auto"/>
        </w:rPr>
        <w:t>and Property</w:t>
      </w:r>
      <w:r>
        <w:rPr>
          <w:rFonts w:ascii="Arial" w:cs="Arial" w:eastAsia="Arial" w:hAnsi="Arial"/>
          <w:sz w:val="18"/>
          <w:szCs w:val="18"/>
          <w:color w:val="auto"/>
        </w:rPr>
        <w:t>”) and may bear a restrictive legend to the effect that ownership of such Retained Other Securities and Property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enjoyment of all rights appurtenant thereto, are subject to the restrictions, terms, and conditions provided in the Plan and this Agreement. The Retained Company Securities and the Retained Other Securities and Property (collectively, the “</w:t>
      </w:r>
      <w:r>
        <w:rPr>
          <w:rFonts w:ascii="Arial" w:cs="Arial" w:eastAsia="Arial" w:hAnsi="Arial"/>
          <w:sz w:val="18"/>
          <w:szCs w:val="18"/>
          <w:i w:val="1"/>
          <w:iCs w:val="1"/>
          <w:color w:val="auto"/>
        </w:rPr>
        <w:t>Retained</w:t>
      </w:r>
      <w:r>
        <w:rPr>
          <w:rFonts w:ascii="Arial" w:cs="Arial" w:eastAsia="Arial" w:hAnsi="Arial"/>
          <w:sz w:val="18"/>
          <w:szCs w:val="18"/>
          <w:color w:val="auto"/>
        </w:rPr>
        <w:t xml:space="preserve"> </w:t>
      </w:r>
      <w:r>
        <w:rPr>
          <w:rFonts w:ascii="Arial" w:cs="Arial" w:eastAsia="Arial" w:hAnsi="Arial"/>
          <w:sz w:val="18"/>
          <w:szCs w:val="18"/>
          <w:i w:val="1"/>
          <w:iCs w:val="1"/>
          <w:color w:val="auto"/>
        </w:rPr>
        <w:t>Distributions</w:t>
      </w:r>
      <w:r>
        <w:rPr>
          <w:rFonts w:ascii="Arial" w:cs="Arial" w:eastAsia="Arial" w:hAnsi="Arial"/>
          <w:sz w:val="18"/>
          <w:szCs w:val="18"/>
          <w:color w:val="auto"/>
        </w:rPr>
        <w:t>”) shall be subject to the same restrictions, terms and conditions as are applicable to the Shares of Restricted Stock.</w:t>
      </w:r>
    </w:p>
    <w:p>
      <w:pPr>
        <w:spacing w:after="0" w:line="165" w:lineRule="exact"/>
        <w:rPr>
          <w:rFonts w:ascii="Arial" w:cs="Arial" w:eastAsia="Arial" w:hAnsi="Arial"/>
          <w:sz w:val="16"/>
          <w:szCs w:val="16"/>
          <w:b w:val="1"/>
          <w:bCs w:val="1"/>
          <w:color w:val="auto"/>
        </w:rPr>
      </w:pPr>
    </w:p>
    <w:p>
      <w:pPr>
        <w:jc w:val="both"/>
        <w:ind w:left="652" w:hanging="652"/>
        <w:spacing w:after="0" w:line="277" w:lineRule="auto"/>
        <w:tabs>
          <w:tab w:leader="none" w:pos="652" w:val="left"/>
        </w:tabs>
        <w:numPr>
          <w:ilvl w:val="0"/>
          <w:numId w:val="20"/>
        </w:numPr>
        <w:rPr>
          <w:rFonts w:ascii="Arial" w:cs="Arial" w:eastAsia="Arial" w:hAnsi="Arial"/>
          <w:sz w:val="16"/>
          <w:szCs w:val="16"/>
          <w:b w:val="1"/>
          <w:bCs w:val="1"/>
          <w:color w:val="auto"/>
        </w:rPr>
      </w:pPr>
      <w:r>
        <w:rPr>
          <w:rFonts w:ascii="Arial" w:cs="Arial" w:eastAsia="Arial" w:hAnsi="Arial"/>
          <w:sz w:val="18"/>
          <w:szCs w:val="18"/>
          <w:b w:val="1"/>
          <w:bCs w:val="1"/>
          <w:u w:val="single" w:color="auto"/>
          <w:color w:val="auto"/>
        </w:rPr>
        <w:t>RIGHTS WITH RESPECT TO SHARES OF RESTRICTED STOCK AND RETAINED DISTRIBUTIONS DURING RESTRICTED PERIOD</w:t>
      </w:r>
      <w:r>
        <w:rPr>
          <w:rFonts w:ascii="Arial" w:cs="Arial" w:eastAsia="Arial" w:hAnsi="Arial"/>
          <w:sz w:val="18"/>
          <w:szCs w:val="18"/>
          <w:color w:val="auto"/>
        </w:rPr>
        <w:t>. You shall have the right to vote the Shares of Restricted Stock awarded to you, and to exercise all other</w:t>
      </w:r>
      <w:r>
        <w:rPr>
          <w:rFonts w:ascii="Arial" w:cs="Arial" w:eastAsia="Arial" w:hAnsi="Arial"/>
          <w:sz w:val="18"/>
          <w:szCs w:val="18"/>
          <w:b w:val="1"/>
          <w:bCs w:val="1"/>
          <w:color w:val="auto"/>
        </w:rPr>
        <w:t xml:space="preserve"> </w:t>
      </w:r>
      <w:r>
        <w:rPr>
          <w:rFonts w:ascii="Arial" w:cs="Arial" w:eastAsia="Arial" w:hAnsi="Arial"/>
          <w:sz w:val="18"/>
          <w:szCs w:val="18"/>
          <w:color w:val="auto"/>
        </w:rPr>
        <w:t>rights, powers and privileges of a holder of the Common Stock, with respect to such Shares of Restricted Stock, with the exception that (a) you shall not be entitled to have custody of such Shares of Restricted Stock until the Forfeiture Restrictions applicable thereto shall have lapsed, (b) the Company shall retain custody of all Retained Distributions made or declared with respect to the Shares of Restricted Stock until such time, if ever, as the Forfeiture Restrictions applicable to the Shares of Restricted Stock with respect to</w:t>
      </w:r>
    </w:p>
    <w:p>
      <w:pPr>
        <w:sectPr>
          <w:pgSz w:w="11900" w:h="16838" w:orient="portrait"/>
          <w:cols w:equalWidth="0" w:num="1">
            <w:col w:w="11232"/>
          </w:cols>
          <w:pgMar w:left="328" w:top="122" w:right="339" w:bottom="0" w:gutter="0" w:footer="0" w:header="0"/>
        </w:sectPr>
      </w:pPr>
    </w:p>
    <w:bookmarkStart w:id="52" w:name="page53"/>
    <w:bookmarkEnd w:id="52"/>
    <w:p>
      <w:pPr>
        <w:jc w:val="both"/>
        <w:ind w:left="660"/>
        <w:spacing w:after="0" w:line="270" w:lineRule="auto"/>
        <w:rPr>
          <w:sz w:val="20"/>
          <w:szCs w:val="20"/>
          <w:color w:val="auto"/>
        </w:rPr>
      </w:pPr>
      <w:r>
        <w:rPr>
          <w:rFonts w:ascii="Arial" w:cs="Arial" w:eastAsia="Arial" w:hAnsi="Arial"/>
          <w:sz w:val="18"/>
          <w:szCs w:val="18"/>
          <w:color w:val="auto"/>
        </w:rPr>
        <w:t>which such Retained Distributions shall have been made, paid, or declared shall have lapsed, and such Retained Distributions shall not bear interest or be segregated in separate accounts and (c) you may not sell, assign, transfer, pledge, exchange, encumber, or dispose of the Shares of Restricted Stock or any Retained Distributions during the Restricted Period. During the Restricted Period, the Company may, in its sole discretion, issue certificates for some or all of the Shares of Restricted Stock, in which case all such certificates shall be delivered to the Corporate Secretary of the Company or to such other depository as may be designated by the Committee as a depository for safekeeping until the forfeiture of such Shares of Restricted Stock occurs or the Forfeiture Restrictions lapse. When requested by the Company, you shall execute such stock powers or other instruments of assignment as the Company requests relating to transfer to the Company of all or any portion of such Shares of Restricted Stock and any Retained Distributions that are forfeited in accordance with the Plan and this Agreement. Cash dividends, stock, and any other property (other than cash) distributed as a dividend or otherwise with respect to any Shares of Restricted Stock shall be accumulated, and shall be subject to restrictions and risk of forfeiture to the same extent as otherwise set forth in this Agreement. The combined value of any such distributions shall be paid to you at the time such restrictions and risk of forfeiture lapse.</w:t>
      </w:r>
    </w:p>
    <w:p>
      <w:pPr>
        <w:spacing w:after="0" w:line="171" w:lineRule="exact"/>
        <w:rPr>
          <w:sz w:val="20"/>
          <w:szCs w:val="20"/>
          <w:color w:val="auto"/>
        </w:rPr>
      </w:pPr>
    </w:p>
    <w:p>
      <w:pPr>
        <w:jc w:val="both"/>
        <w:ind w:left="660" w:right="20" w:hanging="652"/>
        <w:spacing w:after="0" w:line="265" w:lineRule="auto"/>
        <w:tabs>
          <w:tab w:leader="none" w:pos="660" w:val="left"/>
        </w:tabs>
        <w:numPr>
          <w:ilvl w:val="0"/>
          <w:numId w:val="21"/>
        </w:numPr>
        <w:rPr>
          <w:rFonts w:ascii="Arial" w:cs="Arial" w:eastAsia="Arial" w:hAnsi="Arial"/>
          <w:sz w:val="17"/>
          <w:szCs w:val="17"/>
          <w:b w:val="1"/>
          <w:bCs w:val="1"/>
          <w:color w:val="auto"/>
        </w:rPr>
      </w:pPr>
      <w:r>
        <w:rPr>
          <w:rFonts w:ascii="Arial" w:cs="Arial" w:eastAsia="Arial" w:hAnsi="Arial"/>
          <w:sz w:val="19"/>
          <w:szCs w:val="19"/>
          <w:b w:val="1"/>
          <w:bCs w:val="1"/>
          <w:u w:val="single" w:color="auto"/>
          <w:color w:val="auto"/>
        </w:rPr>
        <w:t>EMPLOYMENT RELATIONSHIP</w:t>
      </w:r>
      <w:r>
        <w:rPr>
          <w:rFonts w:ascii="Arial" w:cs="Arial" w:eastAsia="Arial" w:hAnsi="Arial"/>
          <w:sz w:val="19"/>
          <w:szCs w:val="19"/>
          <w:b w:val="1"/>
          <w:bCs w:val="1"/>
          <w:color w:val="auto"/>
        </w:rPr>
        <w:t xml:space="preserve">. </w:t>
      </w:r>
      <w:r>
        <w:rPr>
          <w:rFonts w:ascii="Arial" w:cs="Arial" w:eastAsia="Arial" w:hAnsi="Arial"/>
          <w:sz w:val="19"/>
          <w:szCs w:val="19"/>
          <w:color w:val="auto"/>
        </w:rPr>
        <w:t>For purposes of this Agreement, you shall be considered to be in the employment of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Group as long as you have an employment relationship with the Company Group. The Committee shall determine any questions as to whether and when there has been a termination of such employment relationship, and the cause of such termination, under the Plan and the Committee’s determination shall be final and binding on all persons.</w:t>
      </w:r>
    </w:p>
    <w:p>
      <w:pPr>
        <w:spacing w:after="0" w:line="169" w:lineRule="exact"/>
        <w:rPr>
          <w:rFonts w:ascii="Arial" w:cs="Arial" w:eastAsia="Arial" w:hAnsi="Arial"/>
          <w:sz w:val="17"/>
          <w:szCs w:val="17"/>
          <w:b w:val="1"/>
          <w:bCs w:val="1"/>
          <w:color w:val="auto"/>
        </w:rPr>
      </w:pPr>
    </w:p>
    <w:p>
      <w:pPr>
        <w:jc w:val="both"/>
        <w:ind w:left="660" w:hanging="652"/>
        <w:spacing w:after="0" w:line="253" w:lineRule="auto"/>
        <w:tabs>
          <w:tab w:leader="none" w:pos="660" w:val="left"/>
        </w:tabs>
        <w:numPr>
          <w:ilvl w:val="0"/>
          <w:numId w:val="21"/>
        </w:numPr>
        <w:rPr>
          <w:rFonts w:ascii="Arial" w:cs="Arial" w:eastAsia="Arial" w:hAnsi="Arial"/>
          <w:sz w:val="18"/>
          <w:szCs w:val="18"/>
          <w:b w:val="1"/>
          <w:bCs w:val="1"/>
          <w:color w:val="auto"/>
        </w:rPr>
      </w:pPr>
      <w:r>
        <w:rPr>
          <w:rFonts w:ascii="Arial" w:cs="Arial" w:eastAsia="Arial" w:hAnsi="Arial"/>
          <w:sz w:val="20"/>
          <w:szCs w:val="20"/>
          <w:b w:val="1"/>
          <w:bCs w:val="1"/>
          <w:u w:val="single" w:color="auto"/>
          <w:color w:val="auto"/>
        </w:rPr>
        <w:t>SECTION 83(B) ELECTION</w:t>
      </w:r>
      <w:r>
        <w:rPr>
          <w:rFonts w:ascii="Arial" w:cs="Arial" w:eastAsia="Arial" w:hAnsi="Arial"/>
          <w:sz w:val="20"/>
          <w:szCs w:val="20"/>
          <w:b w:val="1"/>
          <w:bCs w:val="1"/>
          <w:color w:val="auto"/>
        </w:rPr>
        <w:t xml:space="preserve">. </w:t>
      </w:r>
      <w:r>
        <w:rPr>
          <w:rFonts w:ascii="Arial" w:cs="Arial" w:eastAsia="Arial" w:hAnsi="Arial"/>
          <w:sz w:val="20"/>
          <w:szCs w:val="20"/>
          <w:color w:val="auto"/>
        </w:rPr>
        <w:t>You may exercise the election permitted under Section 83(b) of the Code with respect to the Shares</w:t>
      </w:r>
      <w:r>
        <w:rPr>
          <w:rFonts w:ascii="Arial" w:cs="Arial" w:eastAsia="Arial" w:hAnsi="Arial"/>
          <w:sz w:val="20"/>
          <w:szCs w:val="20"/>
          <w:b w:val="1"/>
          <w:bCs w:val="1"/>
          <w:color w:val="auto"/>
        </w:rPr>
        <w:t xml:space="preserve"> </w:t>
      </w:r>
      <w:r>
        <w:rPr>
          <w:rFonts w:ascii="Arial" w:cs="Arial" w:eastAsia="Arial" w:hAnsi="Arial"/>
          <w:sz w:val="20"/>
          <w:szCs w:val="20"/>
          <w:color w:val="auto"/>
        </w:rPr>
        <w:t>of Restricted Stock, provided that you provide prompt notice of such election to the Chief Financial Officer or General Counsel of the Company.</w:t>
      </w:r>
    </w:p>
    <w:p>
      <w:pPr>
        <w:spacing w:after="0" w:line="177" w:lineRule="exact"/>
        <w:rPr>
          <w:rFonts w:ascii="Arial" w:cs="Arial" w:eastAsia="Arial" w:hAnsi="Arial"/>
          <w:sz w:val="18"/>
          <w:szCs w:val="18"/>
          <w:b w:val="1"/>
          <w:bCs w:val="1"/>
          <w:color w:val="auto"/>
        </w:rPr>
      </w:pPr>
    </w:p>
    <w:p>
      <w:pPr>
        <w:jc w:val="both"/>
        <w:ind w:left="660" w:hanging="652"/>
        <w:spacing w:after="0" w:line="253" w:lineRule="auto"/>
        <w:tabs>
          <w:tab w:leader="none" w:pos="660" w:val="left"/>
        </w:tabs>
        <w:numPr>
          <w:ilvl w:val="0"/>
          <w:numId w:val="21"/>
        </w:numPr>
        <w:rPr>
          <w:rFonts w:ascii="Arial" w:cs="Arial" w:eastAsia="Arial" w:hAnsi="Arial"/>
          <w:sz w:val="18"/>
          <w:szCs w:val="18"/>
          <w:b w:val="1"/>
          <w:bCs w:val="1"/>
          <w:color w:val="auto"/>
        </w:rPr>
      </w:pPr>
      <w:r>
        <w:rPr>
          <w:rFonts w:ascii="Arial" w:cs="Arial" w:eastAsia="Arial" w:hAnsi="Arial"/>
          <w:sz w:val="20"/>
          <w:szCs w:val="20"/>
          <w:b w:val="1"/>
          <w:bCs w:val="1"/>
          <w:u w:val="single" w:color="auto"/>
          <w:color w:val="auto"/>
        </w:rPr>
        <w:t>NOT AN EMPLOYMENT AGREEMENT</w:t>
      </w:r>
      <w:r>
        <w:rPr>
          <w:rFonts w:ascii="Arial" w:cs="Arial" w:eastAsia="Arial" w:hAnsi="Arial"/>
          <w:sz w:val="20"/>
          <w:szCs w:val="20"/>
          <w:color w:val="auto"/>
        </w:rPr>
        <w:t>. This Agreement is not an employment agreement, and no provision of this Agreement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shall be construed or interpreted to create an employment relationship between you and the Company or any Affiliate or guarantee the right to remain employed by the Company or any Affiliate for any specified term.</w:t>
      </w:r>
    </w:p>
    <w:p>
      <w:pPr>
        <w:spacing w:after="0" w:line="177" w:lineRule="exact"/>
        <w:rPr>
          <w:rFonts w:ascii="Arial" w:cs="Arial" w:eastAsia="Arial" w:hAnsi="Arial"/>
          <w:sz w:val="18"/>
          <w:szCs w:val="18"/>
          <w:b w:val="1"/>
          <w:bCs w:val="1"/>
          <w:color w:val="auto"/>
        </w:rPr>
      </w:pPr>
    </w:p>
    <w:p>
      <w:pPr>
        <w:jc w:val="both"/>
        <w:ind w:left="660" w:hanging="652"/>
        <w:spacing w:after="0" w:line="253" w:lineRule="auto"/>
        <w:tabs>
          <w:tab w:leader="none" w:pos="660" w:val="left"/>
        </w:tabs>
        <w:numPr>
          <w:ilvl w:val="0"/>
          <w:numId w:val="21"/>
        </w:numPr>
        <w:rPr>
          <w:rFonts w:ascii="Arial" w:cs="Arial" w:eastAsia="Arial" w:hAnsi="Arial"/>
          <w:sz w:val="18"/>
          <w:szCs w:val="18"/>
          <w:b w:val="1"/>
          <w:bCs w:val="1"/>
          <w:color w:val="auto"/>
        </w:rPr>
      </w:pPr>
      <w:r>
        <w:rPr>
          <w:rFonts w:ascii="Arial" w:cs="Arial" w:eastAsia="Arial" w:hAnsi="Arial"/>
          <w:sz w:val="20"/>
          <w:szCs w:val="20"/>
          <w:b w:val="1"/>
          <w:bCs w:val="1"/>
          <w:u w:val="single" w:color="auto"/>
          <w:color w:val="auto"/>
        </w:rPr>
        <w:t>SECURITIES ACT LEGEND</w:t>
      </w:r>
      <w:r>
        <w:rPr>
          <w:rFonts w:ascii="Arial" w:cs="Arial" w:eastAsia="Arial" w:hAnsi="Arial"/>
          <w:sz w:val="20"/>
          <w:szCs w:val="20"/>
          <w:b w:val="1"/>
          <w:bCs w:val="1"/>
          <w:color w:val="auto"/>
        </w:rPr>
        <w:t xml:space="preserve">. </w:t>
      </w:r>
      <w:r>
        <w:rPr>
          <w:rFonts w:ascii="Arial" w:cs="Arial" w:eastAsia="Arial" w:hAnsi="Arial"/>
          <w:sz w:val="20"/>
          <w:szCs w:val="20"/>
          <w:color w:val="auto"/>
        </w:rPr>
        <w:t>If you are an officer or affiliate of the Company under the Securities Act of 1933, you consent to</w:t>
      </w:r>
      <w:r>
        <w:rPr>
          <w:rFonts w:ascii="Arial" w:cs="Arial" w:eastAsia="Arial" w:hAnsi="Arial"/>
          <w:sz w:val="20"/>
          <w:szCs w:val="20"/>
          <w:b w:val="1"/>
          <w:bCs w:val="1"/>
          <w:color w:val="auto"/>
        </w:rPr>
        <w:t xml:space="preserve"> </w:t>
      </w:r>
      <w:r>
        <w:rPr>
          <w:rFonts w:ascii="Arial" w:cs="Arial" w:eastAsia="Arial" w:hAnsi="Arial"/>
          <w:sz w:val="20"/>
          <w:szCs w:val="20"/>
          <w:color w:val="auto"/>
        </w:rPr>
        <w:t>the placing on any certificate for the Shares of an appropriate legend restricting resale or other transfer of the Shares except in accordance with such Act and all applicable rules thereunder.</w:t>
      </w:r>
    </w:p>
    <w:p>
      <w:pPr>
        <w:spacing w:after="0" w:line="177" w:lineRule="exact"/>
        <w:rPr>
          <w:rFonts w:ascii="Arial" w:cs="Arial" w:eastAsia="Arial" w:hAnsi="Arial"/>
          <w:sz w:val="18"/>
          <w:szCs w:val="18"/>
          <w:b w:val="1"/>
          <w:bCs w:val="1"/>
          <w:color w:val="auto"/>
        </w:rPr>
      </w:pPr>
    </w:p>
    <w:p>
      <w:pPr>
        <w:ind w:left="660" w:hanging="652"/>
        <w:spacing w:after="0" w:line="267" w:lineRule="auto"/>
        <w:tabs>
          <w:tab w:leader="none" w:pos="660" w:val="left"/>
        </w:tabs>
        <w:numPr>
          <w:ilvl w:val="0"/>
          <w:numId w:val="21"/>
        </w:numPr>
        <w:rPr>
          <w:rFonts w:ascii="Arial" w:cs="Arial" w:eastAsia="Arial" w:hAnsi="Arial"/>
          <w:sz w:val="18"/>
          <w:szCs w:val="18"/>
          <w:b w:val="1"/>
          <w:bCs w:val="1"/>
          <w:color w:val="auto"/>
        </w:rPr>
      </w:pPr>
      <w:r>
        <w:rPr>
          <w:rFonts w:ascii="Arial" w:cs="Arial" w:eastAsia="Arial" w:hAnsi="Arial"/>
          <w:sz w:val="20"/>
          <w:szCs w:val="20"/>
          <w:b w:val="1"/>
          <w:bCs w:val="1"/>
          <w:u w:val="single" w:color="auto"/>
          <w:color w:val="auto"/>
        </w:rPr>
        <w:t>REGISTRATION</w:t>
      </w:r>
      <w:r>
        <w:rPr>
          <w:rFonts w:ascii="Arial" w:cs="Arial" w:eastAsia="Arial" w:hAnsi="Arial"/>
          <w:sz w:val="20"/>
          <w:szCs w:val="20"/>
          <w:color w:val="auto"/>
        </w:rPr>
        <w:t>. The Shares that may be issued under the Plan are registered with the Securities and Exchange Commission under</w:t>
      </w:r>
      <w:r>
        <w:rPr>
          <w:rFonts w:ascii="Arial" w:cs="Arial" w:eastAsia="Arial" w:hAnsi="Arial"/>
          <w:sz w:val="20"/>
          <w:szCs w:val="20"/>
          <w:b w:val="1"/>
          <w:bCs w:val="1"/>
          <w:color w:val="auto"/>
        </w:rPr>
        <w:t xml:space="preserve"> </w:t>
      </w:r>
      <w:r>
        <w:rPr>
          <w:rFonts w:ascii="Arial" w:cs="Arial" w:eastAsia="Arial" w:hAnsi="Arial"/>
          <w:sz w:val="20"/>
          <w:szCs w:val="20"/>
          <w:color w:val="auto"/>
        </w:rPr>
        <w:t>a Registration Statement on Form S-8.</w:t>
      </w:r>
    </w:p>
    <w:p>
      <w:pPr>
        <w:spacing w:after="0" w:line="163" w:lineRule="exact"/>
        <w:rPr>
          <w:rFonts w:ascii="Arial" w:cs="Arial" w:eastAsia="Arial" w:hAnsi="Arial"/>
          <w:sz w:val="18"/>
          <w:szCs w:val="18"/>
          <w:b w:val="1"/>
          <w:bCs w:val="1"/>
          <w:color w:val="auto"/>
        </w:rPr>
      </w:pPr>
    </w:p>
    <w:p>
      <w:pPr>
        <w:jc w:val="both"/>
        <w:ind w:left="660" w:hanging="652"/>
        <w:spacing w:after="0" w:line="253" w:lineRule="auto"/>
        <w:tabs>
          <w:tab w:leader="none" w:pos="660" w:val="left"/>
        </w:tabs>
        <w:numPr>
          <w:ilvl w:val="0"/>
          <w:numId w:val="21"/>
        </w:numPr>
        <w:rPr>
          <w:rFonts w:ascii="Arial" w:cs="Arial" w:eastAsia="Arial" w:hAnsi="Arial"/>
          <w:sz w:val="18"/>
          <w:szCs w:val="18"/>
          <w:b w:val="1"/>
          <w:bCs w:val="1"/>
          <w:color w:val="auto"/>
        </w:rPr>
      </w:pPr>
      <w:r>
        <w:rPr>
          <w:rFonts w:ascii="Arial" w:cs="Arial" w:eastAsia="Arial" w:hAnsi="Arial"/>
          <w:sz w:val="20"/>
          <w:szCs w:val="20"/>
          <w:b w:val="1"/>
          <w:bCs w:val="1"/>
          <w:u w:val="single" w:color="auto"/>
          <w:color w:val="auto"/>
        </w:rPr>
        <w:t>LIMIT OF LIABILITY</w:t>
      </w:r>
      <w:r>
        <w:rPr>
          <w:rFonts w:ascii="Arial" w:cs="Arial" w:eastAsia="Arial" w:hAnsi="Arial"/>
          <w:sz w:val="20"/>
          <w:szCs w:val="20"/>
          <w:color w:val="auto"/>
        </w:rPr>
        <w:t>. Under no circumstances will the Company or any Affiliate be liable for any indirect, incidental,</w:t>
      </w:r>
      <w:r>
        <w:rPr>
          <w:rFonts w:ascii="Arial" w:cs="Arial" w:eastAsia="Arial" w:hAnsi="Arial"/>
          <w:sz w:val="20"/>
          <w:szCs w:val="20"/>
          <w:b w:val="1"/>
          <w:bCs w:val="1"/>
          <w:color w:val="auto"/>
        </w:rPr>
        <w:t xml:space="preserve"> </w:t>
      </w:r>
      <w:r>
        <w:rPr>
          <w:rFonts w:ascii="Arial" w:cs="Arial" w:eastAsia="Arial" w:hAnsi="Arial"/>
          <w:sz w:val="20"/>
          <w:szCs w:val="20"/>
          <w:color w:val="auto"/>
        </w:rPr>
        <w:t>consequential or special damages (including lost profits) of any form incurred by any person, whether or not foreseeable and regardless of the form of the act in which such a claim may be brought, with respect to the Plan.</w:t>
      </w:r>
    </w:p>
    <w:p>
      <w:pPr>
        <w:spacing w:after="0" w:line="177" w:lineRule="exact"/>
        <w:rPr>
          <w:rFonts w:ascii="Arial" w:cs="Arial" w:eastAsia="Arial" w:hAnsi="Arial"/>
          <w:sz w:val="18"/>
          <w:szCs w:val="18"/>
          <w:b w:val="1"/>
          <w:bCs w:val="1"/>
          <w:color w:val="auto"/>
        </w:rPr>
      </w:pPr>
    </w:p>
    <w:p>
      <w:pPr>
        <w:jc w:val="both"/>
        <w:ind w:left="660" w:hanging="652"/>
        <w:spacing w:after="0" w:line="285" w:lineRule="auto"/>
        <w:tabs>
          <w:tab w:leader="none" w:pos="660" w:val="left"/>
        </w:tabs>
        <w:numPr>
          <w:ilvl w:val="0"/>
          <w:numId w:val="21"/>
        </w:numPr>
        <w:rPr>
          <w:rFonts w:ascii="Arial" w:cs="Arial" w:eastAsia="Arial" w:hAnsi="Arial"/>
          <w:sz w:val="16"/>
          <w:szCs w:val="16"/>
          <w:b w:val="1"/>
          <w:bCs w:val="1"/>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color w:val="auto"/>
        </w:rPr>
        <w:t>. This Agreement is awarded pursuant to and is subject to all of the provisions of the Plan,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amendments to the Plan, if any. In the event of a conflict between this Agreement and the Plan provisions, the Plan provisions will control. The term “</w:t>
      </w:r>
      <w:r>
        <w:rPr>
          <w:rFonts w:ascii="Arial" w:cs="Arial" w:eastAsia="Arial" w:hAnsi="Arial"/>
          <w:sz w:val="18"/>
          <w:szCs w:val="18"/>
          <w:i w:val="1"/>
          <w:iCs w:val="1"/>
          <w:color w:val="auto"/>
        </w:rPr>
        <w:t>you</w:t>
      </w:r>
      <w:r>
        <w:rPr>
          <w:rFonts w:ascii="Arial" w:cs="Arial" w:eastAsia="Arial" w:hAnsi="Arial"/>
          <w:sz w:val="18"/>
          <w:szCs w:val="18"/>
          <w:color w:val="auto"/>
        </w:rPr>
        <w:t>” and “</w:t>
      </w:r>
      <w:r>
        <w:rPr>
          <w:rFonts w:ascii="Arial" w:cs="Arial" w:eastAsia="Arial" w:hAnsi="Arial"/>
          <w:sz w:val="18"/>
          <w:szCs w:val="18"/>
          <w:i w:val="1"/>
          <w:iCs w:val="1"/>
          <w:color w:val="auto"/>
        </w:rPr>
        <w:t>your</w:t>
      </w:r>
      <w:r>
        <w:rPr>
          <w:rFonts w:ascii="Arial" w:cs="Arial" w:eastAsia="Arial" w:hAnsi="Arial"/>
          <w:sz w:val="18"/>
          <w:szCs w:val="18"/>
          <w:color w:val="auto"/>
        </w:rPr>
        <w:t>” refer to the Grantee named in this Agreement. Capitalized terms that are not defined herein shall have the meanings ascribed to such terms in the Plan. This Agreement shall be binding on the Company’s successors and assigns.</w:t>
      </w:r>
    </w:p>
    <w:p>
      <w:pPr>
        <w:spacing w:after="0" w:line="157"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In accepting the award of Shares of Restricted Stock set forth in this Agreement you accept and agree to be bound by all the terms and conditions of the Plan and this Agreement.</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QUANEX BUILDING PRODUCTS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571500</wp:posOffset>
            </wp:positionV>
            <wp:extent cx="7537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7537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[Name]</w:t>
      </w:r>
    </w:p>
    <w:p>
      <w:pPr>
        <w:spacing w:after="0" w:line="16"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32" w:lineRule="exact"/>
        <w:rPr>
          <w:sz w:val="20"/>
          <w:szCs w:val="20"/>
          <w:color w:val="auto"/>
        </w:rPr>
      </w:pPr>
    </w:p>
    <w:p>
      <w:pPr>
        <w:ind w:left="8920"/>
        <w:spacing w:after="0"/>
        <w:rPr>
          <w:sz w:val="20"/>
          <w:szCs w:val="20"/>
          <w:color w:val="auto"/>
        </w:rPr>
      </w:pPr>
      <w:r>
        <w:rPr>
          <w:rFonts w:ascii="Arial" w:cs="Arial" w:eastAsia="Arial" w:hAnsi="Arial"/>
          <w:sz w:val="18"/>
          <w:szCs w:val="18"/>
          <w:i w:val="1"/>
          <w:iCs w:val="1"/>
          <w:color w:val="auto"/>
        </w:rPr>
        <w:t>Restricted Stock Award</w:t>
      </w:r>
    </w:p>
    <w:p>
      <w:pPr>
        <w:sectPr>
          <w:pgSz w:w="11900" w:h="16838" w:orient="portrait"/>
          <w:cols w:equalWidth="0" w:num="1">
            <w:col w:w="11240"/>
          </w:cols>
          <w:pgMar w:left="320" w:top="122" w:right="339" w:bottom="1440" w:gutter="0" w:footer="0" w:header="0"/>
        </w:sectPr>
      </w:pPr>
    </w:p>
    <w:bookmarkStart w:id="53" w:name="page54"/>
    <w:bookmarkEnd w:id="53"/>
    <w:p>
      <w:pPr>
        <w:spacing w:after="0" w:line="70" w:lineRule="exact"/>
        <w:rPr>
          <w:sz w:val="20"/>
          <w:szCs w:val="20"/>
          <w:color w:val="auto"/>
        </w:rPr>
      </w:pPr>
    </w:p>
    <w:p>
      <w:pPr>
        <w:ind w:left="3340"/>
        <w:spacing w:after="0"/>
        <w:rPr>
          <w:sz w:val="20"/>
          <w:szCs w:val="20"/>
          <w:color w:val="auto"/>
        </w:rPr>
      </w:pPr>
      <w:r>
        <w:rPr>
          <w:rFonts w:ascii="Arial" w:cs="Arial" w:eastAsia="Arial" w:hAnsi="Arial"/>
          <w:sz w:val="20"/>
          <w:szCs w:val="20"/>
          <w:b w:val="1"/>
          <w:bCs w:val="1"/>
          <w:color w:val="auto"/>
        </w:rPr>
        <w:t>QUANEX BUILDING PRODUCTS CORPORATION</w:t>
      </w:r>
    </w:p>
    <w:p>
      <w:pPr>
        <w:spacing w:after="0" w:line="108" w:lineRule="exact"/>
        <w:rPr>
          <w:sz w:val="20"/>
          <w:szCs w:val="20"/>
          <w:color w:val="auto"/>
        </w:rPr>
      </w:pPr>
    </w:p>
    <w:p>
      <w:pPr>
        <w:ind w:left="4840"/>
        <w:spacing w:after="0"/>
        <w:rPr>
          <w:sz w:val="20"/>
          <w:szCs w:val="20"/>
          <w:color w:val="auto"/>
        </w:rPr>
      </w:pPr>
      <w:r>
        <w:rPr>
          <w:rFonts w:ascii="Arial" w:cs="Arial" w:eastAsia="Arial" w:hAnsi="Arial"/>
          <w:sz w:val="20"/>
          <w:szCs w:val="20"/>
          <w:b w:val="1"/>
          <w:bCs w:val="1"/>
          <w:color w:val="auto"/>
        </w:rPr>
        <w:t>CASH-SETTLED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RESTRICTED STOCK UNIT AWARD AGREEMENT</w:t>
      </w:r>
    </w:p>
    <w:p>
      <w:pPr>
        <w:spacing w:after="0" w:line="211" w:lineRule="exact"/>
        <w:rPr>
          <w:sz w:val="20"/>
          <w:szCs w:val="20"/>
          <w:color w:val="auto"/>
        </w:rPr>
      </w:pPr>
    </w:p>
    <w:p>
      <w:pPr>
        <w:ind w:left="4620"/>
        <w:spacing w:after="0"/>
        <w:rPr>
          <w:sz w:val="20"/>
          <w:szCs w:val="20"/>
          <w:color w:val="auto"/>
        </w:rPr>
      </w:pPr>
      <w:r>
        <w:rPr>
          <w:rFonts w:ascii="Arial" w:cs="Arial" w:eastAsia="Arial" w:hAnsi="Arial"/>
          <w:sz w:val="20"/>
          <w:szCs w:val="20"/>
          <w:color w:val="auto"/>
        </w:rPr>
        <w:t>[___________________]</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Grantee</w:t>
      </w:r>
    </w:p>
    <w:p>
      <w:pPr>
        <w:sectPr>
          <w:pgSz w:w="11900" w:h="16908" w:orient="portrait"/>
          <w:cols w:equalWidth="0" w:num="1">
            <w:col w:w="11240"/>
          </w:cols>
          <w:pgMar w:left="320" w:top="549" w:right="339" w:bottom="0" w:gutter="0" w:footer="0" w:header="0"/>
        </w:sectPr>
      </w:pPr>
    </w:p>
    <w:p>
      <w:pPr>
        <w:spacing w:after="0" w:line="37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Date of Award:</w:t>
      </w:r>
    </w:p>
    <w:p>
      <w:pPr>
        <w:spacing w:after="0" w:line="20" w:lineRule="exact"/>
        <w:rPr>
          <w:sz w:val="20"/>
          <w:szCs w:val="20"/>
          <w:color w:val="auto"/>
        </w:rPr>
      </w:pPr>
      <w:r>
        <w:rPr>
          <w:sz w:val="20"/>
          <w:szCs w:val="20"/>
          <w:color w:val="auto"/>
        </w:rPr>
        <w:br w:type="column"/>
      </w:r>
    </w:p>
    <w:p>
      <w:pPr>
        <w:spacing w:after="0" w:line="358"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w:t>
      </w:r>
    </w:p>
    <w:p>
      <w:pPr>
        <w:spacing w:after="0" w:line="222" w:lineRule="exact"/>
        <w:rPr>
          <w:sz w:val="20"/>
          <w:szCs w:val="20"/>
          <w:color w:val="auto"/>
        </w:rPr>
      </w:pPr>
    </w:p>
    <w:p>
      <w:pPr>
        <w:sectPr>
          <w:pgSz w:w="11900" w:h="16908" w:orient="portrait"/>
          <w:cols w:equalWidth="0" w:num="2">
            <w:col w:w="3760" w:space="720"/>
            <w:col w:w="6760"/>
          </w:cols>
          <w:pgMar w:left="320" w:top="549" w:right="339" w:bottom="0" w:gutter="0" w:footer="0" w:header="0"/>
          <w:type w:val="continuous"/>
        </w:sectPr>
      </w:pPr>
    </w:p>
    <w:p>
      <w:pPr>
        <w:spacing w:after="0" w:line="6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Number of Restricted Stock Units:</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w:t>
      </w:r>
    </w:p>
    <w:p>
      <w:pPr>
        <w:spacing w:after="0" w:line="222" w:lineRule="exact"/>
        <w:rPr>
          <w:sz w:val="20"/>
          <w:szCs w:val="20"/>
          <w:color w:val="auto"/>
        </w:rPr>
      </w:pPr>
    </w:p>
    <w:p>
      <w:pPr>
        <w:sectPr>
          <w:pgSz w:w="11900" w:h="16908" w:orient="portrait"/>
          <w:cols w:equalWidth="0" w:num="2">
            <w:col w:w="3760" w:space="720"/>
            <w:col w:w="6760"/>
          </w:cols>
          <w:pgMar w:left="320" w:top="549" w:right="339" w:bottom="0" w:gutter="0" w:footer="0" w:header="0"/>
          <w:type w:val="continuous"/>
        </w:sectPr>
      </w:pPr>
    </w:p>
    <w:p>
      <w:pPr>
        <w:spacing w:after="0" w:line="6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General Vesting Schedule/Restricted Period:</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w:t>
      </w:r>
    </w:p>
    <w:p>
      <w:pPr>
        <w:spacing w:after="0" w:line="200" w:lineRule="exact"/>
        <w:rPr>
          <w:sz w:val="20"/>
          <w:szCs w:val="20"/>
          <w:color w:val="auto"/>
        </w:rPr>
      </w:pPr>
    </w:p>
    <w:p>
      <w:pPr>
        <w:sectPr>
          <w:pgSz w:w="11900" w:h="16908" w:orient="portrait"/>
          <w:cols w:equalWidth="0" w:num="2">
            <w:col w:w="3760" w:space="720"/>
            <w:col w:w="6760"/>
          </w:cols>
          <w:pgMar w:left="320" w:top="549" w:right="339" w:bottom="0" w:gutter="0" w:footer="0" w:header="0"/>
          <w:type w:val="continuous"/>
        </w:sectPr>
      </w:pP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AWARD OF RESTRICTED STOCK UNITS</w:t>
      </w:r>
    </w:p>
    <w:p>
      <w:pPr>
        <w:spacing w:after="0" w:line="216" w:lineRule="exact"/>
        <w:rPr>
          <w:sz w:val="20"/>
          <w:szCs w:val="20"/>
          <w:color w:val="auto"/>
        </w:rPr>
      </w:pPr>
    </w:p>
    <w:p>
      <w:pPr>
        <w:jc w:val="both"/>
        <w:ind w:left="660" w:hanging="652"/>
        <w:spacing w:after="0" w:line="280" w:lineRule="auto"/>
        <w:tabs>
          <w:tab w:leader="none" w:pos="6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GRANT OF RESTRICTED STOCK UNIT AWARD</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Compensation Committee (the “</w:t>
      </w:r>
      <w:r>
        <w:rPr>
          <w:rFonts w:ascii="Arial" w:cs="Arial" w:eastAsia="Arial" w:hAnsi="Arial"/>
          <w:sz w:val="18"/>
          <w:szCs w:val="18"/>
          <w:i w:val="1"/>
          <w:iCs w:val="1"/>
          <w:color w:val="auto"/>
        </w:rPr>
        <w:t>Committee</w:t>
      </w:r>
      <w:r>
        <w:rPr>
          <w:rFonts w:ascii="Arial" w:cs="Arial" w:eastAsia="Arial" w:hAnsi="Arial"/>
          <w:sz w:val="18"/>
          <w:szCs w:val="18"/>
          <w:color w:val="auto"/>
        </w:rPr>
        <w:t>”) of the Board of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of Quanex Building Products Corporation, a Delaware corporation (the “</w:t>
      </w:r>
      <w:r>
        <w:rPr>
          <w:rFonts w:ascii="Arial" w:cs="Arial" w:eastAsia="Arial" w:hAnsi="Arial"/>
          <w:sz w:val="18"/>
          <w:szCs w:val="18"/>
          <w:i w:val="1"/>
          <w:iCs w:val="1"/>
          <w:color w:val="auto"/>
        </w:rPr>
        <w:t>Company</w:t>
      </w:r>
      <w:r>
        <w:rPr>
          <w:rFonts w:ascii="Arial" w:cs="Arial" w:eastAsia="Arial" w:hAnsi="Arial"/>
          <w:sz w:val="18"/>
          <w:szCs w:val="18"/>
          <w:color w:val="auto"/>
        </w:rPr>
        <w:t>”), subject to the terms and provisions of the Quanex Building Products Corporation 2020 Omnibus Incentive Plan (the “</w:t>
      </w:r>
      <w:r>
        <w:rPr>
          <w:rFonts w:ascii="Arial" w:cs="Arial" w:eastAsia="Arial" w:hAnsi="Arial"/>
          <w:sz w:val="18"/>
          <w:szCs w:val="18"/>
          <w:i w:val="1"/>
          <w:iCs w:val="1"/>
          <w:color w:val="auto"/>
        </w:rPr>
        <w:t>Plan</w:t>
      </w:r>
      <w:r>
        <w:rPr>
          <w:rFonts w:ascii="Arial" w:cs="Arial" w:eastAsia="Arial" w:hAnsi="Arial"/>
          <w:sz w:val="18"/>
          <w:szCs w:val="18"/>
          <w:color w:val="auto"/>
        </w:rPr>
        <w:t>”), hereby awards to you, the above-named Grantee, effective as of the Date of Award set forth above (the “</w:t>
      </w:r>
      <w:r>
        <w:rPr>
          <w:rFonts w:ascii="Arial" w:cs="Arial" w:eastAsia="Arial" w:hAnsi="Arial"/>
          <w:sz w:val="18"/>
          <w:szCs w:val="18"/>
          <w:i w:val="1"/>
          <w:iCs w:val="1"/>
          <w:color w:val="auto"/>
        </w:rPr>
        <w:t>Date of Award</w:t>
      </w:r>
      <w:r>
        <w:rPr>
          <w:rFonts w:ascii="Arial" w:cs="Arial" w:eastAsia="Arial" w:hAnsi="Arial"/>
          <w:sz w:val="18"/>
          <w:szCs w:val="18"/>
          <w:color w:val="auto"/>
        </w:rPr>
        <w:t>”), that number of restricted stock units set forth above (the “</w:t>
      </w:r>
      <w:r>
        <w:rPr>
          <w:rFonts w:ascii="Arial" w:cs="Arial" w:eastAsia="Arial" w:hAnsi="Arial"/>
          <w:sz w:val="18"/>
          <w:szCs w:val="18"/>
          <w:i w:val="1"/>
          <w:iCs w:val="1"/>
          <w:color w:val="auto"/>
        </w:rPr>
        <w:t>RSUs</w:t>
      </w:r>
      <w:r>
        <w:rPr>
          <w:rFonts w:ascii="Arial" w:cs="Arial" w:eastAsia="Arial" w:hAnsi="Arial"/>
          <w:sz w:val="18"/>
          <w:szCs w:val="18"/>
          <w:color w:val="auto"/>
        </w:rPr>
        <w:t>”), on the terms and conditions set forth in this Restricted Stock Unit Award Agreement (this “</w:t>
      </w:r>
      <w:r>
        <w:rPr>
          <w:rFonts w:ascii="Arial" w:cs="Arial" w:eastAsia="Arial" w:hAnsi="Arial"/>
          <w:sz w:val="18"/>
          <w:szCs w:val="18"/>
          <w:i w:val="1"/>
          <w:iCs w:val="1"/>
          <w:color w:val="auto"/>
        </w:rPr>
        <w:t>Agreement</w:t>
      </w:r>
      <w:r>
        <w:rPr>
          <w:rFonts w:ascii="Arial" w:cs="Arial" w:eastAsia="Arial" w:hAnsi="Arial"/>
          <w:sz w:val="18"/>
          <w:szCs w:val="18"/>
          <w:color w:val="auto"/>
        </w:rPr>
        <w:t>”).</w:t>
      </w:r>
    </w:p>
    <w:p>
      <w:pPr>
        <w:spacing w:after="0" w:line="162" w:lineRule="exact"/>
        <w:rPr>
          <w:rFonts w:ascii="Arial" w:cs="Arial" w:eastAsia="Arial" w:hAnsi="Arial"/>
          <w:sz w:val="18"/>
          <w:szCs w:val="18"/>
          <w:b w:val="1"/>
          <w:bCs w:val="1"/>
          <w:color w:val="auto"/>
        </w:rPr>
      </w:pPr>
    </w:p>
    <w:p>
      <w:pPr>
        <w:jc w:val="both"/>
        <w:ind w:left="660"/>
        <w:spacing w:after="0" w:line="242" w:lineRule="auto"/>
        <w:rPr>
          <w:rFonts w:ascii="Arial" w:cs="Arial" w:eastAsia="Arial" w:hAnsi="Arial"/>
          <w:sz w:val="18"/>
          <w:szCs w:val="18"/>
          <w:b w:val="1"/>
          <w:bCs w:val="1"/>
          <w:color w:val="auto"/>
        </w:rPr>
      </w:pPr>
      <w:r>
        <w:rPr>
          <w:rFonts w:ascii="Arial" w:cs="Arial" w:eastAsia="Arial" w:hAnsi="Arial"/>
          <w:sz w:val="20"/>
          <w:szCs w:val="20"/>
          <w:color w:val="auto"/>
        </w:rPr>
        <w:t>During the Restricted Period, the RSUs will be evidenced by entries in a bookkeeping ledger account which reflect the number of RSUs credited under the Plan for your benefit. For purposes of this Agreement, the term “</w:t>
      </w:r>
      <w:r>
        <w:rPr>
          <w:rFonts w:ascii="Arial" w:cs="Arial" w:eastAsia="Arial" w:hAnsi="Arial"/>
          <w:sz w:val="20"/>
          <w:szCs w:val="20"/>
          <w:i w:val="1"/>
          <w:iCs w:val="1"/>
          <w:color w:val="auto"/>
        </w:rPr>
        <w:t>Restricted Period</w:t>
      </w:r>
      <w:r>
        <w:rPr>
          <w:rFonts w:ascii="Arial" w:cs="Arial" w:eastAsia="Arial" w:hAnsi="Arial"/>
          <w:sz w:val="20"/>
          <w:szCs w:val="20"/>
          <w:color w:val="auto"/>
        </w:rPr>
        <w:t>” means the period designated by the Committee during which the RSUs are subject to forfeiture and restrictions on transfer (the “</w:t>
      </w:r>
      <w:r>
        <w:rPr>
          <w:rFonts w:ascii="Arial" w:cs="Arial" w:eastAsia="Arial" w:hAnsi="Arial"/>
          <w:sz w:val="20"/>
          <w:szCs w:val="20"/>
          <w:i w:val="1"/>
          <w:iCs w:val="1"/>
          <w:color w:val="auto"/>
        </w:rPr>
        <w:t>Forfeiture</w:t>
      </w:r>
      <w:r>
        <w:rPr>
          <w:rFonts w:ascii="Arial" w:cs="Arial" w:eastAsia="Arial" w:hAnsi="Arial"/>
          <w:sz w:val="20"/>
          <w:szCs w:val="20"/>
          <w:color w:val="auto"/>
        </w:rPr>
        <w:t xml:space="preserve"> </w:t>
      </w:r>
      <w:r>
        <w:rPr>
          <w:rFonts w:ascii="Arial" w:cs="Arial" w:eastAsia="Arial" w:hAnsi="Arial"/>
          <w:sz w:val="20"/>
          <w:szCs w:val="20"/>
          <w:i w:val="1"/>
          <w:iCs w:val="1"/>
          <w:color w:val="auto"/>
        </w:rPr>
        <w:t>Restrictions</w:t>
      </w:r>
      <w:r>
        <w:rPr>
          <w:rFonts w:ascii="Arial" w:cs="Arial" w:eastAsia="Arial" w:hAnsi="Arial"/>
          <w:sz w:val="20"/>
          <w:szCs w:val="20"/>
          <w:color w:val="auto"/>
        </w:rPr>
        <w:t>”). The Restricted Period and all Forfeiture Restrictions on the RSUs covered hereby shall lapse as to those RSUs when</w:t>
      </w:r>
      <w:r>
        <w:rPr>
          <w:rFonts w:ascii="Arial" w:cs="Arial" w:eastAsia="Arial" w:hAnsi="Arial"/>
          <w:sz w:val="20"/>
          <w:szCs w:val="20"/>
          <w:i w:val="1"/>
          <w:iCs w:val="1"/>
          <w:color w:val="auto"/>
        </w:rPr>
        <w:t xml:space="preserve"> </w:t>
      </w:r>
      <w:r>
        <w:rPr>
          <w:rFonts w:ascii="Arial" w:cs="Arial" w:eastAsia="Arial" w:hAnsi="Arial"/>
          <w:sz w:val="20"/>
          <w:szCs w:val="20"/>
          <w:color w:val="auto"/>
        </w:rPr>
        <w:t>the RSUs become vested in accordance with this Agreement, at which time the Company shall issue to you cash in an amount equal to the fair market value of one share of the Company’s common stock, $0.01 par value per share (the “</w:t>
      </w:r>
      <w:r>
        <w:rPr>
          <w:rFonts w:ascii="Arial" w:cs="Arial" w:eastAsia="Arial" w:hAnsi="Arial"/>
          <w:sz w:val="20"/>
          <w:szCs w:val="20"/>
          <w:i w:val="1"/>
          <w:iCs w:val="1"/>
          <w:color w:val="auto"/>
        </w:rPr>
        <w:t>Common Stock</w:t>
      </w:r>
      <w:r>
        <w:rPr>
          <w:rFonts w:ascii="Arial" w:cs="Arial" w:eastAsia="Arial" w:hAnsi="Arial"/>
          <w:sz w:val="20"/>
          <w:szCs w:val="20"/>
          <w:color w:val="auto"/>
        </w:rPr>
        <w:t>”), less applicable withholding, in exchange for each RSU that is awarded to you hereby and thereafter you shall have no further rights with respect to such RSU.</w:t>
      </w:r>
    </w:p>
    <w:p>
      <w:pPr>
        <w:spacing w:after="0" w:line="190" w:lineRule="exact"/>
        <w:rPr>
          <w:rFonts w:ascii="Arial" w:cs="Arial" w:eastAsia="Arial" w:hAnsi="Arial"/>
          <w:sz w:val="18"/>
          <w:szCs w:val="18"/>
          <w:b w:val="1"/>
          <w:bCs w:val="1"/>
          <w:color w:val="auto"/>
        </w:rPr>
      </w:pPr>
    </w:p>
    <w:p>
      <w:pPr>
        <w:jc w:val="both"/>
        <w:ind w:left="660" w:hanging="652"/>
        <w:spacing w:after="0" w:line="262" w:lineRule="auto"/>
        <w:tabs>
          <w:tab w:leader="none" w:pos="660" w:val="left"/>
        </w:tabs>
        <w:numPr>
          <w:ilvl w:val="0"/>
          <w:numId w:val="22"/>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SEPARATION FROM SERVICE/CHANGE IN CONTROL OF THE COMPANY</w:t>
      </w:r>
      <w:r>
        <w:rPr>
          <w:rFonts w:ascii="Arial" w:cs="Arial" w:eastAsia="Arial" w:hAnsi="Arial"/>
          <w:sz w:val="19"/>
          <w:szCs w:val="19"/>
          <w:b w:val="1"/>
          <w:bCs w:val="1"/>
          <w:color w:val="auto"/>
        </w:rPr>
        <w:t xml:space="preserve">. </w:t>
      </w:r>
      <w:r>
        <w:rPr>
          <w:rFonts w:ascii="Arial" w:cs="Arial" w:eastAsia="Arial" w:hAnsi="Arial"/>
          <w:sz w:val="19"/>
          <w:szCs w:val="19"/>
          <w:color w:val="auto"/>
        </w:rPr>
        <w:t>Notwithstanding anything to the contrary in</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the following provisions will apply in the event of your Separation from Service (within the meaning of Section 409A (your “</w:t>
      </w:r>
      <w:r>
        <w:rPr>
          <w:rFonts w:ascii="Arial" w:cs="Arial" w:eastAsia="Arial" w:hAnsi="Arial"/>
          <w:sz w:val="19"/>
          <w:szCs w:val="19"/>
          <w:i w:val="1"/>
          <w:iCs w:val="1"/>
          <w:color w:val="auto"/>
        </w:rPr>
        <w:t>Separation from Service</w:t>
      </w:r>
      <w:r>
        <w:rPr>
          <w:rFonts w:ascii="Arial" w:cs="Arial" w:eastAsia="Arial" w:hAnsi="Arial"/>
          <w:sz w:val="19"/>
          <w:szCs w:val="19"/>
          <w:color w:val="auto"/>
        </w:rPr>
        <w:t>”)) from the Company and all Affiliates (the “</w:t>
      </w:r>
      <w:r>
        <w:rPr>
          <w:rFonts w:ascii="Arial" w:cs="Arial" w:eastAsia="Arial" w:hAnsi="Arial"/>
          <w:sz w:val="19"/>
          <w:szCs w:val="19"/>
          <w:i w:val="1"/>
          <w:iCs w:val="1"/>
          <w:color w:val="auto"/>
        </w:rPr>
        <w:t>Company Group</w:t>
      </w:r>
      <w:r>
        <w:rPr>
          <w:rFonts w:ascii="Arial" w:cs="Arial" w:eastAsia="Arial" w:hAnsi="Arial"/>
          <w:sz w:val="19"/>
          <w:szCs w:val="19"/>
          <w:color w:val="auto"/>
        </w:rPr>
        <w:t>”), or a Change in Control of the Company occurs, before the end of the Restricted Period under this Agreement. For purposes of this Agreement, a “</w:t>
      </w:r>
      <w:r>
        <w:rPr>
          <w:rFonts w:ascii="Arial" w:cs="Arial" w:eastAsia="Arial" w:hAnsi="Arial"/>
          <w:sz w:val="19"/>
          <w:szCs w:val="19"/>
          <w:i w:val="1"/>
          <w:iCs w:val="1"/>
          <w:color w:val="auto"/>
        </w:rPr>
        <w:t>Change in</w:t>
      </w:r>
      <w:r>
        <w:rPr>
          <w:rFonts w:ascii="Arial" w:cs="Arial" w:eastAsia="Arial" w:hAnsi="Arial"/>
          <w:sz w:val="19"/>
          <w:szCs w:val="19"/>
          <w:color w:val="auto"/>
        </w:rPr>
        <w:t xml:space="preserve"> </w:t>
      </w:r>
      <w:r>
        <w:rPr>
          <w:rFonts w:ascii="Arial" w:cs="Arial" w:eastAsia="Arial" w:hAnsi="Arial"/>
          <w:sz w:val="19"/>
          <w:szCs w:val="19"/>
          <w:i w:val="1"/>
          <w:iCs w:val="1"/>
          <w:color w:val="auto"/>
        </w:rPr>
        <w:t>Control</w:t>
      </w:r>
      <w:r>
        <w:rPr>
          <w:rFonts w:ascii="Arial" w:cs="Arial" w:eastAsia="Arial" w:hAnsi="Arial"/>
          <w:sz w:val="19"/>
          <w:szCs w:val="19"/>
          <w:color w:val="auto"/>
        </w:rPr>
        <w:t>” of the Company shall have the meaning ascribed to such term in the Plan.</w:t>
      </w:r>
    </w:p>
    <w:p>
      <w:pPr>
        <w:spacing w:after="0" w:line="176" w:lineRule="exact"/>
        <w:rPr>
          <w:rFonts w:ascii="Arial" w:cs="Arial" w:eastAsia="Arial" w:hAnsi="Arial"/>
          <w:sz w:val="19"/>
          <w:szCs w:val="19"/>
          <w:b w:val="1"/>
          <w:bCs w:val="1"/>
          <w:color w:val="auto"/>
        </w:rPr>
      </w:pPr>
    </w:p>
    <w:p>
      <w:pPr>
        <w:jc w:val="both"/>
        <w:ind w:left="660" w:right="20"/>
        <w:spacing w:after="0" w:line="250" w:lineRule="auto"/>
        <w:rPr>
          <w:rFonts w:ascii="Arial" w:cs="Arial" w:eastAsia="Arial" w:hAnsi="Arial"/>
          <w:sz w:val="19"/>
          <w:szCs w:val="19"/>
          <w:b w:val="1"/>
          <w:bCs w:val="1"/>
          <w:color w:val="auto"/>
        </w:rPr>
      </w:pPr>
      <w:r>
        <w:rPr>
          <w:rFonts w:ascii="Arial" w:cs="Arial" w:eastAsia="Arial" w:hAnsi="Arial"/>
          <w:sz w:val="20"/>
          <w:szCs w:val="20"/>
          <w:color w:val="auto"/>
        </w:rPr>
        <w:t xml:space="preserve">2.1 </w:t>
      </w:r>
      <w:r>
        <w:rPr>
          <w:rFonts w:ascii="Arial" w:cs="Arial" w:eastAsia="Arial" w:hAnsi="Arial"/>
          <w:sz w:val="20"/>
          <w:szCs w:val="20"/>
          <w:u w:val="single" w:color="auto"/>
          <w:color w:val="auto"/>
        </w:rPr>
        <w:t>Separation from Service Generally</w:t>
      </w:r>
      <w:r>
        <w:rPr>
          <w:rFonts w:ascii="Arial" w:cs="Arial" w:eastAsia="Arial" w:hAnsi="Arial"/>
          <w:sz w:val="20"/>
          <w:szCs w:val="20"/>
          <w:color w:val="auto"/>
        </w:rPr>
        <w:t>. Except as otherwise expressly provided to the contrary in this Section 2, in the event of your Separation from Service, the number of RSUs then subject to Forfeiture Restrictions shall be forfeited to the Company without consideration on the date of your Separation from Service.</w:t>
      </w:r>
    </w:p>
    <w:p>
      <w:pPr>
        <w:spacing w:after="0" w:line="185" w:lineRule="exact"/>
        <w:rPr>
          <w:rFonts w:ascii="Arial" w:cs="Arial" w:eastAsia="Arial" w:hAnsi="Arial"/>
          <w:sz w:val="19"/>
          <w:szCs w:val="19"/>
          <w:b w:val="1"/>
          <w:bCs w:val="1"/>
          <w:color w:val="auto"/>
        </w:rPr>
      </w:pPr>
    </w:p>
    <w:p>
      <w:pPr>
        <w:jc w:val="both"/>
        <w:ind w:left="660"/>
        <w:spacing w:after="0" w:line="257" w:lineRule="auto"/>
        <w:rPr>
          <w:rFonts w:ascii="Arial" w:cs="Arial" w:eastAsia="Arial" w:hAnsi="Arial"/>
          <w:sz w:val="19"/>
          <w:szCs w:val="19"/>
          <w:b w:val="1"/>
          <w:bCs w:val="1"/>
          <w:color w:val="auto"/>
        </w:rPr>
      </w:pPr>
      <w:r>
        <w:rPr>
          <w:rFonts w:ascii="Arial" w:cs="Arial" w:eastAsia="Arial" w:hAnsi="Arial"/>
          <w:sz w:val="19"/>
          <w:szCs w:val="19"/>
          <w:color w:val="auto"/>
        </w:rPr>
        <w:t xml:space="preserve">2.2 </w:t>
      </w:r>
      <w:r>
        <w:rPr>
          <w:rFonts w:ascii="Arial" w:cs="Arial" w:eastAsia="Arial" w:hAnsi="Arial"/>
          <w:sz w:val="19"/>
          <w:szCs w:val="19"/>
          <w:u w:val="single" w:color="auto"/>
          <w:color w:val="auto"/>
        </w:rPr>
        <w:t>Change in Control of the Company</w:t>
      </w:r>
      <w:r>
        <w:rPr>
          <w:rFonts w:ascii="Arial" w:cs="Arial" w:eastAsia="Arial" w:hAnsi="Arial"/>
          <w:sz w:val="19"/>
          <w:szCs w:val="19"/>
          <w:color w:val="auto"/>
        </w:rPr>
        <w:t>. If a Change in Control of the Company occurs, you do not incur a Separation from Service prior to such time, and the successor company in the Change in Control does not otherwise assume or substitute for the award granted hereby, then any remaining Forfeiture Restrictions shall lapse and your RSUs shall vest immediately prior to the occurrence of the Change in Control. Notwithstanding the foregoing, if a Change in Control constitutes a payment event with respect to the deferral of compensation and payment hereunder is subject to Section 409A, then the transaction or event with respect to such payment must also constitute a “</w:t>
      </w:r>
      <w:r>
        <w:rPr>
          <w:rFonts w:ascii="Arial" w:cs="Arial" w:eastAsia="Arial" w:hAnsi="Arial"/>
          <w:sz w:val="19"/>
          <w:szCs w:val="19"/>
          <w:i w:val="1"/>
          <w:iCs w:val="1"/>
          <w:color w:val="auto"/>
        </w:rPr>
        <w:t>change in control event</w:t>
      </w:r>
      <w:r>
        <w:rPr>
          <w:rFonts w:ascii="Arial" w:cs="Arial" w:eastAsia="Arial" w:hAnsi="Arial"/>
          <w:sz w:val="19"/>
          <w:szCs w:val="19"/>
          <w:color w:val="auto"/>
        </w:rPr>
        <w:t>,” as defined in Treasury Regulation §1.409A-3(i)(5) to the extent required by Section 409A, and if it does not, and the payment does not meet any other exemption under Section 409A, then payment shall be made when it otherwise would have been made, notwithstanding the Change in Control.</w:t>
      </w:r>
    </w:p>
    <w:p>
      <w:pPr>
        <w:spacing w:after="0" w:line="180" w:lineRule="exact"/>
        <w:rPr>
          <w:rFonts w:ascii="Arial" w:cs="Arial" w:eastAsia="Arial" w:hAnsi="Arial"/>
          <w:sz w:val="19"/>
          <w:szCs w:val="19"/>
          <w:b w:val="1"/>
          <w:bCs w:val="1"/>
          <w:color w:val="auto"/>
        </w:rPr>
      </w:pPr>
    </w:p>
    <w:p>
      <w:pPr>
        <w:jc w:val="both"/>
        <w:ind w:left="660"/>
        <w:spacing w:after="0" w:line="263" w:lineRule="auto"/>
        <w:rPr>
          <w:rFonts w:ascii="Arial" w:cs="Arial" w:eastAsia="Arial" w:hAnsi="Arial"/>
          <w:sz w:val="19"/>
          <w:szCs w:val="19"/>
          <w:b w:val="1"/>
          <w:bCs w:val="1"/>
          <w:color w:val="auto"/>
        </w:rPr>
      </w:pPr>
      <w:r>
        <w:rPr>
          <w:rFonts w:ascii="Arial" w:cs="Arial" w:eastAsia="Arial" w:hAnsi="Arial"/>
          <w:sz w:val="19"/>
          <w:szCs w:val="19"/>
          <w:color w:val="auto"/>
        </w:rPr>
        <w:t>If this Award is assumed or substituted for in connection with a Change in Control, and if you incur an involuntary termination by the Company or its successor without Cause, or you voluntarily terminate employment for Good Reason, in each case within twenty-four (24) months following the effective date of a Change in Control of the Company, then any unvested portion of this Award shall vest in full upon such termination. For purposes of this Award, the following terms are defined as follows:</w:t>
      </w:r>
    </w:p>
    <w:p>
      <w:pPr>
        <w:spacing w:after="0" w:line="68" w:lineRule="exact"/>
        <w:rPr>
          <w:sz w:val="20"/>
          <w:szCs w:val="20"/>
          <w:color w:val="auto"/>
        </w:rPr>
      </w:pPr>
    </w:p>
    <w:p>
      <w:pPr>
        <w:jc w:val="both"/>
        <w:ind w:left="660"/>
        <w:spacing w:after="0" w:line="259" w:lineRule="auto"/>
        <w:rPr>
          <w:sz w:val="20"/>
          <w:szCs w:val="20"/>
          <w:color w:val="auto"/>
        </w:rPr>
      </w:pPr>
      <w:r>
        <w:rPr>
          <w:rFonts w:ascii="Arial" w:cs="Arial" w:eastAsia="Arial" w:hAnsi="Arial"/>
          <w:sz w:val="19"/>
          <w:szCs w:val="19"/>
          <w:i w:val="1"/>
          <w:iCs w:val="1"/>
          <w:color w:val="auto"/>
        </w:rPr>
        <w:t xml:space="preserve">“Cause” </w:t>
      </w:r>
      <w:r>
        <w:rPr>
          <w:rFonts w:ascii="Arial" w:cs="Arial" w:eastAsia="Arial" w:hAnsi="Arial"/>
          <w:sz w:val="19"/>
          <w:szCs w:val="19"/>
          <w:color w:val="auto"/>
        </w:rPr>
        <w:t>means any action or inaction by you that constitutes (a) gross negligence or willful misconduct in connection with your</w:t>
      </w:r>
      <w:r>
        <w:rPr>
          <w:rFonts w:ascii="Arial" w:cs="Arial" w:eastAsia="Arial" w:hAnsi="Arial"/>
          <w:sz w:val="19"/>
          <w:szCs w:val="19"/>
          <w:i w:val="1"/>
          <w:iCs w:val="1"/>
          <w:color w:val="auto"/>
        </w:rPr>
        <w:t xml:space="preserve"> </w:t>
      </w:r>
      <w:r>
        <w:rPr>
          <w:rFonts w:ascii="Arial" w:cs="Arial" w:eastAsia="Arial" w:hAnsi="Arial"/>
          <w:sz w:val="19"/>
          <w:szCs w:val="19"/>
          <w:color w:val="auto"/>
        </w:rPr>
        <w:t>duties or in the course of your employment with the Company; (b) any act of fraud, embezzlement or theft in connection with your duties or in the course of employment with the Company; (c) intentional wrongful damage to property of the Company; (d) a substantial failure by you to perform your duties after notice to you and a reasonable opportunity to cure; (e) your material breach of restrictive covenants contained in any Company policy or any agreement between you and the Company; or (f) your intentional wrongful disclosure of secret processes or confidential information of the Company.</w:t>
      </w:r>
    </w:p>
    <w:p>
      <w:pPr>
        <w:spacing w:after="0" w:line="192" w:lineRule="exact"/>
        <w:rPr>
          <w:sz w:val="20"/>
          <w:szCs w:val="20"/>
          <w:color w:val="auto"/>
        </w:rPr>
      </w:pPr>
    </w:p>
    <w:p>
      <w:pPr>
        <w:jc w:val="both"/>
        <w:ind w:left="660"/>
        <w:spacing w:after="0" w:line="273" w:lineRule="auto"/>
        <w:rPr>
          <w:sz w:val="20"/>
          <w:szCs w:val="20"/>
          <w:color w:val="auto"/>
        </w:rPr>
      </w:pPr>
      <w:r>
        <w:rPr>
          <w:rFonts w:ascii="Arial" w:cs="Arial" w:eastAsia="Arial" w:hAnsi="Arial"/>
          <w:sz w:val="18"/>
          <w:szCs w:val="18"/>
          <w:i w:val="1"/>
          <w:iCs w:val="1"/>
          <w:color w:val="auto"/>
        </w:rPr>
        <w:t xml:space="preserve">“Good Reason” </w:t>
      </w:r>
      <w:r>
        <w:rPr>
          <w:rFonts w:ascii="Arial" w:cs="Arial" w:eastAsia="Arial" w:hAnsi="Arial"/>
          <w:sz w:val="18"/>
          <w:szCs w:val="18"/>
          <w:color w:val="auto"/>
        </w:rPr>
        <w:t>means, to the extent any such action has been taken without your written consent, the occurrence of any of the</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events: (a) the Company or its successor assigns to you any duties materially inconsistent with your position (including offices, titles and reporting requirements), authority, duties or responsibilities with the Company in effect immediately before the occurrence of the Change in Control, or otherwise makes any material negative change in any such position, authority, duties or responsibilities; (b) the Company or its successor takes any other action that results in a material diminution in such position, authority, duties or responsibilities or otherwise take any action that materially interferes therewith; (c) the Company or its successor materially reduces your annual base salary or target annual bonus as in effect immediately before the occurrence of the Change in Control, other than as part of a reduction of less than ten percent (10%) that is applicable to all executives of the Company or its</w:t>
      </w:r>
    </w:p>
    <w:p>
      <w:pPr>
        <w:sectPr>
          <w:pgSz w:w="11900" w:h="16908" w:orient="portrait"/>
          <w:cols w:equalWidth="0" w:num="1">
            <w:col w:w="11240"/>
          </w:cols>
          <w:pgMar w:left="320" w:top="549" w:right="339" w:bottom="0" w:gutter="0" w:footer="0" w:header="0"/>
          <w:type w:val="continuous"/>
        </w:sectPr>
      </w:pPr>
    </w:p>
    <w:bookmarkStart w:id="54" w:name="page55"/>
    <w:bookmarkEnd w:id="54"/>
    <w:p>
      <w:pPr>
        <w:spacing w:after="0" w:line="125" w:lineRule="exact"/>
        <w:rPr>
          <w:sz w:val="20"/>
          <w:szCs w:val="20"/>
          <w:color w:val="auto"/>
        </w:rPr>
      </w:pPr>
    </w:p>
    <w:p>
      <w:pPr>
        <w:jc w:val="both"/>
        <w:ind w:left="652"/>
        <w:spacing w:after="0" w:line="255" w:lineRule="auto"/>
        <w:rPr>
          <w:sz w:val="20"/>
          <w:szCs w:val="20"/>
          <w:color w:val="auto"/>
        </w:rPr>
      </w:pPr>
      <w:r>
        <w:rPr>
          <w:rFonts w:ascii="Arial" w:cs="Arial" w:eastAsia="Arial" w:hAnsi="Arial"/>
          <w:sz w:val="19"/>
          <w:szCs w:val="19"/>
          <w:color w:val="auto"/>
        </w:rPr>
        <w:t>successor; or (d) the Company or its successor relocates your principal office more than fifty (50) miles from your principal office at the time of the Change in Control, provided that such relocation results in an increase to your daily commute time. A termination for Good Reason also requires that you give the Company written notice of the Good Reason facts and circumstances within sixty (60) days of after becoming aware (or should have become aware) of the applicable facts and circumstances, the Company has an opportunity to cure such circumstances within thirty (30) days after receipt of notice, and you must terminate employment within thirty (30) days after expiration of the Company’s opportunity to cure.</w:t>
      </w:r>
    </w:p>
    <w:p>
      <w:pPr>
        <w:spacing w:after="0" w:line="1" w:lineRule="exact"/>
        <w:rPr>
          <w:sz w:val="20"/>
          <w:szCs w:val="20"/>
          <w:color w:val="auto"/>
        </w:rPr>
      </w:pPr>
    </w:p>
    <w:p>
      <w:pPr>
        <w:jc w:val="both"/>
        <w:ind w:left="652" w:right="20"/>
        <w:spacing w:after="0" w:line="244" w:lineRule="auto"/>
        <w:rPr>
          <w:sz w:val="20"/>
          <w:szCs w:val="20"/>
          <w:color w:val="auto"/>
        </w:rPr>
      </w:pPr>
      <w:r>
        <w:rPr>
          <w:rFonts w:ascii="Arial" w:cs="Arial" w:eastAsia="Arial" w:hAnsi="Arial"/>
          <w:sz w:val="20"/>
          <w:szCs w:val="20"/>
          <w:color w:val="auto"/>
        </w:rPr>
        <w:t xml:space="preserve">2.3 </w:t>
      </w:r>
      <w:r>
        <w:rPr>
          <w:rFonts w:ascii="Arial" w:cs="Arial" w:eastAsia="Arial" w:hAnsi="Arial"/>
          <w:sz w:val="20"/>
          <w:szCs w:val="20"/>
          <w:u w:val="single" w:color="auto"/>
          <w:color w:val="auto"/>
        </w:rPr>
        <w:t>Disability</w:t>
      </w:r>
      <w:r>
        <w:rPr>
          <w:rFonts w:ascii="Arial" w:cs="Arial" w:eastAsia="Arial" w:hAnsi="Arial"/>
          <w:sz w:val="20"/>
          <w:szCs w:val="20"/>
          <w:color w:val="auto"/>
        </w:rPr>
        <w:t>. In the event of your Separation from Service due to your Disability, any remaining Forfeiture Restrictions shall lapse and your RSUs (to the extent unvested) shall vest on the date of such Separation from Service.</w:t>
      </w:r>
    </w:p>
    <w:p>
      <w:pPr>
        <w:spacing w:after="0" w:line="191" w:lineRule="exact"/>
        <w:rPr>
          <w:sz w:val="20"/>
          <w:szCs w:val="20"/>
          <w:color w:val="auto"/>
        </w:rPr>
      </w:pPr>
    </w:p>
    <w:p>
      <w:pPr>
        <w:jc w:val="both"/>
        <w:ind w:left="652"/>
        <w:spacing w:after="0" w:line="260" w:lineRule="auto"/>
        <w:rPr>
          <w:sz w:val="20"/>
          <w:szCs w:val="20"/>
          <w:color w:val="auto"/>
        </w:rPr>
      </w:pPr>
      <w:r>
        <w:rPr>
          <w:rFonts w:ascii="Arial" w:cs="Arial" w:eastAsia="Arial" w:hAnsi="Arial"/>
          <w:sz w:val="20"/>
          <w:szCs w:val="20"/>
          <w:color w:val="auto"/>
        </w:rPr>
        <w:t xml:space="preserve">2.4 </w:t>
      </w:r>
      <w:r>
        <w:rPr>
          <w:rFonts w:ascii="Arial" w:cs="Arial" w:eastAsia="Arial" w:hAnsi="Arial"/>
          <w:sz w:val="20"/>
          <w:szCs w:val="20"/>
          <w:u w:val="single" w:color="auto"/>
          <w:color w:val="auto"/>
        </w:rPr>
        <w:t>Death</w:t>
      </w:r>
      <w:r>
        <w:rPr>
          <w:rFonts w:ascii="Arial" w:cs="Arial" w:eastAsia="Arial" w:hAnsi="Arial"/>
          <w:sz w:val="20"/>
          <w:szCs w:val="20"/>
          <w:color w:val="auto"/>
        </w:rPr>
        <w:t>. In the event of your Separation from Service due to your death, any remaining Forfeiture Restrictions shall lapse and your RSUs (to the extent unvested) shall vest on the date of such Separation from Service.</w:t>
      </w:r>
    </w:p>
    <w:p>
      <w:pPr>
        <w:spacing w:after="0" w:line="177" w:lineRule="exact"/>
        <w:rPr>
          <w:sz w:val="20"/>
          <w:szCs w:val="20"/>
          <w:color w:val="auto"/>
        </w:rPr>
      </w:pPr>
    </w:p>
    <w:p>
      <w:pPr>
        <w:jc w:val="both"/>
        <w:ind w:left="652"/>
        <w:spacing w:after="0" w:line="274"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Retirement</w:t>
      </w:r>
      <w:r>
        <w:rPr>
          <w:rFonts w:ascii="Arial" w:cs="Arial" w:eastAsia="Arial" w:hAnsi="Arial"/>
          <w:sz w:val="18"/>
          <w:szCs w:val="18"/>
          <w:color w:val="auto"/>
        </w:rPr>
        <w:t>. In the event of your Separation from Service due to your Retirement, any remaining Forfeiture Restrictions shall lapse and your RSUs (to the extent unvested) shall vest on the date of such Separation from Service and on a prorated basis with respect to the number of RSUs determined by dividing the number of days during the period commencing on the later of the Date of Award or the last anniversary vesting date and ending on the date of your Separation from Service by the total number of days between the later of the Date of Award or the last anniversary vesting date and the final vesting date as set forth above. For purposes of this Section 2.5, “</w:t>
      </w:r>
      <w:r>
        <w:rPr>
          <w:rFonts w:ascii="Arial" w:cs="Arial" w:eastAsia="Arial" w:hAnsi="Arial"/>
          <w:sz w:val="18"/>
          <w:szCs w:val="18"/>
          <w:i w:val="1"/>
          <w:iCs w:val="1"/>
          <w:color w:val="auto"/>
        </w:rPr>
        <w:t>Retirement</w:t>
      </w:r>
      <w:r>
        <w:rPr>
          <w:rFonts w:ascii="Arial" w:cs="Arial" w:eastAsia="Arial" w:hAnsi="Arial"/>
          <w:sz w:val="18"/>
          <w:szCs w:val="18"/>
          <w:color w:val="auto"/>
        </w:rPr>
        <w:t>” means your voluntary Separation from Service from the Company Group on or after the date on which (a) you are age 65 or (b) you are age 55 and have five years of service with the Company Group.</w:t>
      </w:r>
    </w:p>
    <w:p>
      <w:pPr>
        <w:spacing w:after="0" w:line="176" w:lineRule="exact"/>
        <w:rPr>
          <w:sz w:val="20"/>
          <w:szCs w:val="20"/>
          <w:color w:val="auto"/>
        </w:rPr>
      </w:pPr>
    </w:p>
    <w:p>
      <w:pPr>
        <w:jc w:val="both"/>
        <w:ind w:left="652" w:hanging="652"/>
        <w:spacing w:after="0" w:line="282" w:lineRule="auto"/>
        <w:tabs>
          <w:tab w:leader="none" w:pos="652" w:val="left"/>
        </w:tabs>
        <w:numPr>
          <w:ilvl w:val="0"/>
          <w:numId w:val="23"/>
        </w:numPr>
        <w:rPr>
          <w:rFonts w:ascii="Arial" w:cs="Arial" w:eastAsia="Arial" w:hAnsi="Arial"/>
          <w:sz w:val="21"/>
          <w:szCs w:val="21"/>
          <w:b w:val="1"/>
          <w:bCs w:val="1"/>
          <w:color w:val="auto"/>
        </w:rPr>
      </w:pPr>
      <w:r>
        <w:rPr>
          <w:rFonts w:ascii="Arial" w:cs="Arial" w:eastAsia="Arial" w:hAnsi="Arial"/>
          <w:sz w:val="19"/>
          <w:szCs w:val="19"/>
          <w:b w:val="1"/>
          <w:bCs w:val="1"/>
          <w:u w:val="single" w:color="auto"/>
          <w:color w:val="auto"/>
        </w:rPr>
        <w:t>TAX WITHHOLDING</w:t>
      </w:r>
      <w:r>
        <w:rPr>
          <w:rFonts w:ascii="Arial" w:cs="Arial" w:eastAsia="Arial" w:hAnsi="Arial"/>
          <w:sz w:val="19"/>
          <w:szCs w:val="19"/>
          <w:color w:val="auto"/>
        </w:rPr>
        <w:t>. To the extent that the receipt of the RSUs or this Agreement, the vesting of the RSUs or a distribution</w:t>
      </w:r>
      <w:r>
        <w:rPr>
          <w:rFonts w:ascii="Arial" w:cs="Arial" w:eastAsia="Arial" w:hAnsi="Arial"/>
          <w:sz w:val="19"/>
          <w:szCs w:val="19"/>
          <w:b w:val="1"/>
          <w:bCs w:val="1"/>
          <w:color w:val="auto"/>
        </w:rPr>
        <w:t xml:space="preserve"> </w:t>
      </w:r>
      <w:r>
        <w:rPr>
          <w:rFonts w:ascii="Arial" w:cs="Arial" w:eastAsia="Arial" w:hAnsi="Arial"/>
          <w:sz w:val="19"/>
          <w:szCs w:val="19"/>
          <w:color w:val="auto"/>
        </w:rPr>
        <w:t>under this Agreement results in income, wages or other compensation to you for any income, employment or other tax purposes with respect to which the Company or Employer, as applicable, has a withholding obligation, you shall deliver to the Company or Employer at the time of such receipt or lapse, as the case may be, such amount of money as the Company or Employer may require to meet its obligation under applicable tax laws or regulations, and, if you fail to do so, the Company or Employer is authorized to withhold from the Shares awarded hereby or from any cash or stock remuneration or other payment then or thereafter payable to you any tax required to be withheld by reason of such taxable income, wages or compensation sufficient to satisfy the withholding obligation based on the last per share sales price of the Common Stock for the trading day immediately preceding the date that the withholding obligation arises, as reported in the New York Stock Exchange Composite Transactions. For purposes of this Agreement, the “</w:t>
      </w:r>
      <w:r>
        <w:rPr>
          <w:rFonts w:ascii="Arial" w:cs="Arial" w:eastAsia="Arial" w:hAnsi="Arial"/>
          <w:sz w:val="19"/>
          <w:szCs w:val="19"/>
          <w:i w:val="1"/>
          <w:iCs w:val="1"/>
          <w:color w:val="auto"/>
        </w:rPr>
        <w:t>Employer</w:t>
      </w:r>
      <w:r>
        <w:rPr>
          <w:rFonts w:ascii="Arial" w:cs="Arial" w:eastAsia="Arial" w:hAnsi="Arial"/>
          <w:sz w:val="19"/>
          <w:szCs w:val="19"/>
          <w:color w:val="auto"/>
        </w:rPr>
        <w:t>” means the legal entity that is a member of the Company Group and that is classified by the Company Group as your employer.</w:t>
      </w:r>
    </w:p>
    <w:p>
      <w:pPr>
        <w:spacing w:after="0" w:line="186" w:lineRule="exact"/>
        <w:rPr>
          <w:rFonts w:ascii="Arial" w:cs="Arial" w:eastAsia="Arial" w:hAnsi="Arial"/>
          <w:sz w:val="21"/>
          <w:szCs w:val="21"/>
          <w:b w:val="1"/>
          <w:bCs w:val="1"/>
          <w:color w:val="auto"/>
        </w:rPr>
      </w:pPr>
    </w:p>
    <w:p>
      <w:pPr>
        <w:jc w:val="both"/>
        <w:ind w:left="652" w:hanging="652"/>
        <w:spacing w:after="0" w:line="283" w:lineRule="auto"/>
        <w:tabs>
          <w:tab w:leader="none" w:pos="652" w:val="left"/>
        </w:tabs>
        <w:numPr>
          <w:ilvl w:val="0"/>
          <w:numId w:val="23"/>
        </w:numPr>
        <w:rPr>
          <w:rFonts w:ascii="Arial" w:cs="Arial" w:eastAsia="Arial" w:hAnsi="Arial"/>
          <w:sz w:val="21"/>
          <w:szCs w:val="21"/>
          <w:b w:val="1"/>
          <w:bCs w:val="1"/>
          <w:color w:val="auto"/>
        </w:rPr>
      </w:pPr>
      <w:r>
        <w:rPr>
          <w:rFonts w:ascii="Arial" w:cs="Arial" w:eastAsia="Arial" w:hAnsi="Arial"/>
          <w:sz w:val="19"/>
          <w:szCs w:val="19"/>
          <w:b w:val="1"/>
          <w:bCs w:val="1"/>
          <w:u w:val="single" w:color="auto"/>
          <w:color w:val="auto"/>
        </w:rPr>
        <w:t>NONTRANSFERABILITY</w:t>
      </w:r>
      <w:r>
        <w:rPr>
          <w:rFonts w:ascii="Arial" w:cs="Arial" w:eastAsia="Arial" w:hAnsi="Arial"/>
          <w:sz w:val="19"/>
          <w:szCs w:val="19"/>
          <w:b w:val="1"/>
          <w:bCs w:val="1"/>
          <w:color w:val="auto"/>
        </w:rPr>
        <w:t xml:space="preserve">. </w:t>
      </w:r>
      <w:r>
        <w:rPr>
          <w:rFonts w:ascii="Arial" w:cs="Arial" w:eastAsia="Arial" w:hAnsi="Arial"/>
          <w:sz w:val="19"/>
          <w:szCs w:val="19"/>
          <w:color w:val="auto"/>
        </w:rPr>
        <w:t>Notwithstanding anything in this Agreement to the contrary and except as specified below, the RSUs</w:t>
      </w:r>
      <w:r>
        <w:rPr>
          <w:rFonts w:ascii="Arial" w:cs="Arial" w:eastAsia="Arial" w:hAnsi="Arial"/>
          <w:sz w:val="19"/>
          <w:szCs w:val="19"/>
          <w:b w:val="1"/>
          <w:bCs w:val="1"/>
          <w:color w:val="auto"/>
        </w:rPr>
        <w:t xml:space="preserve"> </w:t>
      </w:r>
      <w:r>
        <w:rPr>
          <w:rFonts w:ascii="Arial" w:cs="Arial" w:eastAsia="Arial" w:hAnsi="Arial"/>
          <w:sz w:val="19"/>
          <w:szCs w:val="19"/>
          <w:color w:val="auto"/>
        </w:rPr>
        <w:t>awarded to you under this Agreement shall not be transferable or assignable by you other than by will or the laws of descent and distribution. You may transfer the RSUs to (a) a member or members of your immediate family, (b) to a revocable living trust established exclusively for you or you and your spouse, (c) a trust under which your immediate family members are the only beneficiaries or (d) a partnership of which your immediate family members are the only partners. For this purpose, “</w:t>
      </w:r>
      <w:r>
        <w:rPr>
          <w:rFonts w:ascii="Arial" w:cs="Arial" w:eastAsia="Arial" w:hAnsi="Arial"/>
          <w:sz w:val="19"/>
          <w:szCs w:val="19"/>
          <w:i w:val="1"/>
          <w:iCs w:val="1"/>
          <w:color w:val="auto"/>
        </w:rPr>
        <w:t>immediate</w:t>
      </w:r>
      <w:r>
        <w:rPr>
          <w:rFonts w:ascii="Arial" w:cs="Arial" w:eastAsia="Arial" w:hAnsi="Arial"/>
          <w:sz w:val="19"/>
          <w:szCs w:val="19"/>
          <w:color w:val="auto"/>
        </w:rPr>
        <w:t xml:space="preserve"> </w:t>
      </w:r>
      <w:r>
        <w:rPr>
          <w:rFonts w:ascii="Arial" w:cs="Arial" w:eastAsia="Arial" w:hAnsi="Arial"/>
          <w:sz w:val="19"/>
          <w:szCs w:val="19"/>
          <w:i w:val="1"/>
          <w:iCs w:val="1"/>
          <w:color w:val="auto"/>
        </w:rPr>
        <w:t>family</w:t>
      </w:r>
      <w:r>
        <w:rPr>
          <w:rFonts w:ascii="Arial" w:cs="Arial" w:eastAsia="Arial" w:hAnsi="Arial"/>
          <w:sz w:val="19"/>
          <w:szCs w:val="19"/>
          <w:color w:val="auto"/>
        </w:rPr>
        <w:t>” means your spouse, children, stepchildren, grandchildren, parents, grandparents, siblings (including half brothers and sisters),</w:t>
      </w:r>
      <w:r>
        <w:rPr>
          <w:rFonts w:ascii="Arial" w:cs="Arial" w:eastAsia="Arial" w:hAnsi="Arial"/>
          <w:sz w:val="19"/>
          <w:szCs w:val="19"/>
          <w:i w:val="1"/>
          <w:iCs w:val="1"/>
          <w:color w:val="auto"/>
        </w:rPr>
        <w:t xml:space="preserve"> </w:t>
      </w:r>
      <w:r>
        <w:rPr>
          <w:rFonts w:ascii="Arial" w:cs="Arial" w:eastAsia="Arial" w:hAnsi="Arial"/>
          <w:sz w:val="19"/>
          <w:szCs w:val="19"/>
          <w:color w:val="auto"/>
        </w:rPr>
        <w:t>and individuals who are family members by adoption.</w:t>
      </w:r>
    </w:p>
    <w:p>
      <w:pPr>
        <w:spacing w:after="0" w:line="173" w:lineRule="exact"/>
        <w:rPr>
          <w:rFonts w:ascii="Arial" w:cs="Arial" w:eastAsia="Arial" w:hAnsi="Arial"/>
          <w:sz w:val="21"/>
          <w:szCs w:val="21"/>
          <w:b w:val="1"/>
          <w:bCs w:val="1"/>
          <w:color w:val="auto"/>
        </w:rPr>
      </w:pPr>
    </w:p>
    <w:p>
      <w:pPr>
        <w:jc w:val="both"/>
        <w:ind w:left="652"/>
        <w:spacing w:after="0" w:line="243" w:lineRule="auto"/>
        <w:rPr>
          <w:rFonts w:ascii="Arial" w:cs="Arial" w:eastAsia="Arial" w:hAnsi="Arial"/>
          <w:sz w:val="21"/>
          <w:szCs w:val="21"/>
          <w:b w:val="1"/>
          <w:bCs w:val="1"/>
          <w:color w:val="auto"/>
        </w:rPr>
      </w:pPr>
      <w:r>
        <w:rPr>
          <w:rFonts w:ascii="Arial" w:cs="Arial" w:eastAsia="Arial" w:hAnsi="Arial"/>
          <w:sz w:val="20"/>
          <w:szCs w:val="20"/>
          <w:color w:val="auto"/>
        </w:rPr>
        <w:t>The terms applicable to the assigned RSUs shall be the same as those in effect for the RSUs immediately prior to such assignment and shall be set forth in such documents to be executed by the assignee as the Company may deem appropriate. You may also designate one or more persons as the beneficiary or beneficiaries of your outstanding RSUs under the Plan, and those RSUs shall, in accordance with such designation, automatically be transferred to such beneficiary or beneficiaries upon your death while holding those RSUs. Such beneficiary or beneficiaries shall take the transferred RSUs subject to all the terms and conditions of this Agreement. Except for the limited transferability provided by the foregoing, outstanding RSUs under the Plan shall not be assignable or transferable.</w:t>
      </w:r>
    </w:p>
    <w:p>
      <w:pPr>
        <w:spacing w:after="0" w:line="192" w:lineRule="exact"/>
        <w:rPr>
          <w:rFonts w:ascii="Arial" w:cs="Arial" w:eastAsia="Arial" w:hAnsi="Arial"/>
          <w:sz w:val="21"/>
          <w:szCs w:val="21"/>
          <w:b w:val="1"/>
          <w:bCs w:val="1"/>
          <w:color w:val="auto"/>
        </w:rPr>
      </w:pPr>
    </w:p>
    <w:p>
      <w:pPr>
        <w:jc w:val="both"/>
        <w:ind w:left="652"/>
        <w:spacing w:after="0" w:line="246" w:lineRule="auto"/>
        <w:rPr>
          <w:rFonts w:ascii="Arial" w:cs="Arial" w:eastAsia="Arial" w:hAnsi="Arial"/>
          <w:sz w:val="21"/>
          <w:szCs w:val="21"/>
          <w:b w:val="1"/>
          <w:bCs w:val="1"/>
          <w:color w:val="auto"/>
        </w:rPr>
      </w:pPr>
      <w:r>
        <w:rPr>
          <w:rFonts w:ascii="Arial" w:cs="Arial" w:eastAsia="Arial" w:hAnsi="Arial"/>
          <w:sz w:val="20"/>
          <w:szCs w:val="20"/>
          <w:color w:val="auto"/>
        </w:rPr>
        <w:t>None of the Company, its employees or directors makes any representations or guarantees concerning the tax consequences associated with the inclusion of this provision in this Agreement or your transfer of the RSUs. It is your sole responsibility to seek advice from your own tax advisors concerning those tax consequences. You are entitled to rely upon only the tax advice of your own tax advisors.</w:t>
      </w:r>
    </w:p>
    <w:p>
      <w:pPr>
        <w:spacing w:after="0" w:line="198" w:lineRule="exact"/>
        <w:rPr>
          <w:rFonts w:ascii="Arial" w:cs="Arial" w:eastAsia="Arial" w:hAnsi="Arial"/>
          <w:sz w:val="21"/>
          <w:szCs w:val="21"/>
          <w:b w:val="1"/>
          <w:bCs w:val="1"/>
          <w:color w:val="auto"/>
        </w:rPr>
      </w:pPr>
    </w:p>
    <w:p>
      <w:pPr>
        <w:jc w:val="both"/>
        <w:ind w:left="652" w:hanging="652"/>
        <w:spacing w:after="0" w:line="267" w:lineRule="auto"/>
        <w:tabs>
          <w:tab w:leader="none" w:pos="652" w:val="left"/>
        </w:tabs>
        <w:numPr>
          <w:ilvl w:val="0"/>
          <w:numId w:val="23"/>
        </w:numPr>
        <w:rPr>
          <w:rFonts w:ascii="Arial" w:cs="Arial" w:eastAsia="Arial" w:hAnsi="Arial"/>
          <w:sz w:val="22"/>
          <w:szCs w:val="22"/>
          <w:b w:val="1"/>
          <w:bCs w:val="1"/>
          <w:color w:val="auto"/>
        </w:rPr>
      </w:pPr>
      <w:r>
        <w:rPr>
          <w:rFonts w:ascii="Arial" w:cs="Arial" w:eastAsia="Arial" w:hAnsi="Arial"/>
          <w:sz w:val="20"/>
          <w:szCs w:val="20"/>
          <w:b w:val="1"/>
          <w:bCs w:val="1"/>
          <w:u w:val="single" w:color="auto"/>
          <w:color w:val="auto"/>
        </w:rPr>
        <w:t>CAPITAL ADJUSTMENTS AND REORGANIZATIONS</w:t>
      </w:r>
      <w:r>
        <w:rPr>
          <w:rFonts w:ascii="Arial" w:cs="Arial" w:eastAsia="Arial" w:hAnsi="Arial"/>
          <w:sz w:val="20"/>
          <w:szCs w:val="20"/>
          <w:b w:val="1"/>
          <w:bCs w:val="1"/>
          <w:color w:val="auto"/>
        </w:rPr>
        <w:t xml:space="preserve">. </w:t>
      </w:r>
      <w:r>
        <w:rPr>
          <w:rFonts w:ascii="Arial" w:cs="Arial" w:eastAsia="Arial" w:hAnsi="Arial"/>
          <w:sz w:val="20"/>
          <w:szCs w:val="20"/>
          <w:color w:val="auto"/>
        </w:rPr>
        <w:t>The existence of the RSUs shall not affect in any way the right or</w:t>
      </w:r>
      <w:r>
        <w:rPr>
          <w:rFonts w:ascii="Arial" w:cs="Arial" w:eastAsia="Arial" w:hAnsi="Arial"/>
          <w:sz w:val="20"/>
          <w:szCs w:val="20"/>
          <w:b w:val="1"/>
          <w:bCs w:val="1"/>
          <w:color w:val="auto"/>
        </w:rPr>
        <w:t xml:space="preserve"> </w:t>
      </w:r>
      <w:r>
        <w:rPr>
          <w:rFonts w:ascii="Arial" w:cs="Arial" w:eastAsia="Arial" w:hAnsi="Arial"/>
          <w:sz w:val="20"/>
          <w:szCs w:val="20"/>
          <w:color w:val="auto"/>
        </w:rPr>
        <w:t>power of the Company or any company the stock of which is awarded pursuant to this Agreement to make or authorize any adjustment, recapitalization, reorganization or other change in its capital structure or its business, engage in any merger or consolidation, issue any debt or equity securities, dissolve or liquidate, or sell, lease, exchange or otherwise dispose of all or any part of its assets or business, or engage in any other corporate act or proceeding.</w:t>
      </w:r>
    </w:p>
    <w:p>
      <w:pPr>
        <w:spacing w:after="0" w:line="193" w:lineRule="exact"/>
        <w:rPr>
          <w:rFonts w:ascii="Arial" w:cs="Arial" w:eastAsia="Arial" w:hAnsi="Arial"/>
          <w:sz w:val="22"/>
          <w:szCs w:val="22"/>
          <w:b w:val="1"/>
          <w:bCs w:val="1"/>
          <w:color w:val="auto"/>
        </w:rPr>
      </w:pPr>
    </w:p>
    <w:p>
      <w:pPr>
        <w:ind w:left="652" w:hanging="652"/>
        <w:spacing w:after="0" w:line="271" w:lineRule="auto"/>
        <w:tabs>
          <w:tab w:leader="none" w:pos="652" w:val="left"/>
        </w:tabs>
        <w:numPr>
          <w:ilvl w:val="0"/>
          <w:numId w:val="23"/>
        </w:numPr>
        <w:rPr>
          <w:rFonts w:ascii="Arial" w:cs="Arial" w:eastAsia="Arial" w:hAnsi="Arial"/>
          <w:sz w:val="22"/>
          <w:szCs w:val="22"/>
          <w:b w:val="1"/>
          <w:bCs w:val="1"/>
          <w:color w:val="auto"/>
        </w:rPr>
      </w:pPr>
      <w:r>
        <w:rPr>
          <w:rFonts w:ascii="Arial" w:cs="Arial" w:eastAsia="Arial" w:hAnsi="Arial"/>
          <w:sz w:val="20"/>
          <w:szCs w:val="20"/>
          <w:b w:val="1"/>
          <w:bCs w:val="1"/>
          <w:u w:val="single" w:color="auto"/>
          <w:color w:val="auto"/>
        </w:rPr>
        <w:t>RSUS DO NOT AWARD ANY RIGHTS OF A SHAREHOLDER</w:t>
      </w:r>
      <w:r>
        <w:rPr>
          <w:rFonts w:ascii="Arial" w:cs="Arial" w:eastAsia="Arial" w:hAnsi="Arial"/>
          <w:sz w:val="20"/>
          <w:szCs w:val="20"/>
          <w:color w:val="auto"/>
        </w:rPr>
        <w:t>. You shall not have the voting rights or any of the other rights,</w:t>
      </w:r>
      <w:r>
        <w:rPr>
          <w:rFonts w:ascii="Arial" w:cs="Arial" w:eastAsia="Arial" w:hAnsi="Arial"/>
          <w:sz w:val="20"/>
          <w:szCs w:val="20"/>
          <w:b w:val="1"/>
          <w:bCs w:val="1"/>
          <w:color w:val="auto"/>
        </w:rPr>
        <w:t xml:space="preserve"> </w:t>
      </w:r>
      <w:r>
        <w:rPr>
          <w:rFonts w:ascii="Arial" w:cs="Arial" w:eastAsia="Arial" w:hAnsi="Arial"/>
          <w:sz w:val="20"/>
          <w:szCs w:val="20"/>
          <w:color w:val="auto"/>
        </w:rPr>
        <w:t>powers or privileges of a holder of the Common Stock with respect to the RSUs that are awarded hereby.</w:t>
      </w:r>
    </w:p>
    <w:p>
      <w:pPr>
        <w:spacing w:after="0" w:line="183" w:lineRule="exact"/>
        <w:rPr>
          <w:rFonts w:ascii="Arial" w:cs="Arial" w:eastAsia="Arial" w:hAnsi="Arial"/>
          <w:sz w:val="22"/>
          <w:szCs w:val="22"/>
          <w:b w:val="1"/>
          <w:bCs w:val="1"/>
          <w:color w:val="auto"/>
        </w:rPr>
      </w:pPr>
    </w:p>
    <w:p>
      <w:pPr>
        <w:jc w:val="both"/>
        <w:ind w:left="652" w:hanging="652"/>
        <w:spacing w:after="0" w:line="304" w:lineRule="auto"/>
        <w:tabs>
          <w:tab w:leader="none" w:pos="652" w:val="left"/>
        </w:tabs>
        <w:numPr>
          <w:ilvl w:val="0"/>
          <w:numId w:val="23"/>
        </w:numPr>
        <w:rPr>
          <w:rFonts w:ascii="Arial" w:cs="Arial" w:eastAsia="Arial" w:hAnsi="Arial"/>
          <w:sz w:val="19"/>
          <w:szCs w:val="19"/>
          <w:b w:val="1"/>
          <w:bCs w:val="1"/>
          <w:color w:val="auto"/>
        </w:rPr>
      </w:pPr>
      <w:r>
        <w:rPr>
          <w:rFonts w:ascii="Arial" w:cs="Arial" w:eastAsia="Arial" w:hAnsi="Arial"/>
          <w:sz w:val="18"/>
          <w:szCs w:val="18"/>
          <w:b w:val="1"/>
          <w:bCs w:val="1"/>
          <w:u w:val="single" w:color="auto"/>
          <w:color w:val="auto"/>
        </w:rPr>
        <w:t>PAYMENT OF DIVIDEND EQUIVALENTS.</w:t>
      </w:r>
      <w:r>
        <w:rPr>
          <w:rFonts w:ascii="Arial" w:cs="Arial" w:eastAsia="Arial" w:hAnsi="Arial"/>
          <w:sz w:val="18"/>
          <w:szCs w:val="18"/>
          <w:b w:val="1"/>
          <w:bCs w:val="1"/>
          <w:color w:val="auto"/>
        </w:rPr>
        <w:t xml:space="preserve"> </w:t>
      </w:r>
      <w:r>
        <w:rPr>
          <w:rFonts w:ascii="Arial" w:cs="Arial" w:eastAsia="Arial" w:hAnsi="Arial"/>
          <w:sz w:val="18"/>
          <w:szCs w:val="18"/>
          <w:color w:val="auto"/>
        </w:rPr>
        <w:t>You shall be entitled to Dividend Equivalents, pursuant to which you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entitled to receive, pursuant to the Plan, an amount equal to the aggregate regular cash dividends with a record date during the Restricted Period that would have been payable to you with respect to the shares of Common Stock underlying the Award had it been outstanding on the applicable record date. Such Dividend Equivalents, cash dividends, stock, and any other property distributed as a dividend or otherwise with respect to the RSUs covered by this Award shall be accumulated, and shall be subject to restrictions and risk of forfeiture to the same extent as otherwise set forth in this Agreement. The combined value of any such distributions shall be paid to you in cash at the time such restrictions and risk of forfeiture subject to this Award lapse.</w:t>
      </w:r>
    </w:p>
    <w:p>
      <w:pPr>
        <w:sectPr>
          <w:pgSz w:w="11900" w:h="16963" w:orient="portrait"/>
          <w:cols w:equalWidth="0" w:num="1">
            <w:col w:w="11232"/>
          </w:cols>
          <w:pgMar w:left="328" w:top="122" w:right="339" w:bottom="0" w:gutter="0" w:footer="0" w:header="0"/>
        </w:sectPr>
      </w:pPr>
    </w:p>
    <w:bookmarkStart w:id="55" w:name="page56"/>
    <w:bookmarkEnd w:id="55"/>
    <w:p>
      <w:pPr>
        <w:jc w:val="both"/>
        <w:ind w:left="660" w:hanging="652"/>
        <w:spacing w:after="0" w:line="268" w:lineRule="auto"/>
        <w:tabs>
          <w:tab w:leader="none" w:pos="660" w:val="left"/>
        </w:tabs>
        <w:numPr>
          <w:ilvl w:val="0"/>
          <w:numId w:val="24"/>
        </w:numPr>
        <w:rPr>
          <w:rFonts w:ascii="Arial" w:cs="Arial" w:eastAsia="Arial" w:hAnsi="Arial"/>
          <w:sz w:val="22"/>
          <w:szCs w:val="22"/>
          <w:b w:val="1"/>
          <w:bCs w:val="1"/>
          <w:color w:val="auto"/>
        </w:rPr>
      </w:pPr>
      <w:r>
        <w:rPr>
          <w:rFonts w:ascii="Arial" w:cs="Arial" w:eastAsia="Arial" w:hAnsi="Arial"/>
          <w:sz w:val="20"/>
          <w:szCs w:val="20"/>
          <w:b w:val="1"/>
          <w:bCs w:val="1"/>
          <w:u w:val="single" w:color="auto"/>
          <w:color w:val="auto"/>
        </w:rPr>
        <w:t>NOT AN EMPLOYMENT AGREEMENT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This Agreement is not an employment agreement, and no provision of this Agreement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shall be construed or interpreted to create an employment relationship between you and the Company or any Affiliate or guarantee the right to remain employed by the Company or any Affiliate for any specified term.</w:t>
      </w:r>
    </w:p>
    <w:p>
      <w:pPr>
        <w:spacing w:after="0" w:line="189" w:lineRule="exact"/>
        <w:rPr>
          <w:rFonts w:ascii="Arial" w:cs="Arial" w:eastAsia="Arial" w:hAnsi="Arial"/>
          <w:sz w:val="22"/>
          <w:szCs w:val="22"/>
          <w:b w:val="1"/>
          <w:bCs w:val="1"/>
          <w:color w:val="auto"/>
        </w:rPr>
      </w:pPr>
    </w:p>
    <w:p>
      <w:pPr>
        <w:jc w:val="both"/>
        <w:ind w:left="660" w:hanging="652"/>
        <w:spacing w:after="0" w:line="268" w:lineRule="auto"/>
        <w:tabs>
          <w:tab w:leader="none" w:pos="660" w:val="left"/>
        </w:tabs>
        <w:numPr>
          <w:ilvl w:val="0"/>
          <w:numId w:val="24"/>
        </w:numPr>
        <w:rPr>
          <w:rFonts w:ascii="Arial" w:cs="Arial" w:eastAsia="Arial" w:hAnsi="Arial"/>
          <w:sz w:val="22"/>
          <w:szCs w:val="22"/>
          <w:b w:val="1"/>
          <w:bCs w:val="1"/>
          <w:color w:val="auto"/>
        </w:rPr>
      </w:pPr>
      <w:r>
        <w:rPr>
          <w:rFonts w:ascii="Arial" w:cs="Arial" w:eastAsia="Arial" w:hAnsi="Arial"/>
          <w:sz w:val="20"/>
          <w:szCs w:val="20"/>
          <w:b w:val="1"/>
          <w:bCs w:val="1"/>
          <w:u w:val="single" w:color="auto"/>
          <w:color w:val="auto"/>
        </w:rPr>
        <w:t>LIMIT OF LIABILITY</w:t>
      </w:r>
      <w:r>
        <w:rPr>
          <w:rFonts w:ascii="Arial" w:cs="Arial" w:eastAsia="Arial" w:hAnsi="Arial"/>
          <w:sz w:val="20"/>
          <w:szCs w:val="20"/>
          <w:color w:val="auto"/>
        </w:rPr>
        <w:t>. Under no circumstances will the Company or an Affiliate be liable for any indirect, incidental,</w:t>
      </w:r>
      <w:r>
        <w:rPr>
          <w:rFonts w:ascii="Arial" w:cs="Arial" w:eastAsia="Arial" w:hAnsi="Arial"/>
          <w:sz w:val="20"/>
          <w:szCs w:val="20"/>
          <w:b w:val="1"/>
          <w:bCs w:val="1"/>
          <w:color w:val="auto"/>
        </w:rPr>
        <w:t xml:space="preserve"> </w:t>
      </w:r>
      <w:r>
        <w:rPr>
          <w:rFonts w:ascii="Arial" w:cs="Arial" w:eastAsia="Arial" w:hAnsi="Arial"/>
          <w:sz w:val="20"/>
          <w:szCs w:val="20"/>
          <w:color w:val="auto"/>
        </w:rPr>
        <w:t>consequential or special damages (including lost profits) of any form incurred by any person, whether or not foreseeable and regardless of the form of the act in which such a claim may be brought, with respect to the Plan.</w:t>
      </w:r>
    </w:p>
    <w:p>
      <w:pPr>
        <w:spacing w:after="0" w:line="189" w:lineRule="exact"/>
        <w:rPr>
          <w:rFonts w:ascii="Arial" w:cs="Arial" w:eastAsia="Arial" w:hAnsi="Arial"/>
          <w:sz w:val="22"/>
          <w:szCs w:val="22"/>
          <w:b w:val="1"/>
          <w:bCs w:val="1"/>
          <w:color w:val="auto"/>
        </w:rPr>
      </w:pPr>
    </w:p>
    <w:p>
      <w:pPr>
        <w:jc w:val="both"/>
        <w:ind w:left="660" w:hanging="652"/>
        <w:spacing w:after="0" w:line="282" w:lineRule="auto"/>
        <w:tabs>
          <w:tab w:leader="none" w:pos="660" w:val="left"/>
        </w:tabs>
        <w:numPr>
          <w:ilvl w:val="0"/>
          <w:numId w:val="24"/>
        </w:numPr>
        <w:rPr>
          <w:rFonts w:ascii="Arial" w:cs="Arial" w:eastAsia="Arial" w:hAnsi="Arial"/>
          <w:sz w:val="21"/>
          <w:szCs w:val="21"/>
          <w:b w:val="1"/>
          <w:bCs w:val="1"/>
          <w:color w:val="auto"/>
        </w:rPr>
      </w:pPr>
      <w:r>
        <w:rPr>
          <w:rFonts w:ascii="Arial" w:cs="Arial" w:eastAsia="Arial" w:hAnsi="Arial"/>
          <w:sz w:val="19"/>
          <w:szCs w:val="19"/>
          <w:b w:val="1"/>
          <w:bCs w:val="1"/>
          <w:u w:val="single" w:color="auto"/>
          <w:color w:val="auto"/>
        </w:rPr>
        <w:t>SECTION 409A OF THE INTERNAL REVENUE CODE</w:t>
      </w:r>
      <w:r>
        <w:rPr>
          <w:rFonts w:ascii="Arial" w:cs="Arial" w:eastAsia="Arial" w:hAnsi="Arial"/>
          <w:sz w:val="19"/>
          <w:szCs w:val="19"/>
          <w:color w:val="auto"/>
        </w:rPr>
        <w:t>. This Agreement and all payments made hereunder, are intended to</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meet the short-term deferral exception described under section 1.409A-1(b)(4) of the applicable Treasury regulations, or otherwise comply with, Section 409A, and this Agreement shall be interpreted so as to effect that intent. By accepting this Award, you acknowledge and agree that (a) you are not relying upon any written or oral statement or oral statement or representation of the Company, its Affiliates, or any of their respective employees, directors, officers, attorneys or agents (collectively, the </w:t>
      </w:r>
      <w:r>
        <w:rPr>
          <w:rFonts w:ascii="Arial" w:cs="Arial" w:eastAsia="Arial" w:hAnsi="Arial"/>
          <w:sz w:val="19"/>
          <w:szCs w:val="19"/>
          <w:b w:val="1"/>
          <w:bCs w:val="1"/>
          <w:color w:val="auto"/>
        </w:rPr>
        <w:t>“</w:t>
      </w:r>
      <w:r>
        <w:rPr>
          <w:rFonts w:ascii="Arial" w:cs="Arial" w:eastAsia="Arial" w:hAnsi="Arial"/>
          <w:sz w:val="19"/>
          <w:szCs w:val="19"/>
          <w:i w:val="1"/>
          <w:iCs w:val="1"/>
          <w:color w:val="auto"/>
        </w:rPr>
        <w:t>Company</w:t>
      </w:r>
      <w:r>
        <w:rPr>
          <w:rFonts w:ascii="Arial" w:cs="Arial" w:eastAsia="Arial" w:hAnsi="Arial"/>
          <w:sz w:val="19"/>
          <w:szCs w:val="19"/>
          <w:color w:val="auto"/>
        </w:rPr>
        <w:t xml:space="preserve"> </w:t>
      </w:r>
      <w:r>
        <w:rPr>
          <w:rFonts w:ascii="Arial" w:cs="Arial" w:eastAsia="Arial" w:hAnsi="Arial"/>
          <w:sz w:val="19"/>
          <w:szCs w:val="19"/>
          <w:i w:val="1"/>
          <w:iCs w:val="1"/>
          <w:color w:val="auto"/>
        </w:rPr>
        <w:t>Parties</w:t>
      </w:r>
      <w:r>
        <w:rPr>
          <w:rFonts w:ascii="Arial" w:cs="Arial" w:eastAsia="Arial" w:hAnsi="Arial"/>
          <w:sz w:val="19"/>
          <w:szCs w:val="19"/>
          <w:b w:val="1"/>
          <w:bCs w:val="1"/>
          <w:color w:val="auto"/>
        </w:rPr>
        <w:t>”</w:t>
      </w:r>
      <w:r>
        <w:rPr>
          <w:rFonts w:ascii="Arial" w:cs="Arial" w:eastAsia="Arial" w:hAnsi="Arial"/>
          <w:sz w:val="19"/>
          <w:szCs w:val="19"/>
          <w:color w:val="auto"/>
        </w:rPr>
        <w:t>) regarding the tax effects associated with execution of this Agreement and the payment made pursuant to the Plan, and (b)</w:t>
      </w:r>
      <w:r>
        <w:rPr>
          <w:rFonts w:ascii="Arial" w:cs="Arial" w:eastAsia="Arial" w:hAnsi="Arial"/>
          <w:sz w:val="19"/>
          <w:szCs w:val="19"/>
          <w:i w:val="1"/>
          <w:iCs w:val="1"/>
          <w:color w:val="auto"/>
        </w:rPr>
        <w:t xml:space="preserve"> </w:t>
      </w:r>
      <w:r>
        <w:rPr>
          <w:rFonts w:ascii="Arial" w:cs="Arial" w:eastAsia="Arial" w:hAnsi="Arial"/>
          <w:sz w:val="19"/>
          <w:szCs w:val="19"/>
          <w:color w:val="auto"/>
        </w:rPr>
        <w:t>in deciding to enter into this Agreement, you are relying on your own judgment and the judgment of the professionals of your choice with whom you have consulted. By accepting this Award, you thereby release, acquit and forever discharge the Company Parties from all actions, causes of actions, suits, debts, obligations, liabilities, claims, damages, losses, costs and expenses of any nature whatsoever, known or unknown, on account of, arising out of, or in any way related to the tax effects associated with the Award and this Agreement.</w:t>
      </w:r>
    </w:p>
    <w:p>
      <w:pPr>
        <w:spacing w:after="0" w:line="186" w:lineRule="exact"/>
        <w:rPr>
          <w:rFonts w:ascii="Arial" w:cs="Arial" w:eastAsia="Arial" w:hAnsi="Arial"/>
          <w:sz w:val="21"/>
          <w:szCs w:val="21"/>
          <w:b w:val="1"/>
          <w:bCs w:val="1"/>
          <w:color w:val="auto"/>
        </w:rPr>
      </w:pPr>
    </w:p>
    <w:p>
      <w:pPr>
        <w:jc w:val="both"/>
        <w:ind w:left="660" w:hanging="652"/>
        <w:spacing w:after="0" w:line="267" w:lineRule="auto"/>
        <w:tabs>
          <w:tab w:leader="none" w:pos="660" w:val="left"/>
        </w:tabs>
        <w:numPr>
          <w:ilvl w:val="0"/>
          <w:numId w:val="24"/>
        </w:numPr>
        <w:rPr>
          <w:rFonts w:ascii="Arial" w:cs="Arial" w:eastAsia="Arial" w:hAnsi="Arial"/>
          <w:sz w:val="22"/>
          <w:szCs w:val="22"/>
          <w:b w:val="1"/>
          <w:bCs w:val="1"/>
          <w:color w:val="auto"/>
        </w:rPr>
      </w:pPr>
      <w:r>
        <w:rPr>
          <w:rFonts w:ascii="Arial" w:cs="Arial" w:eastAsia="Arial" w:hAnsi="Arial"/>
          <w:sz w:val="20"/>
          <w:szCs w:val="20"/>
          <w:b w:val="1"/>
          <w:bCs w:val="1"/>
          <w:u w:val="single" w:color="auto"/>
          <w:color w:val="auto"/>
        </w:rPr>
        <w:t>DELAYED PAYMENT IN CERTAIN CIRCUMSTANCES</w:t>
      </w:r>
      <w:r>
        <w:rPr>
          <w:rFonts w:ascii="Arial" w:cs="Arial" w:eastAsia="Arial" w:hAnsi="Arial"/>
          <w:sz w:val="20"/>
          <w:szCs w:val="20"/>
          <w:b w:val="1"/>
          <w:bCs w:val="1"/>
          <w:color w:val="auto"/>
        </w:rPr>
        <w:t>. NOTWITHSTANDING ANY OTHER PROVISION OF THIS AGREEMENT, IF YOU ARE A “</w:t>
      </w:r>
      <w:r>
        <w:rPr>
          <w:rFonts w:ascii="Arial" w:cs="Arial" w:eastAsia="Arial" w:hAnsi="Arial"/>
          <w:sz w:val="20"/>
          <w:szCs w:val="20"/>
          <w:b w:val="1"/>
          <w:bCs w:val="1"/>
          <w:i w:val="1"/>
          <w:iCs w:val="1"/>
          <w:color w:val="auto"/>
        </w:rPr>
        <w:t>SPECIFIED EMPLOYEE</w:t>
      </w:r>
      <w:r>
        <w:rPr>
          <w:rFonts w:ascii="Arial" w:cs="Arial" w:eastAsia="Arial" w:hAnsi="Arial"/>
          <w:sz w:val="20"/>
          <w:szCs w:val="20"/>
          <w:b w:val="1"/>
          <w:bCs w:val="1"/>
          <w:color w:val="auto"/>
        </w:rPr>
        <w:t>” (WITHIN THE MEANING OF SECTION 409A) AND THE COMPANY DETERMINES THAT A PAYMENT HEREUNDER IS NOT PERMITTED TO BE PAID ON THE DATE SPECIFIED WITHOUT THE IMPOSITION OF ADDITIONAL TAXES, INTEREST OR PENALTIES UNDER SECTION 409A, THEN NO PAYMENTS SHALL BE MADE TO YOU PURSUANT TO THIS AWARD DUE TO A SEPARATION FROM SERVICE FOR ANY REASON BEFORE THE EARLIER OF THE DATE THAT IS SIX MONTHS AND A DAY AFTER THE DATE ON WHICH YOU INCUR SUCH SEPARATION FROM SERVICE OR FIVE BUSINESS DAYS FOLLOWING THE DATE OF YOUR DEATH.</w:t>
      </w:r>
    </w:p>
    <w:p>
      <w:pPr>
        <w:spacing w:after="0" w:line="195" w:lineRule="exact"/>
        <w:rPr>
          <w:rFonts w:ascii="Arial" w:cs="Arial" w:eastAsia="Arial" w:hAnsi="Arial"/>
          <w:sz w:val="22"/>
          <w:szCs w:val="22"/>
          <w:b w:val="1"/>
          <w:bCs w:val="1"/>
          <w:color w:val="auto"/>
        </w:rPr>
      </w:pPr>
    </w:p>
    <w:p>
      <w:pPr>
        <w:jc w:val="both"/>
        <w:ind w:left="660" w:right="20" w:hanging="652"/>
        <w:spacing w:after="0" w:line="268" w:lineRule="auto"/>
        <w:tabs>
          <w:tab w:leader="none" w:pos="660" w:val="left"/>
        </w:tabs>
        <w:numPr>
          <w:ilvl w:val="0"/>
          <w:numId w:val="24"/>
        </w:numPr>
        <w:rPr>
          <w:rFonts w:ascii="Arial" w:cs="Arial" w:eastAsia="Arial" w:hAnsi="Arial"/>
          <w:sz w:val="22"/>
          <w:szCs w:val="22"/>
          <w:b w:val="1"/>
          <w:bCs w:val="1"/>
          <w:color w:val="auto"/>
        </w:rPr>
      </w:pPr>
      <w:r>
        <w:rPr>
          <w:rFonts w:ascii="Arial" w:cs="Arial" w:eastAsia="Arial" w:hAnsi="Arial"/>
          <w:sz w:val="20"/>
          <w:szCs w:val="20"/>
          <w:b w:val="1"/>
          <w:bCs w:val="1"/>
          <w:u w:val="single" w:color="auto"/>
          <w:color w:val="auto"/>
        </w:rPr>
        <w:t>EMPLOYER LIABLE FOR PAYMENT</w:t>
      </w:r>
      <w:r>
        <w:rPr>
          <w:rFonts w:ascii="Arial" w:cs="Arial" w:eastAsia="Arial" w:hAnsi="Arial"/>
          <w:sz w:val="20"/>
          <w:szCs w:val="20"/>
          <w:b w:val="1"/>
          <w:bCs w:val="1"/>
          <w:color w:val="auto"/>
        </w:rPr>
        <w:t xml:space="preserve">. </w:t>
      </w:r>
      <w:r>
        <w:rPr>
          <w:rFonts w:ascii="Arial" w:cs="Arial" w:eastAsia="Arial" w:hAnsi="Arial"/>
          <w:sz w:val="20"/>
          <w:szCs w:val="20"/>
          <w:color w:val="auto"/>
        </w:rPr>
        <w:t>Except as the Committee may determine otherwise in connection with a Change in</w:t>
      </w:r>
      <w:r>
        <w:rPr>
          <w:rFonts w:ascii="Arial" w:cs="Arial" w:eastAsia="Arial" w:hAnsi="Arial"/>
          <w:sz w:val="20"/>
          <w:szCs w:val="20"/>
          <w:b w:val="1"/>
          <w:bCs w:val="1"/>
          <w:color w:val="auto"/>
        </w:rPr>
        <w:t xml:space="preserve"> </w:t>
      </w:r>
      <w:r>
        <w:rPr>
          <w:rFonts w:ascii="Arial" w:cs="Arial" w:eastAsia="Arial" w:hAnsi="Arial"/>
          <w:sz w:val="20"/>
          <w:szCs w:val="20"/>
          <w:color w:val="auto"/>
        </w:rPr>
        <w:t>Control, the Employer (or the Company, as applicable), is liable for the payment of any amounts that become due under this Agreement.</w:t>
      </w:r>
    </w:p>
    <w:p>
      <w:pPr>
        <w:spacing w:after="0" w:line="189" w:lineRule="exact"/>
        <w:rPr>
          <w:rFonts w:ascii="Arial" w:cs="Arial" w:eastAsia="Arial" w:hAnsi="Arial"/>
          <w:sz w:val="22"/>
          <w:szCs w:val="22"/>
          <w:b w:val="1"/>
          <w:bCs w:val="1"/>
          <w:color w:val="auto"/>
        </w:rPr>
      </w:pPr>
    </w:p>
    <w:p>
      <w:pPr>
        <w:jc w:val="both"/>
        <w:ind w:left="660" w:hanging="652"/>
        <w:spacing w:after="0" w:line="310" w:lineRule="auto"/>
        <w:tabs>
          <w:tab w:leader="none" w:pos="660" w:val="left"/>
        </w:tabs>
        <w:numPr>
          <w:ilvl w:val="0"/>
          <w:numId w:val="24"/>
        </w:numPr>
        <w:rPr>
          <w:rFonts w:ascii="Arial" w:cs="Arial" w:eastAsia="Arial" w:hAnsi="Arial"/>
          <w:sz w:val="19"/>
          <w:szCs w:val="19"/>
          <w:b w:val="1"/>
          <w:bCs w:val="1"/>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color w:val="auto"/>
        </w:rPr>
        <w:t>. This Agreement is awarded pursuant to and is subject to all of the provisions of the Plan,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amendments to the Plan, if any. In the event of a conflict between this Agreement and the Plan provisions, the Plan provisions will control. The term “</w:t>
      </w:r>
      <w:r>
        <w:rPr>
          <w:rFonts w:ascii="Arial" w:cs="Arial" w:eastAsia="Arial" w:hAnsi="Arial"/>
          <w:sz w:val="18"/>
          <w:szCs w:val="18"/>
          <w:i w:val="1"/>
          <w:iCs w:val="1"/>
          <w:color w:val="auto"/>
        </w:rPr>
        <w:t>you</w:t>
      </w:r>
      <w:r>
        <w:rPr>
          <w:rFonts w:ascii="Arial" w:cs="Arial" w:eastAsia="Arial" w:hAnsi="Arial"/>
          <w:sz w:val="18"/>
          <w:szCs w:val="18"/>
          <w:color w:val="auto"/>
        </w:rPr>
        <w:t>” and “</w:t>
      </w:r>
      <w:r>
        <w:rPr>
          <w:rFonts w:ascii="Arial" w:cs="Arial" w:eastAsia="Arial" w:hAnsi="Arial"/>
          <w:sz w:val="18"/>
          <w:szCs w:val="18"/>
          <w:i w:val="1"/>
          <w:iCs w:val="1"/>
          <w:color w:val="auto"/>
        </w:rPr>
        <w:t>your</w:t>
      </w:r>
      <w:r>
        <w:rPr>
          <w:rFonts w:ascii="Arial" w:cs="Arial" w:eastAsia="Arial" w:hAnsi="Arial"/>
          <w:sz w:val="18"/>
          <w:szCs w:val="18"/>
          <w:color w:val="auto"/>
        </w:rPr>
        <w:t>” refer to the Grantee named in this Agreement. Capitalized terms that are not defined herein shall have the meanings ascribed to such terms in the Plan. This Agreement shall be binding on the Company’s successors and assigns.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In accepting the award of RSUs set forth in this Agreement you accept and agree to be bound by all the terms and conditions of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QUANEX BUILDING PRODUCTS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571500</wp:posOffset>
            </wp:positionV>
            <wp:extent cx="7537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7537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[Name]</w:t>
      </w:r>
    </w:p>
    <w:p>
      <w:pPr>
        <w:spacing w:after="0" w:line="16"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[Title]</w:t>
      </w:r>
    </w:p>
    <w:p>
      <w:pPr>
        <w:sectPr>
          <w:pgSz w:w="11900" w:h="16838" w:orient="portrait"/>
          <w:cols w:equalWidth="0" w:num="1">
            <w:col w:w="11240"/>
          </w:cols>
          <w:pgMar w:left="320" w:top="34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40"/>
        <w:spacing w:after="0"/>
        <w:rPr>
          <w:sz w:val="20"/>
          <w:szCs w:val="20"/>
          <w:color w:val="auto"/>
        </w:rPr>
      </w:pPr>
      <w:r>
        <w:rPr>
          <w:rFonts w:ascii="Arial" w:cs="Arial" w:eastAsia="Arial" w:hAnsi="Arial"/>
          <w:sz w:val="14"/>
          <w:szCs w:val="14"/>
          <w:i w:val="1"/>
          <w:iCs w:val="1"/>
          <w:color w:val="auto"/>
        </w:rPr>
        <w:t>Cash Settled RSU Award</w:t>
      </w:r>
    </w:p>
    <w:p>
      <w:pPr>
        <w:sectPr>
          <w:pgSz w:w="11900" w:h="16838" w:orient="portrait"/>
          <w:cols w:equalWidth="0" w:num="1">
            <w:col w:w="11240"/>
          </w:cols>
          <w:pgMar w:left="320" w:top="346" w:right="339" w:bottom="1440" w:gutter="0" w:footer="0" w:header="0"/>
          <w:type w:val="continuous"/>
        </w:sectPr>
      </w:pPr>
    </w:p>
    <w:bookmarkStart w:id="56" w:name="page57"/>
    <w:bookmarkEnd w:id="56"/>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QUANEX BUILDING PRODUCTS CORPORATION</w:t>
      </w:r>
    </w:p>
    <w:p>
      <w:pPr>
        <w:spacing w:after="0" w:line="324"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CASH SETTLED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PERFORMANCE SHARE AWARD AGREEMENT</w:t>
      </w:r>
    </w:p>
    <w:p>
      <w:pPr>
        <w:spacing w:after="0" w:line="194" w:lineRule="exact"/>
        <w:rPr>
          <w:sz w:val="20"/>
          <w:szCs w:val="20"/>
          <w:color w:val="auto"/>
        </w:rPr>
      </w:pPr>
    </w:p>
    <w:p>
      <w:pPr>
        <w:ind w:left="4600"/>
        <w:spacing w:after="0"/>
        <w:rPr>
          <w:sz w:val="20"/>
          <w:szCs w:val="20"/>
          <w:color w:val="auto"/>
        </w:rPr>
      </w:pPr>
      <w:r>
        <w:rPr>
          <w:rFonts w:ascii="Arial" w:cs="Arial" w:eastAsia="Arial" w:hAnsi="Arial"/>
          <w:sz w:val="20"/>
          <w:szCs w:val="20"/>
          <w:b w:val="1"/>
          <w:bCs w:val="1"/>
          <w:color w:val="auto"/>
        </w:rPr>
        <w:t>[___________________]</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Grantee</w:t>
      </w:r>
    </w:p>
    <w:p>
      <w:pPr>
        <w:spacing w:after="0" w:line="362" w:lineRule="exact"/>
        <w:rPr>
          <w:sz w:val="20"/>
          <w:szCs w:val="20"/>
          <w:color w:val="auto"/>
        </w:rPr>
      </w:pPr>
    </w:p>
    <w:p>
      <w:pPr>
        <w:ind w:left="600"/>
        <w:spacing w:after="0"/>
        <w:tabs>
          <w:tab w:leader="none" w:pos="7200" w:val="left"/>
        </w:tabs>
        <w:rPr>
          <w:sz w:val="20"/>
          <w:szCs w:val="20"/>
          <w:color w:val="auto"/>
        </w:rPr>
      </w:pPr>
      <w:r>
        <w:rPr>
          <w:rFonts w:ascii="Arial" w:cs="Arial" w:eastAsia="Arial" w:hAnsi="Arial"/>
          <w:sz w:val="20"/>
          <w:szCs w:val="20"/>
          <w:color w:val="auto"/>
        </w:rPr>
        <w:t>Date of Award:</w:t>
      </w:r>
      <w:r>
        <w:rPr>
          <w:sz w:val="20"/>
          <w:szCs w:val="20"/>
          <w:color w:val="auto"/>
        </w:rPr>
        <w:tab/>
      </w:r>
      <w:r>
        <w:rPr>
          <w:rFonts w:ascii="Arial" w:cs="Arial" w:eastAsia="Arial" w:hAnsi="Arial"/>
          <w:sz w:val="16"/>
          <w:szCs w:val="16"/>
          <w:color w:val="auto"/>
        </w:rPr>
        <w:t>[___________________]</w:t>
      </w:r>
    </w:p>
    <w:p>
      <w:pPr>
        <w:spacing w:after="0" w:line="243" w:lineRule="exact"/>
        <w:rPr>
          <w:sz w:val="20"/>
          <w:szCs w:val="20"/>
          <w:color w:val="auto"/>
        </w:rPr>
      </w:pPr>
    </w:p>
    <w:p>
      <w:pPr>
        <w:ind w:left="600"/>
        <w:spacing w:after="0"/>
        <w:tabs>
          <w:tab w:leader="none" w:pos="7200" w:val="left"/>
        </w:tabs>
        <w:rPr>
          <w:sz w:val="20"/>
          <w:szCs w:val="20"/>
          <w:color w:val="auto"/>
        </w:rPr>
      </w:pPr>
      <w:r>
        <w:rPr>
          <w:rFonts w:ascii="Arial" w:cs="Arial" w:eastAsia="Arial" w:hAnsi="Arial"/>
          <w:sz w:val="20"/>
          <w:szCs w:val="20"/>
          <w:color w:val="auto"/>
        </w:rPr>
        <w:t>Target Number of Performance Shares:</w:t>
      </w:r>
      <w:r>
        <w:rPr>
          <w:sz w:val="20"/>
          <w:szCs w:val="20"/>
          <w:color w:val="auto"/>
        </w:rPr>
        <w:tab/>
      </w:r>
      <w:r>
        <w:rPr>
          <w:rFonts w:ascii="Arial" w:cs="Arial" w:eastAsia="Arial" w:hAnsi="Arial"/>
          <w:sz w:val="16"/>
          <w:szCs w:val="16"/>
          <w:color w:val="auto"/>
        </w:rPr>
        <w:t>[___________________]</w:t>
      </w:r>
    </w:p>
    <w:p>
      <w:pPr>
        <w:spacing w:after="0" w:line="200" w:lineRule="exact"/>
        <w:rPr>
          <w:sz w:val="20"/>
          <w:szCs w:val="20"/>
          <w:color w:val="auto"/>
        </w:rPr>
      </w:pPr>
    </w:p>
    <w:p>
      <w:pPr>
        <w:spacing w:after="0" w:line="239" w:lineRule="exact"/>
        <w:rPr>
          <w:sz w:val="20"/>
          <w:szCs w:val="20"/>
          <w:color w:val="auto"/>
        </w:rPr>
      </w:pPr>
    </w:p>
    <w:p>
      <w:pPr>
        <w:ind w:left="4460"/>
        <w:spacing w:after="0"/>
        <w:rPr>
          <w:sz w:val="20"/>
          <w:szCs w:val="20"/>
          <w:color w:val="auto"/>
        </w:rPr>
      </w:pPr>
      <w:r>
        <w:rPr>
          <w:rFonts w:ascii="Arial" w:cs="Arial" w:eastAsia="Arial" w:hAnsi="Arial"/>
          <w:sz w:val="20"/>
          <w:szCs w:val="20"/>
          <w:b w:val="1"/>
          <w:bCs w:val="1"/>
          <w:color w:val="auto"/>
        </w:rPr>
        <w:t>AWARD OF PERFORMANCE SHARES</w:t>
      </w:r>
    </w:p>
    <w:p>
      <w:pPr>
        <w:spacing w:after="0" w:line="337" w:lineRule="exact"/>
        <w:rPr>
          <w:sz w:val="20"/>
          <w:szCs w:val="20"/>
          <w:color w:val="auto"/>
        </w:rPr>
      </w:pPr>
    </w:p>
    <w:p>
      <w:pPr>
        <w:jc w:val="both"/>
        <w:ind w:left="660" w:hanging="652"/>
        <w:spacing w:after="0" w:line="307" w:lineRule="auto"/>
        <w:tabs>
          <w:tab w:leader="none" w:pos="660" w:val="left"/>
        </w:tabs>
        <w:numPr>
          <w:ilvl w:val="0"/>
          <w:numId w:val="25"/>
        </w:numPr>
        <w:rPr>
          <w:rFonts w:ascii="Arial" w:cs="Arial" w:eastAsia="Arial" w:hAnsi="Arial"/>
          <w:sz w:val="19"/>
          <w:szCs w:val="19"/>
          <w:b w:val="1"/>
          <w:bCs w:val="1"/>
          <w:color w:val="auto"/>
        </w:rPr>
      </w:pPr>
      <w:r>
        <w:rPr>
          <w:rFonts w:ascii="Arial" w:cs="Arial" w:eastAsia="Arial" w:hAnsi="Arial"/>
          <w:sz w:val="18"/>
          <w:szCs w:val="18"/>
          <w:b w:val="1"/>
          <w:bCs w:val="1"/>
          <w:u w:val="single" w:color="auto"/>
          <w:color w:val="auto"/>
        </w:rPr>
        <w:t>GRANT OF PERFORMANCE SHARES</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Compensation Committee (the “</w:t>
      </w:r>
      <w:r>
        <w:rPr>
          <w:rFonts w:ascii="Arial" w:cs="Arial" w:eastAsia="Arial" w:hAnsi="Arial"/>
          <w:sz w:val="18"/>
          <w:szCs w:val="18"/>
          <w:i w:val="1"/>
          <w:iCs w:val="1"/>
          <w:color w:val="auto"/>
        </w:rPr>
        <w:t>Committee</w:t>
      </w:r>
      <w:r>
        <w:rPr>
          <w:rFonts w:ascii="Arial" w:cs="Arial" w:eastAsia="Arial" w:hAnsi="Arial"/>
          <w:sz w:val="18"/>
          <w:szCs w:val="18"/>
          <w:color w:val="auto"/>
        </w:rPr>
        <w:t>”) of the Board of Directors of Quanex</w:t>
      </w:r>
      <w:r>
        <w:rPr>
          <w:rFonts w:ascii="Arial" w:cs="Arial" w:eastAsia="Arial" w:hAnsi="Arial"/>
          <w:sz w:val="18"/>
          <w:szCs w:val="18"/>
          <w:b w:val="1"/>
          <w:bCs w:val="1"/>
          <w:color w:val="auto"/>
        </w:rPr>
        <w:t xml:space="preserve"> </w:t>
      </w:r>
      <w:r>
        <w:rPr>
          <w:rFonts w:ascii="Arial" w:cs="Arial" w:eastAsia="Arial" w:hAnsi="Arial"/>
          <w:sz w:val="18"/>
          <w:szCs w:val="18"/>
          <w:color w:val="auto"/>
        </w:rPr>
        <w:t>Building Products Corporation, a Delaware corporation (the “</w:t>
      </w:r>
      <w:r>
        <w:rPr>
          <w:rFonts w:ascii="Arial" w:cs="Arial" w:eastAsia="Arial" w:hAnsi="Arial"/>
          <w:sz w:val="18"/>
          <w:szCs w:val="18"/>
          <w:i w:val="1"/>
          <w:iCs w:val="1"/>
          <w:color w:val="auto"/>
        </w:rPr>
        <w:t>Company</w:t>
      </w:r>
      <w:r>
        <w:rPr>
          <w:rFonts w:ascii="Arial" w:cs="Arial" w:eastAsia="Arial" w:hAnsi="Arial"/>
          <w:sz w:val="18"/>
          <w:szCs w:val="18"/>
          <w:color w:val="auto"/>
        </w:rPr>
        <w:t>”), subject to the terms and provisions of the Quanex Building Products Corporation 2020 Omnibus Incentive Plan (the “</w:t>
      </w:r>
      <w:r>
        <w:rPr>
          <w:rFonts w:ascii="Arial" w:cs="Arial" w:eastAsia="Arial" w:hAnsi="Arial"/>
          <w:sz w:val="18"/>
          <w:szCs w:val="18"/>
          <w:i w:val="1"/>
          <w:iCs w:val="1"/>
          <w:color w:val="auto"/>
        </w:rPr>
        <w:t>Plan</w:t>
      </w:r>
      <w:r>
        <w:rPr>
          <w:rFonts w:ascii="Arial" w:cs="Arial" w:eastAsia="Arial" w:hAnsi="Arial"/>
          <w:sz w:val="18"/>
          <w:szCs w:val="18"/>
          <w:color w:val="auto"/>
        </w:rPr>
        <w:t>”), hereby awards to you, the above-named Grantee, effective as of the Date of Award set forth above, the number of Performance Shares set forth above in accordance with the formulas below, on the terms and conditions set forth in this Performance Share Award Agreement (this “</w:t>
      </w:r>
      <w:r>
        <w:rPr>
          <w:rFonts w:ascii="Arial" w:cs="Arial" w:eastAsia="Arial" w:hAnsi="Arial"/>
          <w:sz w:val="18"/>
          <w:szCs w:val="18"/>
          <w:i w:val="1"/>
          <w:iCs w:val="1"/>
          <w:color w:val="auto"/>
        </w:rPr>
        <w:t>Agreement</w:t>
      </w:r>
      <w:r>
        <w:rPr>
          <w:rFonts w:ascii="Arial" w:cs="Arial" w:eastAsia="Arial" w:hAnsi="Arial"/>
          <w:sz w:val="18"/>
          <w:szCs w:val="18"/>
          <w:color w:val="auto"/>
        </w:rPr>
        <w:t>”).</w:t>
      </w:r>
    </w:p>
    <w:p>
      <w:pPr>
        <w:spacing w:after="0" w:line="152" w:lineRule="exact"/>
        <w:rPr>
          <w:rFonts w:ascii="Arial" w:cs="Arial" w:eastAsia="Arial" w:hAnsi="Arial"/>
          <w:sz w:val="19"/>
          <w:szCs w:val="19"/>
          <w:b w:val="1"/>
          <w:bCs w:val="1"/>
          <w:color w:val="auto"/>
        </w:rPr>
      </w:pPr>
    </w:p>
    <w:p>
      <w:pPr>
        <w:jc w:val="both"/>
        <w:ind w:left="660"/>
        <w:spacing w:after="0" w:line="246" w:lineRule="auto"/>
        <w:rPr>
          <w:rFonts w:ascii="Arial" w:cs="Arial" w:eastAsia="Arial" w:hAnsi="Arial"/>
          <w:sz w:val="19"/>
          <w:szCs w:val="19"/>
          <w:b w:val="1"/>
          <w:bCs w:val="1"/>
          <w:color w:val="auto"/>
        </w:rPr>
      </w:pPr>
      <w:r>
        <w:rPr>
          <w:rFonts w:ascii="Arial" w:cs="Arial" w:eastAsia="Arial" w:hAnsi="Arial"/>
          <w:sz w:val="20"/>
          <w:szCs w:val="20"/>
          <w:color w:val="auto"/>
        </w:rPr>
        <w:t>Each Performance Share provides you an opportunity to earn a cash payment based upon attainment of the Performance Goal(s) during the Performance Period. For purposes of this Agreement, the term “</w:t>
      </w:r>
      <w:r>
        <w:rPr>
          <w:rFonts w:ascii="Arial" w:cs="Arial" w:eastAsia="Arial" w:hAnsi="Arial"/>
          <w:sz w:val="20"/>
          <w:szCs w:val="20"/>
          <w:i w:val="1"/>
          <w:iCs w:val="1"/>
          <w:color w:val="auto"/>
        </w:rPr>
        <w:t>Performance Period</w:t>
      </w:r>
      <w:r>
        <w:rPr>
          <w:rFonts w:ascii="Arial" w:cs="Arial" w:eastAsia="Arial" w:hAnsi="Arial"/>
          <w:sz w:val="20"/>
          <w:szCs w:val="20"/>
          <w:color w:val="auto"/>
        </w:rPr>
        <w:t>” means the three-year period beginning November 1, [____], and ending October 31, [____] (the “</w:t>
      </w:r>
      <w:r>
        <w:rPr>
          <w:rFonts w:ascii="Arial" w:cs="Arial" w:eastAsia="Arial" w:hAnsi="Arial"/>
          <w:sz w:val="20"/>
          <w:szCs w:val="20"/>
          <w:i w:val="1"/>
          <w:iCs w:val="1"/>
          <w:color w:val="auto"/>
        </w:rPr>
        <w:t>Ending Date</w:t>
      </w:r>
      <w:r>
        <w:rPr>
          <w:rFonts w:ascii="Arial" w:cs="Arial" w:eastAsia="Arial" w:hAnsi="Arial"/>
          <w:sz w:val="20"/>
          <w:szCs w:val="20"/>
          <w:color w:val="auto"/>
        </w:rPr>
        <w:t>”) and the term “</w:t>
      </w:r>
      <w:r>
        <w:rPr>
          <w:rFonts w:ascii="Arial" w:cs="Arial" w:eastAsia="Arial" w:hAnsi="Arial"/>
          <w:sz w:val="20"/>
          <w:szCs w:val="20"/>
          <w:i w:val="1"/>
          <w:iCs w:val="1"/>
          <w:color w:val="auto"/>
        </w:rPr>
        <w:t>Performance Goal</w:t>
      </w:r>
      <w:r>
        <w:rPr>
          <w:rFonts w:ascii="Arial" w:cs="Arial" w:eastAsia="Arial" w:hAnsi="Arial"/>
          <w:sz w:val="20"/>
          <w:szCs w:val="20"/>
          <w:color w:val="auto"/>
        </w:rPr>
        <w:t>” means the attainment of the following goal:</w:t>
      </w:r>
    </w:p>
    <w:p>
      <w:pPr>
        <w:spacing w:after="0" w:line="323" w:lineRule="exact"/>
        <w:rPr>
          <w:sz w:val="20"/>
          <w:szCs w:val="20"/>
          <w:color w:val="auto"/>
        </w:rPr>
      </w:pPr>
    </w:p>
    <w:tbl>
      <w:tblPr>
        <w:tblLayout w:type="fixed"/>
        <w:tblInd w:w="1510" w:type="dxa"/>
        <w:tblCellMar>
          <w:top w:w="0" w:type="dxa"/>
          <w:left w:w="0" w:type="dxa"/>
          <w:bottom w:w="0" w:type="dxa"/>
          <w:right w:w="0" w:type="dxa"/>
        </w:tblCellMar>
      </w:tblPr>
      <w:tr>
        <w:trPr>
          <w:trHeight w:val="274"/>
        </w:trPr>
        <w:tc>
          <w:tcPr>
            <w:tcW w:w="3660" w:type="dxa"/>
            <w:vAlign w:val="bottom"/>
            <w:tcBorders>
              <w:top w:val="single" w:sz="8" w:color="auto"/>
              <w:left w:val="single" w:sz="8" w:color="auto"/>
              <w:right w:val="single" w:sz="8" w:color="auto"/>
            </w:tcBorders>
          </w:tcPr>
          <w:p>
            <w:pPr>
              <w:spacing w:after="0"/>
              <w:rPr>
                <w:sz w:val="23"/>
                <w:szCs w:val="23"/>
                <w:color w:val="auto"/>
              </w:rPr>
            </w:pPr>
          </w:p>
        </w:tc>
        <w:tc>
          <w:tcPr>
            <w:tcW w:w="4620" w:type="dxa"/>
            <w:vAlign w:val="bottom"/>
            <w:tcBorders>
              <w:top w:val="single" w:sz="8" w:color="auto"/>
              <w:right w:val="single" w:sz="8" w:color="auto"/>
            </w:tcBorders>
          </w:tcPr>
          <w:p>
            <w:pPr>
              <w:jc w:val="right"/>
              <w:ind w:right="1221"/>
              <w:spacing w:after="0"/>
              <w:rPr>
                <w:sz w:val="20"/>
                <w:szCs w:val="20"/>
                <w:color w:val="auto"/>
              </w:rPr>
            </w:pPr>
            <w:r>
              <w:rPr>
                <w:rFonts w:ascii="Arial" w:cs="Arial" w:eastAsia="Arial" w:hAnsi="Arial"/>
                <w:sz w:val="20"/>
                <w:szCs w:val="20"/>
                <w:color w:val="auto"/>
              </w:rPr>
              <w:t>[___________________]</w:t>
            </w:r>
          </w:p>
        </w:tc>
      </w:tr>
      <w:tr>
        <w:trPr>
          <w:trHeight w:val="104"/>
        </w:trPr>
        <w:tc>
          <w:tcPr>
            <w:tcW w:w="3660" w:type="dxa"/>
            <w:vAlign w:val="bottom"/>
            <w:tcBorders>
              <w:left w:val="single" w:sz="8" w:color="auto"/>
              <w:bottom w:val="single" w:sz="8" w:color="auto"/>
              <w:right w:val="single" w:sz="8" w:color="auto"/>
            </w:tcBorders>
          </w:tcPr>
          <w:p>
            <w:pPr>
              <w:spacing w:after="0"/>
              <w:rPr>
                <w:sz w:val="9"/>
                <w:szCs w:val="9"/>
                <w:color w:val="auto"/>
              </w:rPr>
            </w:pPr>
          </w:p>
        </w:tc>
        <w:tc>
          <w:tcPr>
            <w:tcW w:w="4620" w:type="dxa"/>
            <w:vAlign w:val="bottom"/>
            <w:tcBorders>
              <w:bottom w:val="single" w:sz="8" w:color="auto"/>
              <w:right w:val="single" w:sz="8" w:color="auto"/>
            </w:tcBorders>
          </w:tcPr>
          <w:p>
            <w:pPr>
              <w:spacing w:after="0"/>
              <w:rPr>
                <w:sz w:val="9"/>
                <w:szCs w:val="9"/>
                <w:color w:val="auto"/>
              </w:rPr>
            </w:pPr>
          </w:p>
        </w:tc>
      </w:tr>
      <w:tr>
        <w:trPr>
          <w:trHeight w:val="254"/>
        </w:trPr>
        <w:tc>
          <w:tcPr>
            <w:tcW w:w="3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Maximum Milestone</w:t>
            </w:r>
          </w:p>
        </w:tc>
        <w:tc>
          <w:tcPr>
            <w:tcW w:w="4620" w:type="dxa"/>
            <w:vAlign w:val="bottom"/>
            <w:tcBorders>
              <w:right w:val="single" w:sz="8" w:color="auto"/>
            </w:tcBorders>
          </w:tcPr>
          <w:p>
            <w:pPr>
              <w:jc w:val="right"/>
              <w:ind w:right="1221"/>
              <w:spacing w:after="0"/>
              <w:rPr>
                <w:sz w:val="20"/>
                <w:szCs w:val="20"/>
                <w:color w:val="auto"/>
              </w:rPr>
            </w:pPr>
            <w:r>
              <w:rPr>
                <w:rFonts w:ascii="Arial" w:cs="Arial" w:eastAsia="Arial" w:hAnsi="Arial"/>
                <w:sz w:val="20"/>
                <w:szCs w:val="20"/>
                <w:color w:val="auto"/>
              </w:rPr>
              <w:t>[___________________]</w:t>
            </w:r>
          </w:p>
        </w:tc>
      </w:tr>
      <w:tr>
        <w:trPr>
          <w:trHeight w:val="104"/>
        </w:trPr>
        <w:tc>
          <w:tcPr>
            <w:tcW w:w="3660" w:type="dxa"/>
            <w:vAlign w:val="bottom"/>
            <w:tcBorders>
              <w:left w:val="single" w:sz="8" w:color="auto"/>
              <w:bottom w:val="single" w:sz="8" w:color="auto"/>
              <w:right w:val="single" w:sz="8" w:color="auto"/>
            </w:tcBorders>
          </w:tcPr>
          <w:p>
            <w:pPr>
              <w:spacing w:after="0"/>
              <w:rPr>
                <w:sz w:val="9"/>
                <w:szCs w:val="9"/>
                <w:color w:val="auto"/>
              </w:rPr>
            </w:pPr>
          </w:p>
        </w:tc>
        <w:tc>
          <w:tcPr>
            <w:tcW w:w="4620" w:type="dxa"/>
            <w:vAlign w:val="bottom"/>
            <w:tcBorders>
              <w:bottom w:val="single" w:sz="8" w:color="auto"/>
              <w:right w:val="single" w:sz="8" w:color="auto"/>
            </w:tcBorders>
          </w:tcPr>
          <w:p>
            <w:pPr>
              <w:spacing w:after="0"/>
              <w:rPr>
                <w:sz w:val="9"/>
                <w:szCs w:val="9"/>
                <w:color w:val="auto"/>
              </w:rPr>
            </w:pPr>
          </w:p>
        </w:tc>
      </w:tr>
      <w:tr>
        <w:trPr>
          <w:trHeight w:val="254"/>
        </w:trPr>
        <w:tc>
          <w:tcPr>
            <w:tcW w:w="3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Target Milestone</w:t>
            </w:r>
          </w:p>
        </w:tc>
        <w:tc>
          <w:tcPr>
            <w:tcW w:w="4620" w:type="dxa"/>
            <w:vAlign w:val="bottom"/>
            <w:tcBorders>
              <w:right w:val="single" w:sz="8" w:color="auto"/>
            </w:tcBorders>
          </w:tcPr>
          <w:p>
            <w:pPr>
              <w:jc w:val="right"/>
              <w:ind w:right="1221"/>
              <w:spacing w:after="0"/>
              <w:rPr>
                <w:sz w:val="20"/>
                <w:szCs w:val="20"/>
                <w:color w:val="auto"/>
              </w:rPr>
            </w:pPr>
            <w:r>
              <w:rPr>
                <w:rFonts w:ascii="Arial" w:cs="Arial" w:eastAsia="Arial" w:hAnsi="Arial"/>
                <w:sz w:val="20"/>
                <w:szCs w:val="20"/>
                <w:color w:val="auto"/>
              </w:rPr>
              <w:t>[___________________]</w:t>
            </w:r>
          </w:p>
        </w:tc>
      </w:tr>
      <w:tr>
        <w:trPr>
          <w:trHeight w:val="104"/>
        </w:trPr>
        <w:tc>
          <w:tcPr>
            <w:tcW w:w="3660" w:type="dxa"/>
            <w:vAlign w:val="bottom"/>
            <w:tcBorders>
              <w:left w:val="single" w:sz="8" w:color="auto"/>
              <w:bottom w:val="single" w:sz="8" w:color="auto"/>
              <w:right w:val="single" w:sz="8" w:color="auto"/>
            </w:tcBorders>
          </w:tcPr>
          <w:p>
            <w:pPr>
              <w:spacing w:after="0"/>
              <w:rPr>
                <w:sz w:val="9"/>
                <w:szCs w:val="9"/>
                <w:color w:val="auto"/>
              </w:rPr>
            </w:pPr>
          </w:p>
        </w:tc>
        <w:tc>
          <w:tcPr>
            <w:tcW w:w="4620" w:type="dxa"/>
            <w:vAlign w:val="bottom"/>
            <w:tcBorders>
              <w:bottom w:val="single" w:sz="8" w:color="auto"/>
              <w:right w:val="single" w:sz="8" w:color="auto"/>
            </w:tcBorders>
          </w:tcPr>
          <w:p>
            <w:pPr>
              <w:spacing w:after="0"/>
              <w:rPr>
                <w:sz w:val="9"/>
                <w:szCs w:val="9"/>
                <w:color w:val="auto"/>
              </w:rPr>
            </w:pPr>
          </w:p>
        </w:tc>
      </w:tr>
      <w:tr>
        <w:trPr>
          <w:trHeight w:val="254"/>
        </w:trPr>
        <w:tc>
          <w:tcPr>
            <w:tcW w:w="3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Threshold Milestone</w:t>
            </w:r>
          </w:p>
        </w:tc>
        <w:tc>
          <w:tcPr>
            <w:tcW w:w="4620" w:type="dxa"/>
            <w:vAlign w:val="bottom"/>
            <w:tcBorders>
              <w:right w:val="single" w:sz="8" w:color="auto"/>
            </w:tcBorders>
          </w:tcPr>
          <w:p>
            <w:pPr>
              <w:jc w:val="right"/>
              <w:ind w:right="1221"/>
              <w:spacing w:after="0"/>
              <w:rPr>
                <w:sz w:val="20"/>
                <w:szCs w:val="20"/>
                <w:color w:val="auto"/>
              </w:rPr>
            </w:pPr>
            <w:r>
              <w:rPr>
                <w:rFonts w:ascii="Arial" w:cs="Arial" w:eastAsia="Arial" w:hAnsi="Arial"/>
                <w:sz w:val="20"/>
                <w:szCs w:val="20"/>
                <w:color w:val="auto"/>
              </w:rPr>
              <w:t>[___________________]</w:t>
            </w:r>
          </w:p>
        </w:tc>
      </w:tr>
      <w:tr>
        <w:trPr>
          <w:trHeight w:val="104"/>
        </w:trPr>
        <w:tc>
          <w:tcPr>
            <w:tcW w:w="3660" w:type="dxa"/>
            <w:vAlign w:val="bottom"/>
            <w:tcBorders>
              <w:left w:val="single" w:sz="8" w:color="auto"/>
              <w:bottom w:val="single" w:sz="8" w:color="auto"/>
              <w:right w:val="single" w:sz="8" w:color="auto"/>
            </w:tcBorders>
          </w:tcPr>
          <w:p>
            <w:pPr>
              <w:spacing w:after="0"/>
              <w:rPr>
                <w:sz w:val="9"/>
                <w:szCs w:val="9"/>
                <w:color w:val="auto"/>
              </w:rPr>
            </w:pPr>
          </w:p>
        </w:tc>
        <w:tc>
          <w:tcPr>
            <w:tcW w:w="462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29" w:lineRule="exact"/>
        <w:rPr>
          <w:sz w:val="20"/>
          <w:szCs w:val="20"/>
          <w:color w:val="auto"/>
        </w:rPr>
      </w:pPr>
    </w:p>
    <w:p>
      <w:pPr>
        <w:jc w:val="both"/>
        <w:ind w:left="660"/>
        <w:spacing w:after="0" w:line="246" w:lineRule="auto"/>
        <w:rPr>
          <w:sz w:val="20"/>
          <w:szCs w:val="20"/>
          <w:color w:val="auto"/>
        </w:rPr>
      </w:pPr>
      <w:r>
        <w:rPr>
          <w:rFonts w:ascii="Arial" w:cs="Arial" w:eastAsia="Arial" w:hAnsi="Arial"/>
          <w:sz w:val="20"/>
          <w:szCs w:val="20"/>
          <w:color w:val="auto"/>
        </w:rPr>
        <w:t>This Award shall “vest” (as described in Section 2 of this Agreement) on the date on which the Committee certifies that the Performance Goal has been satisfied or, if earlier, on the date you are otherwise entitled to receive a payment under Section 5 of this Agreement. For purposes of this Agreement, the term “</w:t>
      </w:r>
      <w:r>
        <w:rPr>
          <w:rFonts w:ascii="Arial" w:cs="Arial" w:eastAsia="Arial" w:hAnsi="Arial"/>
          <w:sz w:val="20"/>
          <w:szCs w:val="20"/>
          <w:i w:val="1"/>
          <w:iCs w:val="1"/>
          <w:color w:val="auto"/>
        </w:rPr>
        <w:t>Common Stock</w:t>
      </w:r>
      <w:r>
        <w:rPr>
          <w:rFonts w:ascii="Arial" w:cs="Arial" w:eastAsia="Arial" w:hAnsi="Arial"/>
          <w:sz w:val="20"/>
          <w:szCs w:val="20"/>
          <w:color w:val="auto"/>
        </w:rPr>
        <w:t>” shall mean the Company’s common stock, $0.01 par value per share.</w:t>
      </w:r>
    </w:p>
    <w:p>
      <w:pPr>
        <w:spacing w:after="0" w:line="199" w:lineRule="exact"/>
        <w:rPr>
          <w:sz w:val="20"/>
          <w:szCs w:val="20"/>
          <w:color w:val="auto"/>
        </w:rPr>
      </w:pPr>
    </w:p>
    <w:p>
      <w:pPr>
        <w:jc w:val="both"/>
        <w:ind w:left="660" w:hanging="652"/>
        <w:spacing w:after="0" w:line="268" w:lineRule="auto"/>
        <w:tabs>
          <w:tab w:leader="none" w:pos="660" w:val="left"/>
        </w:tabs>
        <w:numPr>
          <w:ilvl w:val="0"/>
          <w:numId w:val="26"/>
        </w:numPr>
        <w:rPr>
          <w:rFonts w:ascii="Arial" w:cs="Arial" w:eastAsia="Arial" w:hAnsi="Arial"/>
          <w:sz w:val="22"/>
          <w:szCs w:val="22"/>
          <w:b w:val="1"/>
          <w:bCs w:val="1"/>
          <w:color w:val="auto"/>
        </w:rPr>
      </w:pPr>
      <w:r>
        <w:rPr>
          <w:rFonts w:ascii="Arial" w:cs="Arial" w:eastAsia="Arial" w:hAnsi="Arial"/>
          <w:sz w:val="20"/>
          <w:szCs w:val="20"/>
          <w:b w:val="1"/>
          <w:bCs w:val="1"/>
          <w:u w:val="single" w:color="auto"/>
          <w:color w:val="auto"/>
        </w:rPr>
        <w:t>AWARD MODIFIER</w:t>
      </w:r>
      <w:r>
        <w:rPr>
          <w:rFonts w:ascii="Arial" w:cs="Arial" w:eastAsia="Arial" w:hAnsi="Arial"/>
          <w:sz w:val="20"/>
          <w:szCs w:val="20"/>
          <w:color w:val="auto"/>
        </w:rPr>
        <w:t>. The aggregate number of Performance Shares to vest under this Agreement is equal to the Target Number of</w:t>
      </w:r>
      <w:r>
        <w:rPr>
          <w:rFonts w:ascii="Arial" w:cs="Arial" w:eastAsia="Arial" w:hAnsi="Arial"/>
          <w:sz w:val="20"/>
          <w:szCs w:val="20"/>
          <w:b w:val="1"/>
          <w:bCs w:val="1"/>
          <w:color w:val="auto"/>
        </w:rPr>
        <w:t xml:space="preserve"> </w:t>
      </w:r>
      <w:r>
        <w:rPr>
          <w:rFonts w:ascii="Arial" w:cs="Arial" w:eastAsia="Arial" w:hAnsi="Arial"/>
          <w:sz w:val="20"/>
          <w:szCs w:val="20"/>
          <w:color w:val="auto"/>
        </w:rPr>
        <w:t>Performance Shares set forth above multiplied by the award modifier set forth below (the “</w:t>
      </w:r>
      <w:r>
        <w:rPr>
          <w:rFonts w:ascii="Arial" w:cs="Arial" w:eastAsia="Arial" w:hAnsi="Arial"/>
          <w:sz w:val="20"/>
          <w:szCs w:val="20"/>
          <w:i w:val="1"/>
          <w:iCs w:val="1"/>
          <w:color w:val="auto"/>
        </w:rPr>
        <w:t>Award Modifier</w:t>
      </w:r>
      <w:r>
        <w:rPr>
          <w:rFonts w:ascii="Arial" w:cs="Arial" w:eastAsia="Arial" w:hAnsi="Arial"/>
          <w:sz w:val="20"/>
          <w:szCs w:val="20"/>
          <w:color w:val="auto"/>
        </w:rPr>
        <w:t>”). For purposes of this Agreement, such Performance Shares shall be referred to as the “</w:t>
      </w:r>
      <w:r>
        <w:rPr>
          <w:rFonts w:ascii="Arial" w:cs="Arial" w:eastAsia="Arial" w:hAnsi="Arial"/>
          <w:sz w:val="20"/>
          <w:szCs w:val="20"/>
          <w:i w:val="1"/>
          <w:iCs w:val="1"/>
          <w:color w:val="auto"/>
        </w:rPr>
        <w:t>Vested Shares.</w:t>
      </w:r>
      <w:r>
        <w:rPr>
          <w:rFonts w:ascii="Arial" w:cs="Arial" w:eastAsia="Arial" w:hAnsi="Arial"/>
          <w:sz w:val="20"/>
          <w:szCs w:val="20"/>
          <w:color w:val="auto"/>
        </w:rPr>
        <w:t>”</w:t>
      </w:r>
    </w:p>
    <w:p>
      <w:pPr>
        <w:spacing w:after="0" w:line="195" w:lineRule="exact"/>
        <w:rPr>
          <w:rFonts w:ascii="Arial" w:cs="Arial" w:eastAsia="Arial" w:hAnsi="Arial"/>
          <w:sz w:val="22"/>
          <w:szCs w:val="22"/>
          <w:b w:val="1"/>
          <w:bCs w:val="1"/>
          <w:color w:val="auto"/>
        </w:rPr>
      </w:pPr>
    </w:p>
    <w:p>
      <w:pPr>
        <w:ind w:left="660"/>
        <w:spacing w:after="0"/>
        <w:rPr>
          <w:rFonts w:ascii="Arial" w:cs="Arial" w:eastAsia="Arial" w:hAnsi="Arial"/>
          <w:sz w:val="22"/>
          <w:szCs w:val="22"/>
          <w:b w:val="1"/>
          <w:bCs w:val="1"/>
          <w:color w:val="auto"/>
        </w:rPr>
      </w:pPr>
      <w:r>
        <w:rPr>
          <w:rFonts w:ascii="Arial" w:cs="Arial" w:eastAsia="Arial" w:hAnsi="Arial"/>
          <w:sz w:val="20"/>
          <w:szCs w:val="20"/>
          <w:color w:val="auto"/>
        </w:rPr>
        <w:t>The following table shows the requisite performance and applicable Award Modifiers for the Award.</w:t>
      </w:r>
    </w:p>
    <w:p>
      <w:pPr>
        <w:spacing w:after="0" w:line="374" w:lineRule="exact"/>
        <w:rPr>
          <w:sz w:val="20"/>
          <w:szCs w:val="20"/>
          <w:color w:val="auto"/>
        </w:rPr>
      </w:pPr>
    </w:p>
    <w:tbl>
      <w:tblPr>
        <w:tblLayout w:type="fixed"/>
        <w:tblInd w:w="1550" w:type="dxa"/>
        <w:tblCellMar>
          <w:top w:w="0" w:type="dxa"/>
          <w:left w:w="0" w:type="dxa"/>
          <w:bottom w:w="0" w:type="dxa"/>
          <w:right w:w="0" w:type="dxa"/>
        </w:tblCellMar>
      </w:tblPr>
      <w:tr>
        <w:trPr>
          <w:trHeight w:val="274"/>
        </w:trPr>
        <w:tc>
          <w:tcPr>
            <w:tcW w:w="2800" w:type="dxa"/>
            <w:vAlign w:val="bottom"/>
            <w:tcBorders>
              <w:right w:val="single" w:sz="8" w:color="auto"/>
            </w:tcBorders>
          </w:tcPr>
          <w:p>
            <w:pPr>
              <w:spacing w:after="0"/>
              <w:rPr>
                <w:sz w:val="23"/>
                <w:szCs w:val="23"/>
                <w:color w:val="auto"/>
              </w:rPr>
            </w:pPr>
          </w:p>
        </w:tc>
        <w:tc>
          <w:tcPr>
            <w:tcW w:w="2780" w:type="dxa"/>
            <w:vAlign w:val="bottom"/>
            <w:tcBorders>
              <w:top w:val="single" w:sz="8" w:color="auto"/>
              <w:right w:val="single" w:sz="8" w:color="auto"/>
            </w:tcBorders>
            <w:shd w:val="clear" w:color="auto" w:fill="D9D9D9"/>
          </w:tcPr>
          <w:p>
            <w:pPr>
              <w:jc w:val="right"/>
              <w:ind w:right="301"/>
              <w:spacing w:after="0"/>
              <w:rPr>
                <w:sz w:val="20"/>
                <w:szCs w:val="20"/>
                <w:color w:val="auto"/>
              </w:rPr>
            </w:pPr>
            <w:r>
              <w:rPr>
                <w:rFonts w:ascii="Arial" w:cs="Arial" w:eastAsia="Arial" w:hAnsi="Arial"/>
                <w:sz w:val="20"/>
                <w:szCs w:val="20"/>
                <w:color w:val="auto"/>
              </w:rPr>
              <w:t>[___________________]</w:t>
            </w:r>
          </w:p>
        </w:tc>
        <w:tc>
          <w:tcPr>
            <w:tcW w:w="2620" w:type="dxa"/>
            <w:vAlign w:val="bottom"/>
            <w:tcBorders>
              <w:top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20"/>
                <w:szCs w:val="20"/>
                <w:b w:val="1"/>
                <w:bCs w:val="1"/>
                <w:color w:val="auto"/>
                <w:w w:val="94"/>
              </w:rPr>
              <w:t>Award Modifier</w:t>
            </w:r>
          </w:p>
        </w:tc>
      </w:tr>
      <w:tr>
        <w:trPr>
          <w:trHeight w:val="104"/>
        </w:trPr>
        <w:tc>
          <w:tcPr>
            <w:tcW w:w="2800" w:type="dxa"/>
            <w:vAlign w:val="bottom"/>
            <w:tcBorders>
              <w:bottom w:val="single" w:sz="8" w:color="auto"/>
              <w:right w:val="single" w:sz="8" w:color="auto"/>
            </w:tcBorders>
          </w:tcPr>
          <w:p>
            <w:pPr>
              <w:spacing w:after="0"/>
              <w:rPr>
                <w:sz w:val="9"/>
                <w:szCs w:val="9"/>
                <w:color w:val="auto"/>
              </w:rPr>
            </w:pPr>
          </w:p>
        </w:tc>
        <w:tc>
          <w:tcPr>
            <w:tcW w:w="2780" w:type="dxa"/>
            <w:vAlign w:val="bottom"/>
            <w:tcBorders>
              <w:bottom w:val="single" w:sz="8" w:color="auto"/>
              <w:right w:val="single" w:sz="8" w:color="auto"/>
            </w:tcBorders>
            <w:shd w:val="clear" w:color="auto" w:fill="D9D9D9"/>
          </w:tcPr>
          <w:p>
            <w:pPr>
              <w:spacing w:after="0"/>
              <w:rPr>
                <w:sz w:val="9"/>
                <w:szCs w:val="9"/>
                <w:color w:val="auto"/>
              </w:rPr>
            </w:pPr>
          </w:p>
        </w:tc>
        <w:tc>
          <w:tcPr>
            <w:tcW w:w="2620" w:type="dxa"/>
            <w:vAlign w:val="bottom"/>
            <w:tcBorders>
              <w:bottom w:val="single" w:sz="8" w:color="auto"/>
              <w:right w:val="single" w:sz="8" w:color="auto"/>
            </w:tcBorders>
            <w:shd w:val="clear" w:color="auto" w:fill="D9D9D9"/>
          </w:tcPr>
          <w:p>
            <w:pPr>
              <w:spacing w:after="0"/>
              <w:rPr>
                <w:sz w:val="9"/>
                <w:szCs w:val="9"/>
                <w:color w:val="auto"/>
              </w:rPr>
            </w:pPr>
          </w:p>
        </w:tc>
      </w:tr>
      <w:tr>
        <w:trPr>
          <w:trHeight w:val="254"/>
        </w:trPr>
        <w:tc>
          <w:tcPr>
            <w:tcW w:w="2800" w:type="dxa"/>
            <w:vAlign w:val="bottom"/>
            <w:tcBorders>
              <w:left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20"/>
                <w:szCs w:val="20"/>
                <w:b w:val="1"/>
                <w:bCs w:val="1"/>
                <w:color w:val="auto"/>
                <w:w w:val="91"/>
              </w:rPr>
              <w:t>Maximum Milestone</w:t>
            </w:r>
          </w:p>
        </w:tc>
        <w:tc>
          <w:tcPr>
            <w:tcW w:w="2780" w:type="dxa"/>
            <w:vAlign w:val="bottom"/>
            <w:tcBorders>
              <w:right w:val="single" w:sz="8" w:color="auto"/>
            </w:tcBorders>
          </w:tcPr>
          <w:p>
            <w:pPr>
              <w:jc w:val="right"/>
              <w:ind w:right="301"/>
              <w:spacing w:after="0"/>
              <w:rPr>
                <w:sz w:val="20"/>
                <w:szCs w:val="20"/>
                <w:color w:val="auto"/>
              </w:rPr>
            </w:pPr>
            <w:r>
              <w:rPr>
                <w:rFonts w:ascii="Arial" w:cs="Arial" w:eastAsia="Arial" w:hAnsi="Arial"/>
                <w:sz w:val="20"/>
                <w:szCs w:val="20"/>
                <w:color w:val="auto"/>
              </w:rPr>
              <w:t>[___________________]</w:t>
            </w:r>
          </w:p>
        </w:tc>
        <w:tc>
          <w:tcPr>
            <w:tcW w:w="26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6"/>
              </w:rPr>
              <w:t>[___]%</w:t>
            </w:r>
          </w:p>
        </w:tc>
      </w:tr>
      <w:tr>
        <w:trPr>
          <w:trHeight w:val="104"/>
        </w:trPr>
        <w:tc>
          <w:tcPr>
            <w:tcW w:w="2800" w:type="dxa"/>
            <w:vAlign w:val="bottom"/>
            <w:tcBorders>
              <w:left w:val="single" w:sz="8" w:color="auto"/>
              <w:bottom w:val="single" w:sz="8" w:color="auto"/>
              <w:right w:val="single" w:sz="8" w:color="auto"/>
            </w:tcBorders>
            <w:shd w:val="clear" w:color="auto" w:fill="D9D9D9"/>
          </w:tcPr>
          <w:p>
            <w:pPr>
              <w:spacing w:after="0"/>
              <w:rPr>
                <w:sz w:val="9"/>
                <w:szCs w:val="9"/>
                <w:color w:val="auto"/>
              </w:rPr>
            </w:pPr>
          </w:p>
        </w:tc>
        <w:tc>
          <w:tcPr>
            <w:tcW w:w="2780" w:type="dxa"/>
            <w:vAlign w:val="bottom"/>
            <w:tcBorders>
              <w:bottom w:val="single" w:sz="8" w:color="auto"/>
              <w:right w:val="single" w:sz="8" w:color="auto"/>
            </w:tcBorders>
          </w:tcPr>
          <w:p>
            <w:pPr>
              <w:spacing w:after="0"/>
              <w:rPr>
                <w:sz w:val="9"/>
                <w:szCs w:val="9"/>
                <w:color w:val="auto"/>
              </w:rPr>
            </w:pPr>
          </w:p>
        </w:tc>
        <w:tc>
          <w:tcPr>
            <w:tcW w:w="2620" w:type="dxa"/>
            <w:vAlign w:val="bottom"/>
            <w:tcBorders>
              <w:bottom w:val="single" w:sz="8" w:color="auto"/>
              <w:right w:val="single" w:sz="8" w:color="auto"/>
            </w:tcBorders>
          </w:tcPr>
          <w:p>
            <w:pPr>
              <w:spacing w:after="0"/>
              <w:rPr>
                <w:sz w:val="9"/>
                <w:szCs w:val="9"/>
                <w:color w:val="auto"/>
              </w:rPr>
            </w:pPr>
          </w:p>
        </w:tc>
      </w:tr>
      <w:tr>
        <w:trPr>
          <w:trHeight w:val="254"/>
        </w:trPr>
        <w:tc>
          <w:tcPr>
            <w:tcW w:w="2800" w:type="dxa"/>
            <w:vAlign w:val="bottom"/>
            <w:tcBorders>
              <w:left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20"/>
                <w:szCs w:val="20"/>
                <w:b w:val="1"/>
                <w:bCs w:val="1"/>
                <w:color w:val="auto"/>
                <w:w w:val="89"/>
              </w:rPr>
              <w:t>Target Milestone</w:t>
            </w:r>
          </w:p>
        </w:tc>
        <w:tc>
          <w:tcPr>
            <w:tcW w:w="2780" w:type="dxa"/>
            <w:vAlign w:val="bottom"/>
            <w:tcBorders>
              <w:right w:val="single" w:sz="8" w:color="auto"/>
            </w:tcBorders>
          </w:tcPr>
          <w:p>
            <w:pPr>
              <w:jc w:val="right"/>
              <w:ind w:right="301"/>
              <w:spacing w:after="0"/>
              <w:rPr>
                <w:sz w:val="20"/>
                <w:szCs w:val="20"/>
                <w:color w:val="auto"/>
              </w:rPr>
            </w:pPr>
            <w:r>
              <w:rPr>
                <w:rFonts w:ascii="Arial" w:cs="Arial" w:eastAsia="Arial" w:hAnsi="Arial"/>
                <w:sz w:val="20"/>
                <w:szCs w:val="20"/>
                <w:color w:val="auto"/>
              </w:rPr>
              <w:t>[___________________]</w:t>
            </w:r>
          </w:p>
        </w:tc>
        <w:tc>
          <w:tcPr>
            <w:tcW w:w="26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6"/>
              </w:rPr>
              <w:t>[___]%</w:t>
            </w:r>
          </w:p>
        </w:tc>
      </w:tr>
      <w:tr>
        <w:trPr>
          <w:trHeight w:val="104"/>
        </w:trPr>
        <w:tc>
          <w:tcPr>
            <w:tcW w:w="2800" w:type="dxa"/>
            <w:vAlign w:val="bottom"/>
            <w:tcBorders>
              <w:left w:val="single" w:sz="8" w:color="auto"/>
              <w:bottom w:val="single" w:sz="8" w:color="auto"/>
              <w:right w:val="single" w:sz="8" w:color="auto"/>
            </w:tcBorders>
            <w:shd w:val="clear" w:color="auto" w:fill="D9D9D9"/>
          </w:tcPr>
          <w:p>
            <w:pPr>
              <w:spacing w:after="0"/>
              <w:rPr>
                <w:sz w:val="9"/>
                <w:szCs w:val="9"/>
                <w:color w:val="auto"/>
              </w:rPr>
            </w:pPr>
          </w:p>
        </w:tc>
        <w:tc>
          <w:tcPr>
            <w:tcW w:w="2780" w:type="dxa"/>
            <w:vAlign w:val="bottom"/>
            <w:tcBorders>
              <w:bottom w:val="single" w:sz="8" w:color="auto"/>
              <w:right w:val="single" w:sz="8" w:color="auto"/>
            </w:tcBorders>
          </w:tcPr>
          <w:p>
            <w:pPr>
              <w:spacing w:after="0"/>
              <w:rPr>
                <w:sz w:val="9"/>
                <w:szCs w:val="9"/>
                <w:color w:val="auto"/>
              </w:rPr>
            </w:pPr>
          </w:p>
        </w:tc>
        <w:tc>
          <w:tcPr>
            <w:tcW w:w="2620" w:type="dxa"/>
            <w:vAlign w:val="bottom"/>
            <w:tcBorders>
              <w:bottom w:val="single" w:sz="8" w:color="auto"/>
              <w:right w:val="single" w:sz="8" w:color="auto"/>
            </w:tcBorders>
          </w:tcPr>
          <w:p>
            <w:pPr>
              <w:spacing w:after="0"/>
              <w:rPr>
                <w:sz w:val="9"/>
                <w:szCs w:val="9"/>
                <w:color w:val="auto"/>
              </w:rPr>
            </w:pPr>
          </w:p>
        </w:tc>
      </w:tr>
      <w:tr>
        <w:trPr>
          <w:trHeight w:val="254"/>
        </w:trPr>
        <w:tc>
          <w:tcPr>
            <w:tcW w:w="2800" w:type="dxa"/>
            <w:vAlign w:val="bottom"/>
            <w:tcBorders>
              <w:left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20"/>
                <w:szCs w:val="20"/>
                <w:b w:val="1"/>
                <w:bCs w:val="1"/>
                <w:color w:val="auto"/>
                <w:w w:val="89"/>
              </w:rPr>
              <w:t>Threshold Milestone</w:t>
            </w:r>
          </w:p>
        </w:tc>
        <w:tc>
          <w:tcPr>
            <w:tcW w:w="2780" w:type="dxa"/>
            <w:vAlign w:val="bottom"/>
            <w:tcBorders>
              <w:right w:val="single" w:sz="8" w:color="auto"/>
            </w:tcBorders>
          </w:tcPr>
          <w:p>
            <w:pPr>
              <w:jc w:val="right"/>
              <w:ind w:right="301"/>
              <w:spacing w:after="0"/>
              <w:rPr>
                <w:sz w:val="20"/>
                <w:szCs w:val="20"/>
                <w:color w:val="auto"/>
              </w:rPr>
            </w:pPr>
            <w:r>
              <w:rPr>
                <w:rFonts w:ascii="Arial" w:cs="Arial" w:eastAsia="Arial" w:hAnsi="Arial"/>
                <w:sz w:val="20"/>
                <w:szCs w:val="20"/>
                <w:color w:val="auto"/>
              </w:rPr>
              <w:t>[___________________]</w:t>
            </w:r>
          </w:p>
        </w:tc>
        <w:tc>
          <w:tcPr>
            <w:tcW w:w="26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6"/>
              </w:rPr>
              <w:t>[___]%</w:t>
            </w:r>
          </w:p>
        </w:tc>
      </w:tr>
      <w:tr>
        <w:trPr>
          <w:trHeight w:val="104"/>
        </w:trPr>
        <w:tc>
          <w:tcPr>
            <w:tcW w:w="2800" w:type="dxa"/>
            <w:vAlign w:val="bottom"/>
            <w:tcBorders>
              <w:left w:val="single" w:sz="8" w:color="auto"/>
              <w:bottom w:val="single" w:sz="8" w:color="auto"/>
              <w:right w:val="single" w:sz="8" w:color="auto"/>
            </w:tcBorders>
            <w:shd w:val="clear" w:color="auto" w:fill="D9D9D9"/>
          </w:tcPr>
          <w:p>
            <w:pPr>
              <w:spacing w:after="0"/>
              <w:rPr>
                <w:sz w:val="9"/>
                <w:szCs w:val="9"/>
                <w:color w:val="auto"/>
              </w:rPr>
            </w:pPr>
          </w:p>
        </w:tc>
        <w:tc>
          <w:tcPr>
            <w:tcW w:w="2780" w:type="dxa"/>
            <w:vAlign w:val="bottom"/>
            <w:tcBorders>
              <w:bottom w:val="single" w:sz="8" w:color="auto"/>
              <w:right w:val="single" w:sz="8" w:color="auto"/>
            </w:tcBorders>
          </w:tcPr>
          <w:p>
            <w:pPr>
              <w:spacing w:after="0"/>
              <w:rPr>
                <w:sz w:val="9"/>
                <w:szCs w:val="9"/>
                <w:color w:val="auto"/>
              </w:rPr>
            </w:pPr>
          </w:p>
        </w:tc>
        <w:tc>
          <w:tcPr>
            <w:tcW w:w="2620" w:type="dxa"/>
            <w:vAlign w:val="bottom"/>
            <w:tcBorders>
              <w:bottom w:val="single" w:sz="8" w:color="auto"/>
              <w:right w:val="single" w:sz="8" w:color="auto"/>
            </w:tcBorders>
          </w:tcPr>
          <w:p>
            <w:pPr>
              <w:spacing w:after="0"/>
              <w:rPr>
                <w:sz w:val="9"/>
                <w:szCs w:val="9"/>
                <w:color w:val="auto"/>
              </w:rPr>
            </w:pPr>
          </w:p>
        </w:tc>
      </w:tr>
    </w:tbl>
    <w:p>
      <w:pPr>
        <w:spacing w:after="0" w:line="240" w:lineRule="exact"/>
        <w:rPr>
          <w:sz w:val="20"/>
          <w:szCs w:val="20"/>
          <w:color w:val="auto"/>
        </w:rPr>
      </w:pPr>
    </w:p>
    <w:p>
      <w:pPr>
        <w:ind w:left="660" w:right="880"/>
        <w:spacing w:after="0" w:line="260" w:lineRule="auto"/>
        <w:rPr>
          <w:sz w:val="20"/>
          <w:szCs w:val="20"/>
          <w:color w:val="auto"/>
        </w:rPr>
      </w:pPr>
      <w:r>
        <w:rPr>
          <w:rFonts w:ascii="Arial" w:cs="Arial" w:eastAsia="Arial" w:hAnsi="Arial"/>
          <w:sz w:val="20"/>
          <w:szCs w:val="20"/>
          <w:color w:val="auto"/>
        </w:rPr>
        <w:t>Performance below the threshold milestone will result in 0% Award Modifier. The Award Modifier will be interpolated for performance between threshold and target milestones, and target and maximum milestones.</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Award Determination</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For avoidance of doubt, awards will be determined in accordance with the following formula:</w:t>
      </w:r>
    </w:p>
    <w:p>
      <w:pPr>
        <w:spacing w:after="0" w:line="216" w:lineRule="exact"/>
        <w:rPr>
          <w:sz w:val="20"/>
          <w:szCs w:val="20"/>
          <w:color w:val="auto"/>
        </w:rPr>
      </w:pPr>
    </w:p>
    <w:p>
      <w:pPr>
        <w:ind w:left="980"/>
        <w:spacing w:after="0"/>
        <w:rPr>
          <w:sz w:val="20"/>
          <w:szCs w:val="20"/>
          <w:color w:val="auto"/>
        </w:rPr>
      </w:pPr>
      <w:r>
        <w:rPr>
          <w:rFonts w:ascii="Arial" w:cs="Arial" w:eastAsia="Arial" w:hAnsi="Arial"/>
          <w:sz w:val="20"/>
          <w:szCs w:val="20"/>
          <w:color w:val="auto"/>
        </w:rPr>
        <w:t>Target Number of Performance Shares x Applicable Award Modifier = Total Vested Performance Shares</w:t>
      </w:r>
    </w:p>
    <w:p>
      <w:pPr>
        <w:spacing w:after="0" w:line="218"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3.</w:t>
      </w:r>
      <w:r>
        <w:rPr>
          <w:sz w:val="20"/>
          <w:szCs w:val="20"/>
          <w:color w:val="auto"/>
        </w:rPr>
        <w:tab/>
      </w:r>
      <w:r>
        <w:rPr>
          <w:rFonts w:ascii="Arial" w:cs="Arial" w:eastAsia="Arial" w:hAnsi="Arial"/>
          <w:sz w:val="20"/>
          <w:szCs w:val="20"/>
          <w:b w:val="1"/>
          <w:bCs w:val="1"/>
          <w:u w:val="single" w:color="auto"/>
          <w:color w:val="auto"/>
        </w:rPr>
        <w:t>PAYMENT</w:t>
      </w:r>
      <w:r>
        <w:rPr>
          <w:rFonts w:ascii="Arial" w:cs="Arial" w:eastAsia="Arial" w:hAnsi="Arial"/>
          <w:sz w:val="20"/>
          <w:szCs w:val="20"/>
          <w:b w:val="1"/>
          <w:bCs w:val="1"/>
          <w:color w:val="auto"/>
        </w:rPr>
        <w:t xml:space="preserve">. </w:t>
      </w:r>
      <w:r>
        <w:rPr>
          <w:rFonts w:ascii="Arial" w:cs="Arial" w:eastAsia="Arial" w:hAnsi="Arial"/>
          <w:sz w:val="20"/>
          <w:szCs w:val="20"/>
          <w:color w:val="auto"/>
        </w:rPr>
        <w:t>The total value (the “</w:t>
      </w:r>
      <w:r>
        <w:rPr>
          <w:rFonts w:ascii="Arial" w:cs="Arial" w:eastAsia="Arial" w:hAnsi="Arial"/>
          <w:sz w:val="20"/>
          <w:szCs w:val="20"/>
          <w:i w:val="1"/>
          <w:iCs w:val="1"/>
          <w:color w:val="auto"/>
        </w:rPr>
        <w:t>Earned Amount</w:t>
      </w:r>
      <w:r>
        <w:rPr>
          <w:rFonts w:ascii="Arial" w:cs="Arial" w:eastAsia="Arial" w:hAnsi="Arial"/>
          <w:sz w:val="20"/>
          <w:szCs w:val="20"/>
          <w:color w:val="auto"/>
        </w:rPr>
        <w:t>”) owed to you in connection with this Agreement will be determined by</w:t>
      </w:r>
    </w:p>
    <w:p>
      <w:pPr>
        <w:sectPr>
          <w:pgSz w:w="11900" w:h="16865" w:orient="portrait"/>
          <w:cols w:equalWidth="0" w:num="1">
            <w:col w:w="11240"/>
          </w:cols>
          <w:pgMar w:left="320" w:top="1102" w:right="339" w:bottom="0" w:gutter="0" w:footer="0" w:header="0"/>
        </w:sectPr>
      </w:pP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multiplying the number of Total Vested Performance Shares by the average Fair Market Value of the Common Stock for the last ten</w:t>
      </w:r>
    </w:p>
    <w:p>
      <w:pPr>
        <w:sectPr>
          <w:pgSz w:w="11900" w:h="16865" w:orient="portrait"/>
          <w:cols w:equalWidth="0" w:num="1">
            <w:col w:w="11240"/>
          </w:cols>
          <w:pgMar w:left="320" w:top="1102" w:right="339" w:bottom="0" w:gutter="0" w:footer="0" w:header="0"/>
          <w:type w:val="continuous"/>
        </w:sectPr>
      </w:pPr>
    </w:p>
    <w:bookmarkStart w:id="57" w:name="page58"/>
    <w:bookmarkEnd w:id="57"/>
    <w:p>
      <w:pPr>
        <w:jc w:val="both"/>
        <w:ind w:left="652"/>
        <w:spacing w:after="0" w:line="316" w:lineRule="auto"/>
        <w:rPr>
          <w:sz w:val="20"/>
          <w:szCs w:val="20"/>
          <w:color w:val="auto"/>
        </w:rPr>
      </w:pPr>
      <w:r>
        <w:rPr>
          <w:rFonts w:ascii="Arial" w:cs="Arial" w:eastAsia="Arial" w:hAnsi="Arial"/>
          <w:sz w:val="19"/>
          <w:szCs w:val="19"/>
          <w:color w:val="auto"/>
        </w:rPr>
        <w:t>trading days of the Performance Period. Except as otherwise expressly provided herein, the total value owed to you based on the calculations set forth above will be paid to you one hundred percent (100%) in cash (the “</w:t>
      </w:r>
      <w:r>
        <w:rPr>
          <w:rFonts w:ascii="Arial" w:cs="Arial" w:eastAsia="Arial" w:hAnsi="Arial"/>
          <w:sz w:val="19"/>
          <w:szCs w:val="19"/>
          <w:i w:val="1"/>
          <w:iCs w:val="1"/>
          <w:color w:val="auto"/>
        </w:rPr>
        <w:t>Cash Payment</w:t>
      </w:r>
      <w:r>
        <w:rPr>
          <w:rFonts w:ascii="Arial" w:cs="Arial" w:eastAsia="Arial" w:hAnsi="Arial"/>
          <w:sz w:val="19"/>
          <w:szCs w:val="19"/>
          <w:color w:val="auto"/>
        </w:rPr>
        <w:t>”).</w:t>
      </w:r>
    </w:p>
    <w:p>
      <w:pPr>
        <w:spacing w:after="0" w:line="140" w:lineRule="exact"/>
        <w:rPr>
          <w:sz w:val="20"/>
          <w:szCs w:val="20"/>
          <w:color w:val="auto"/>
        </w:rPr>
      </w:pPr>
    </w:p>
    <w:p>
      <w:pPr>
        <w:jc w:val="both"/>
        <w:ind w:left="652"/>
        <w:spacing w:after="0" w:line="243" w:lineRule="auto"/>
        <w:rPr>
          <w:sz w:val="20"/>
          <w:szCs w:val="20"/>
          <w:color w:val="auto"/>
        </w:rPr>
      </w:pPr>
      <w:r>
        <w:rPr>
          <w:rFonts w:ascii="Arial" w:cs="Arial" w:eastAsia="Arial" w:hAnsi="Arial"/>
          <w:sz w:val="20"/>
          <w:szCs w:val="20"/>
          <w:color w:val="auto"/>
        </w:rPr>
        <w:t>Any amount payable to you pursuant to this Agreement will be paid to you by the legal entity that is a member of the group comprising the Company and all Affiliates (collectively, the “</w:t>
      </w:r>
      <w:r>
        <w:rPr>
          <w:rFonts w:ascii="Arial" w:cs="Arial" w:eastAsia="Arial" w:hAnsi="Arial"/>
          <w:sz w:val="20"/>
          <w:szCs w:val="20"/>
          <w:i w:val="1"/>
          <w:iCs w:val="1"/>
          <w:color w:val="auto"/>
        </w:rPr>
        <w:t>Company Group</w:t>
      </w:r>
      <w:r>
        <w:rPr>
          <w:rFonts w:ascii="Arial" w:cs="Arial" w:eastAsia="Arial" w:hAnsi="Arial"/>
          <w:sz w:val="20"/>
          <w:szCs w:val="20"/>
          <w:color w:val="auto"/>
        </w:rPr>
        <w:t>”) and that is classified as your employer (the “</w:t>
      </w:r>
      <w:r>
        <w:rPr>
          <w:rFonts w:ascii="Arial" w:cs="Arial" w:eastAsia="Arial" w:hAnsi="Arial"/>
          <w:sz w:val="20"/>
          <w:szCs w:val="20"/>
          <w:i w:val="1"/>
          <w:iCs w:val="1"/>
          <w:color w:val="auto"/>
        </w:rPr>
        <w:t>Employer</w:t>
      </w:r>
      <w:r>
        <w:rPr>
          <w:rFonts w:ascii="Arial" w:cs="Arial" w:eastAsia="Arial" w:hAnsi="Arial"/>
          <w:sz w:val="20"/>
          <w:szCs w:val="20"/>
          <w:color w:val="auto"/>
        </w:rPr>
        <w:t>”) (or the Company, as applicable), as soon as administratively practicable following the date of the Committee’s certification that the Performance Goal has been satisfied, but no later than March 15 of the calendar year following the calendar year in which the Ending Date occurs (the “</w:t>
      </w:r>
      <w:r>
        <w:rPr>
          <w:rFonts w:ascii="Arial" w:cs="Arial" w:eastAsia="Arial" w:hAnsi="Arial"/>
          <w:sz w:val="20"/>
          <w:szCs w:val="20"/>
          <w:i w:val="1"/>
          <w:iCs w:val="1"/>
          <w:color w:val="auto"/>
        </w:rPr>
        <w:t>Payment Date</w:t>
      </w:r>
      <w:r>
        <w:rPr>
          <w:rFonts w:ascii="Arial" w:cs="Arial" w:eastAsia="Arial" w:hAnsi="Arial"/>
          <w:sz w:val="20"/>
          <w:szCs w:val="20"/>
          <w:color w:val="auto"/>
        </w:rPr>
        <w:t>”). The Cash Payment made to you under this Agreement will be issued and made to you in exchange for the Performance Shares and thereafter you shall have no further rights with respect to such Performance Shares or this Agreement.</w:t>
      </w:r>
    </w:p>
    <w:p>
      <w:pPr>
        <w:spacing w:after="0" w:line="200" w:lineRule="exact"/>
        <w:rPr>
          <w:sz w:val="20"/>
          <w:szCs w:val="20"/>
          <w:color w:val="auto"/>
        </w:rPr>
      </w:pPr>
    </w:p>
    <w:p>
      <w:pPr>
        <w:ind w:left="652" w:right="8020" w:hanging="652"/>
        <w:spacing w:after="0" w:line="452" w:lineRule="auto"/>
        <w:tabs>
          <w:tab w:leader="none" w:pos="652" w:val="left"/>
        </w:tabs>
        <w:numPr>
          <w:ilvl w:val="0"/>
          <w:numId w:val="27"/>
        </w:numPr>
        <w:rPr>
          <w:rFonts w:ascii="Arial" w:cs="Arial" w:eastAsia="Arial" w:hAnsi="Arial"/>
          <w:sz w:val="22"/>
          <w:szCs w:val="22"/>
          <w:b w:val="1"/>
          <w:bCs w:val="1"/>
          <w:color w:val="auto"/>
        </w:rPr>
      </w:pPr>
      <w:r>
        <w:rPr>
          <w:rFonts w:ascii="Arial" w:cs="Arial" w:eastAsia="Arial" w:hAnsi="Arial"/>
          <w:sz w:val="20"/>
          <w:szCs w:val="20"/>
          <w:b w:val="1"/>
          <w:bCs w:val="1"/>
          <w:u w:val="single" w:color="auto"/>
          <w:color w:val="auto"/>
        </w:rPr>
        <w:t>EXAMPLE CALCULATION</w:t>
      </w:r>
      <w:r>
        <w:rPr>
          <w:rFonts w:ascii="Arial" w:cs="Arial" w:eastAsia="Arial" w:hAnsi="Arial"/>
          <w:sz w:val="20"/>
          <w:szCs w:val="20"/>
          <w:b w:val="1"/>
          <w:bCs w:val="1"/>
          <w:color w:val="auto"/>
        </w:rPr>
        <w:t xml:space="preserve">. </w:t>
      </w:r>
      <w:r>
        <w:rPr>
          <w:rFonts w:ascii="Arial" w:cs="Arial" w:eastAsia="Arial" w:hAnsi="Arial"/>
          <w:sz w:val="20"/>
          <w:szCs w:val="20"/>
          <w:color w:val="auto"/>
        </w:rPr>
        <w:t>Assume the following:</w:t>
      </w:r>
    </w:p>
    <w:p>
      <w:pPr>
        <w:ind w:left="1292" w:hanging="320"/>
        <w:spacing w:after="0"/>
        <w:tabs>
          <w:tab w:leader="none" w:pos="1292" w:val="left"/>
        </w:tabs>
        <w:numPr>
          <w:ilvl w:val="1"/>
          <w:numId w:val="27"/>
        </w:numPr>
        <w:rPr>
          <w:rFonts w:ascii="Arial" w:cs="Arial" w:eastAsia="Arial" w:hAnsi="Arial"/>
          <w:sz w:val="20"/>
          <w:szCs w:val="20"/>
          <w:color w:val="auto"/>
        </w:rPr>
      </w:pPr>
      <w:r>
        <w:rPr>
          <w:rFonts w:ascii="Arial" w:cs="Arial" w:eastAsia="Arial" w:hAnsi="Arial"/>
          <w:sz w:val="20"/>
          <w:szCs w:val="20"/>
          <w:color w:val="auto"/>
        </w:rPr>
        <w:t>Performance Share Grant of 1,000 shares.</w:t>
      </w:r>
    </w:p>
    <w:p>
      <w:pPr>
        <w:spacing w:after="0" w:line="215" w:lineRule="exact"/>
        <w:rPr>
          <w:rFonts w:ascii="Arial" w:cs="Arial" w:eastAsia="Arial" w:hAnsi="Arial"/>
          <w:sz w:val="20"/>
          <w:szCs w:val="20"/>
          <w:color w:val="auto"/>
        </w:rPr>
      </w:pPr>
    </w:p>
    <w:p>
      <w:pPr>
        <w:ind w:left="1292" w:hanging="320"/>
        <w:spacing w:after="0"/>
        <w:tabs>
          <w:tab w:leader="none" w:pos="1292" w:val="left"/>
        </w:tabs>
        <w:numPr>
          <w:ilvl w:val="1"/>
          <w:numId w:val="27"/>
        </w:numPr>
        <w:rPr>
          <w:rFonts w:ascii="Arial" w:cs="Arial" w:eastAsia="Arial" w:hAnsi="Arial"/>
          <w:sz w:val="20"/>
          <w:szCs w:val="20"/>
          <w:color w:val="auto"/>
        </w:rPr>
      </w:pPr>
      <w:r>
        <w:rPr>
          <w:rFonts w:ascii="Arial" w:cs="Arial" w:eastAsia="Arial" w:hAnsi="Arial"/>
          <w:sz w:val="20"/>
          <w:szCs w:val="20"/>
          <w:color w:val="auto"/>
        </w:rPr>
        <w:t>Threshold, Target, and Maximum Award Modifiers of 75%, 100%, and 200% respectively.</w:t>
      </w:r>
    </w:p>
    <w:p>
      <w:pPr>
        <w:spacing w:after="0" w:line="215" w:lineRule="exact"/>
        <w:rPr>
          <w:rFonts w:ascii="Arial" w:cs="Arial" w:eastAsia="Arial" w:hAnsi="Arial"/>
          <w:sz w:val="20"/>
          <w:szCs w:val="20"/>
          <w:color w:val="auto"/>
        </w:rPr>
      </w:pPr>
    </w:p>
    <w:p>
      <w:pPr>
        <w:ind w:left="1292" w:hanging="320"/>
        <w:spacing w:after="0"/>
        <w:tabs>
          <w:tab w:leader="none" w:pos="1292" w:val="left"/>
        </w:tabs>
        <w:numPr>
          <w:ilvl w:val="1"/>
          <w:numId w:val="27"/>
        </w:numPr>
        <w:rPr>
          <w:rFonts w:ascii="Arial" w:cs="Arial" w:eastAsia="Arial" w:hAnsi="Arial"/>
          <w:sz w:val="20"/>
          <w:szCs w:val="20"/>
          <w:color w:val="auto"/>
        </w:rPr>
      </w:pPr>
      <w:r>
        <w:rPr>
          <w:rFonts w:ascii="Arial" w:cs="Arial" w:eastAsia="Arial" w:hAnsi="Arial"/>
          <w:sz w:val="20"/>
          <w:szCs w:val="20"/>
          <w:color w:val="auto"/>
        </w:rPr>
        <w:t>Actual Company performance precisely halfway between the Target and Maximum milestones.</w:t>
      </w:r>
    </w:p>
    <w:p>
      <w:pPr>
        <w:spacing w:after="0" w:line="215" w:lineRule="exact"/>
        <w:rPr>
          <w:rFonts w:ascii="Arial" w:cs="Arial" w:eastAsia="Arial" w:hAnsi="Arial"/>
          <w:sz w:val="20"/>
          <w:szCs w:val="20"/>
          <w:color w:val="auto"/>
        </w:rPr>
      </w:pPr>
    </w:p>
    <w:p>
      <w:pPr>
        <w:ind w:left="1292" w:hanging="320"/>
        <w:spacing w:after="0"/>
        <w:tabs>
          <w:tab w:leader="none" w:pos="1292"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average Fair Market Value of the Common Stock for the last ten trading days of the Performance Period is $25.00.</w:t>
      </w:r>
    </w:p>
    <w:p>
      <w:pPr>
        <w:spacing w:after="0" w:line="239" w:lineRule="exact"/>
        <w:rPr>
          <w:sz w:val="20"/>
          <w:szCs w:val="20"/>
          <w:color w:val="auto"/>
        </w:rPr>
      </w:pPr>
    </w:p>
    <w:p>
      <w:pPr>
        <w:ind w:left="652"/>
        <w:spacing w:after="0"/>
        <w:rPr>
          <w:sz w:val="20"/>
          <w:szCs w:val="20"/>
          <w:color w:val="auto"/>
        </w:rPr>
      </w:pPr>
      <w:r>
        <w:rPr>
          <w:rFonts w:ascii="Arial" w:cs="Arial" w:eastAsia="Arial" w:hAnsi="Arial"/>
          <w:sz w:val="20"/>
          <w:szCs w:val="20"/>
          <w:color w:val="auto"/>
        </w:rPr>
        <w:t>The total number of Performance Shares to vest would be calculated as follows:</w:t>
      </w:r>
    </w:p>
    <w:p>
      <w:pPr>
        <w:spacing w:after="0" w:line="216" w:lineRule="exact"/>
        <w:rPr>
          <w:sz w:val="20"/>
          <w:szCs w:val="20"/>
          <w:color w:val="auto"/>
        </w:rPr>
      </w:pPr>
    </w:p>
    <w:p>
      <w:pPr>
        <w:ind w:left="652"/>
        <w:spacing w:after="0"/>
        <w:rPr>
          <w:sz w:val="20"/>
          <w:szCs w:val="20"/>
          <w:color w:val="auto"/>
        </w:rPr>
      </w:pPr>
      <w:r>
        <w:rPr>
          <w:rFonts w:ascii="Arial" w:cs="Arial" w:eastAsia="Arial" w:hAnsi="Arial"/>
          <w:sz w:val="20"/>
          <w:szCs w:val="20"/>
          <w:color w:val="auto"/>
        </w:rPr>
        <w:t>1,000 Performance Shares x 150% Award Modifier = 1,500 Performance Shares</w:t>
      </w:r>
    </w:p>
    <w:p>
      <w:pPr>
        <w:spacing w:after="0" w:line="210" w:lineRule="exact"/>
        <w:rPr>
          <w:sz w:val="20"/>
          <w:szCs w:val="20"/>
          <w:color w:val="auto"/>
        </w:rPr>
      </w:pPr>
    </w:p>
    <w:p>
      <w:pPr>
        <w:ind w:left="652"/>
        <w:spacing w:after="0"/>
        <w:rPr>
          <w:sz w:val="20"/>
          <w:szCs w:val="20"/>
          <w:color w:val="auto"/>
        </w:rPr>
      </w:pPr>
      <w:r>
        <w:rPr>
          <w:rFonts w:ascii="Arial" w:cs="Arial" w:eastAsia="Arial" w:hAnsi="Arial"/>
          <w:sz w:val="20"/>
          <w:szCs w:val="20"/>
          <w:b w:val="1"/>
          <w:bCs w:val="1"/>
          <w:color w:val="auto"/>
        </w:rPr>
        <w:t xml:space="preserve">Total Performance Shares to vest = </w:t>
      </w:r>
      <w:r>
        <w:rPr>
          <w:rFonts w:ascii="Arial" w:cs="Arial" w:eastAsia="Arial" w:hAnsi="Arial"/>
          <w:sz w:val="20"/>
          <w:szCs w:val="20"/>
          <w:b w:val="1"/>
          <w:bCs w:val="1"/>
          <w:u w:val="single" w:color="auto"/>
          <w:color w:val="auto"/>
        </w:rPr>
        <w:t>1,500 Vested Performance Shares</w:t>
      </w:r>
    </w:p>
    <w:p>
      <w:pPr>
        <w:spacing w:after="0" w:line="222" w:lineRule="exact"/>
        <w:rPr>
          <w:sz w:val="20"/>
          <w:szCs w:val="20"/>
          <w:color w:val="auto"/>
        </w:rPr>
      </w:pPr>
    </w:p>
    <w:p>
      <w:pPr>
        <w:ind w:left="652"/>
        <w:spacing w:after="0"/>
        <w:rPr>
          <w:sz w:val="20"/>
          <w:szCs w:val="20"/>
          <w:color w:val="auto"/>
        </w:rPr>
      </w:pPr>
      <w:r>
        <w:rPr>
          <w:rFonts w:ascii="Arial" w:cs="Arial" w:eastAsia="Arial" w:hAnsi="Arial"/>
          <w:sz w:val="20"/>
          <w:szCs w:val="20"/>
          <w:i w:val="1"/>
          <w:iCs w:val="1"/>
          <w:color w:val="auto"/>
        </w:rPr>
        <w:t>Example Payment of Vested Shares:</w:t>
      </w:r>
    </w:p>
    <w:p>
      <w:pPr>
        <w:spacing w:after="0" w:line="108" w:lineRule="exact"/>
        <w:rPr>
          <w:sz w:val="20"/>
          <w:szCs w:val="20"/>
          <w:color w:val="auto"/>
        </w:rPr>
      </w:pPr>
    </w:p>
    <w:p>
      <w:pPr>
        <w:jc w:val="both"/>
        <w:ind w:left="652"/>
        <w:spacing w:after="0" w:line="250" w:lineRule="auto"/>
        <w:rPr>
          <w:sz w:val="20"/>
          <w:szCs w:val="20"/>
          <w:color w:val="auto"/>
        </w:rPr>
      </w:pPr>
      <w:r>
        <w:rPr>
          <w:rFonts w:ascii="Arial" w:cs="Arial" w:eastAsia="Arial" w:hAnsi="Arial"/>
          <w:sz w:val="20"/>
          <w:szCs w:val="20"/>
          <w:color w:val="auto"/>
        </w:rPr>
        <w:t>The executive will receive 100% of the award in cash. The Cash Payment will be equal to 1,500 Vested Shares x the average of the Fair Market Value of Common Stock for the last ten trading days of the Performance Period ($25.00), which results in a Cash Payment of $37,500.</w:t>
      </w:r>
    </w:p>
    <w:p>
      <w:pPr>
        <w:spacing w:after="0" w:line="193" w:lineRule="exact"/>
        <w:rPr>
          <w:sz w:val="20"/>
          <w:szCs w:val="20"/>
          <w:color w:val="auto"/>
        </w:rPr>
      </w:pPr>
    </w:p>
    <w:p>
      <w:pPr>
        <w:jc w:val="both"/>
        <w:ind w:left="652" w:hanging="652"/>
        <w:spacing w:after="0" w:line="267" w:lineRule="auto"/>
        <w:tabs>
          <w:tab w:leader="none" w:pos="652" w:val="left"/>
        </w:tabs>
        <w:numPr>
          <w:ilvl w:val="0"/>
          <w:numId w:val="28"/>
        </w:numPr>
        <w:rPr>
          <w:rFonts w:ascii="Arial" w:cs="Arial" w:eastAsia="Arial" w:hAnsi="Arial"/>
          <w:sz w:val="22"/>
          <w:szCs w:val="22"/>
          <w:b w:val="1"/>
          <w:bCs w:val="1"/>
          <w:color w:val="auto"/>
        </w:rPr>
      </w:pPr>
      <w:r>
        <w:rPr>
          <w:rFonts w:ascii="Arial" w:cs="Arial" w:eastAsia="Arial" w:hAnsi="Arial"/>
          <w:sz w:val="20"/>
          <w:szCs w:val="20"/>
          <w:b w:val="1"/>
          <w:bCs w:val="1"/>
          <w:u w:val="single" w:color="auto"/>
          <w:color w:val="auto"/>
        </w:rPr>
        <w:t>SEPARATION FROM SERVICE/CHANGE IN CONTROL OF THE COMPANY</w:t>
      </w:r>
      <w:r>
        <w:rPr>
          <w:rFonts w:ascii="Arial" w:cs="Arial" w:eastAsia="Arial" w:hAnsi="Arial"/>
          <w:sz w:val="20"/>
          <w:szCs w:val="20"/>
          <w:b w:val="1"/>
          <w:bCs w:val="1"/>
          <w:color w:val="auto"/>
        </w:rPr>
        <w:t xml:space="preserve">. </w:t>
      </w:r>
      <w:r>
        <w:rPr>
          <w:rFonts w:ascii="Arial" w:cs="Arial" w:eastAsia="Arial" w:hAnsi="Arial"/>
          <w:sz w:val="20"/>
          <w:szCs w:val="20"/>
          <w:color w:val="auto"/>
        </w:rPr>
        <w:t>Notwithstanding anything to the contrary in</w:t>
      </w:r>
      <w:r>
        <w:rPr>
          <w:rFonts w:ascii="Arial" w:cs="Arial" w:eastAsia="Arial" w:hAnsi="Arial"/>
          <w:sz w:val="20"/>
          <w:szCs w:val="20"/>
          <w:b w:val="1"/>
          <w:bCs w:val="1"/>
          <w:color w:val="auto"/>
        </w:rPr>
        <w:t xml:space="preserve"> </w:t>
      </w:r>
      <w:r>
        <w:rPr>
          <w:rFonts w:ascii="Arial" w:cs="Arial" w:eastAsia="Arial" w:hAnsi="Arial"/>
          <w:sz w:val="20"/>
          <w:szCs w:val="20"/>
          <w:color w:val="auto"/>
        </w:rPr>
        <w:t>this Agreement, the following provisions will apply in the event of your Separation from Service (within the meaning of Section 409A (your “</w:t>
      </w:r>
      <w:r>
        <w:rPr>
          <w:rFonts w:ascii="Arial" w:cs="Arial" w:eastAsia="Arial" w:hAnsi="Arial"/>
          <w:sz w:val="20"/>
          <w:szCs w:val="20"/>
          <w:i w:val="1"/>
          <w:iCs w:val="1"/>
          <w:color w:val="auto"/>
        </w:rPr>
        <w:t>Separation from Service</w:t>
      </w:r>
      <w:r>
        <w:rPr>
          <w:rFonts w:ascii="Arial" w:cs="Arial" w:eastAsia="Arial" w:hAnsi="Arial"/>
          <w:sz w:val="20"/>
          <w:szCs w:val="20"/>
          <w:color w:val="auto"/>
        </w:rPr>
        <w:t>”)) from the Company Group, or a Change in Control (as such term is defined in the Plan) of the Company occurs, on or before the Ending Date.</w:t>
      </w:r>
    </w:p>
    <w:p>
      <w:pPr>
        <w:spacing w:after="0" w:line="194" w:lineRule="exact"/>
        <w:rPr>
          <w:rFonts w:ascii="Arial" w:cs="Arial" w:eastAsia="Arial" w:hAnsi="Arial"/>
          <w:sz w:val="22"/>
          <w:szCs w:val="22"/>
          <w:b w:val="1"/>
          <w:bCs w:val="1"/>
          <w:color w:val="auto"/>
        </w:rPr>
      </w:pPr>
    </w:p>
    <w:p>
      <w:pPr>
        <w:jc w:val="both"/>
        <w:ind w:left="652"/>
        <w:spacing w:after="0" w:line="271" w:lineRule="auto"/>
        <w:rPr>
          <w:rFonts w:ascii="Arial" w:cs="Arial" w:eastAsia="Arial" w:hAnsi="Arial"/>
          <w:sz w:val="22"/>
          <w:szCs w:val="22"/>
          <w:b w:val="1"/>
          <w:bCs w:val="1"/>
          <w:color w:val="auto"/>
        </w:rPr>
      </w:pPr>
      <w:r>
        <w:rPr>
          <w:rFonts w:ascii="Arial" w:cs="Arial" w:eastAsia="Arial" w:hAnsi="Arial"/>
          <w:sz w:val="22"/>
          <w:szCs w:val="22"/>
          <w:color w:val="auto"/>
        </w:rPr>
        <w:t xml:space="preserve">5.1 </w:t>
      </w:r>
      <w:r>
        <w:rPr>
          <w:rFonts w:ascii="Arial" w:cs="Arial" w:eastAsia="Arial" w:hAnsi="Arial"/>
          <w:sz w:val="19"/>
          <w:szCs w:val="19"/>
          <w:u w:val="single" w:color="auto"/>
          <w:color w:val="auto"/>
        </w:rPr>
        <w:t>Separation from Service Generally</w:t>
      </w:r>
      <w:r>
        <w:rPr>
          <w:rFonts w:ascii="Arial" w:cs="Arial" w:eastAsia="Arial" w:hAnsi="Arial"/>
          <w:sz w:val="19"/>
          <w:szCs w:val="19"/>
          <w:color w:val="auto"/>
        </w:rPr>
        <w:t>. Except as otherwise expressly provided to the contrary in this Section 5, in the event of</w:t>
      </w:r>
      <w:r>
        <w:rPr>
          <w:rFonts w:ascii="Arial" w:cs="Arial" w:eastAsia="Arial" w:hAnsi="Arial"/>
          <w:sz w:val="22"/>
          <w:szCs w:val="22"/>
          <w:color w:val="auto"/>
        </w:rPr>
        <w:t xml:space="preserve"> </w:t>
      </w:r>
      <w:r>
        <w:rPr>
          <w:rFonts w:ascii="Arial" w:cs="Arial" w:eastAsia="Arial" w:hAnsi="Arial"/>
          <w:sz w:val="19"/>
          <w:szCs w:val="19"/>
          <w:color w:val="auto"/>
        </w:rPr>
        <w:t>your Separation from Service on or before the Ending Date, all of your rights in this Agreement, including all rights to the Performance Shares granted to you, will lapse and be completely forfeited without consideration on the date of your Separation from Service.</w:t>
      </w:r>
    </w:p>
    <w:p>
      <w:pPr>
        <w:spacing w:after="0" w:line="190" w:lineRule="exact"/>
        <w:rPr>
          <w:rFonts w:ascii="Arial" w:cs="Arial" w:eastAsia="Arial" w:hAnsi="Arial"/>
          <w:sz w:val="22"/>
          <w:szCs w:val="22"/>
          <w:b w:val="1"/>
          <w:bCs w:val="1"/>
          <w:color w:val="auto"/>
        </w:rPr>
      </w:pPr>
    </w:p>
    <w:p>
      <w:pPr>
        <w:jc w:val="both"/>
        <w:ind w:left="652"/>
        <w:spacing w:after="0" w:line="295" w:lineRule="auto"/>
        <w:rPr>
          <w:rFonts w:ascii="Arial" w:cs="Arial" w:eastAsia="Arial" w:hAnsi="Arial"/>
          <w:sz w:val="22"/>
          <w:szCs w:val="22"/>
          <w:b w:val="1"/>
          <w:bCs w:val="1"/>
          <w:color w:val="auto"/>
        </w:rPr>
      </w:pPr>
      <w:r>
        <w:rPr>
          <w:rFonts w:ascii="Arial" w:cs="Arial" w:eastAsia="Arial" w:hAnsi="Arial"/>
          <w:sz w:val="21"/>
          <w:szCs w:val="21"/>
          <w:color w:val="auto"/>
        </w:rPr>
        <w:t xml:space="preserve">5.2 </w:t>
      </w:r>
      <w:r>
        <w:rPr>
          <w:rFonts w:ascii="Arial" w:cs="Arial" w:eastAsia="Arial" w:hAnsi="Arial"/>
          <w:sz w:val="18"/>
          <w:szCs w:val="18"/>
          <w:u w:val="single" w:color="auto"/>
          <w:color w:val="auto"/>
        </w:rPr>
        <w:t>Change in Control of the Company</w:t>
      </w:r>
      <w:r>
        <w:rPr>
          <w:rFonts w:ascii="Arial" w:cs="Arial" w:eastAsia="Arial" w:hAnsi="Arial"/>
          <w:sz w:val="18"/>
          <w:szCs w:val="18"/>
          <w:color w:val="auto"/>
        </w:rPr>
        <w:t>. If a Change in Control of the Company occurs on or before the Ending Date, you do not</w:t>
      </w:r>
      <w:r>
        <w:rPr>
          <w:rFonts w:ascii="Arial" w:cs="Arial" w:eastAsia="Arial" w:hAnsi="Arial"/>
          <w:sz w:val="21"/>
          <w:szCs w:val="21"/>
          <w:color w:val="auto"/>
        </w:rPr>
        <w:t xml:space="preserve"> </w:t>
      </w:r>
      <w:r>
        <w:rPr>
          <w:rFonts w:ascii="Arial" w:cs="Arial" w:eastAsia="Arial" w:hAnsi="Arial"/>
          <w:sz w:val="18"/>
          <w:szCs w:val="18"/>
          <w:color w:val="auto"/>
        </w:rPr>
        <w:t>incur a Separation from Service prior to that time, and the successor company in the Change in Control does not otherwise assume or substitute for the award granted hereby, then no later than ten (10) business days after the closing date of the Change in Control of the Company, the Company or its successor will pay to you an amount in cash equal to the product of the Company’s closing stock price on the date of the Change in Control multiplied by (1) the Vested Shares as calculated as of the date of the Change in Control (i.e., based on actual performance as of the Change in Control), if calculable at that time, or if not so calculable, (2) the Target Number of Performance Shares that were awarded to you under this Agreement for the fiscal year in which the Change in Control of the Company occurs (the “</w:t>
      </w:r>
      <w:r>
        <w:rPr>
          <w:rFonts w:ascii="Arial" w:cs="Arial" w:eastAsia="Arial" w:hAnsi="Arial"/>
          <w:sz w:val="18"/>
          <w:szCs w:val="18"/>
          <w:i w:val="1"/>
          <w:iCs w:val="1"/>
          <w:color w:val="auto"/>
        </w:rPr>
        <w:t>Award Target Value</w:t>
      </w:r>
      <w:r>
        <w:rPr>
          <w:rFonts w:ascii="Arial" w:cs="Arial" w:eastAsia="Arial" w:hAnsi="Arial"/>
          <w:sz w:val="18"/>
          <w:szCs w:val="18"/>
          <w:color w:val="auto"/>
        </w:rPr>
        <w:t>”). Such payment will be made to you in exchange for the Performance Shares and thereafter you shall have no further rights with respect to such Performance Shares or this Agreement and the Company Group will have no further obligations to you pursuant to the Performance Shares or this Agreement. Notwithstanding the foregoing, if a Change in Control constitutes a payment event with respect to the deferral of compensation and payment hereunder is subject to Section 409A, then the transaction or event with respect to such payment must also constitute a “</w:t>
      </w:r>
      <w:r>
        <w:rPr>
          <w:rFonts w:ascii="Arial" w:cs="Arial" w:eastAsia="Arial" w:hAnsi="Arial"/>
          <w:sz w:val="18"/>
          <w:szCs w:val="18"/>
          <w:i w:val="1"/>
          <w:iCs w:val="1"/>
          <w:color w:val="auto"/>
        </w:rPr>
        <w:t>change in control event</w:t>
      </w:r>
      <w:r>
        <w:rPr>
          <w:rFonts w:ascii="Arial" w:cs="Arial" w:eastAsia="Arial" w:hAnsi="Arial"/>
          <w:sz w:val="18"/>
          <w:szCs w:val="18"/>
          <w:color w:val="auto"/>
        </w:rPr>
        <w:t>,” as defined in Treasury Regulation §1.409A-3(i)(5) to the extent required by Section 409A, and if it does not, and the payment does not meet any other exemption under Section 409A, then payment shall be made when it otherwise would have been made, notwithstanding the Change in Control.</w:t>
      </w:r>
    </w:p>
    <w:p>
      <w:pPr>
        <w:spacing w:after="0" w:line="167" w:lineRule="exact"/>
        <w:rPr>
          <w:sz w:val="20"/>
          <w:szCs w:val="20"/>
          <w:color w:val="auto"/>
        </w:rPr>
      </w:pPr>
    </w:p>
    <w:p>
      <w:pPr>
        <w:ind w:left="652"/>
        <w:spacing w:after="0" w:line="275" w:lineRule="auto"/>
        <w:rPr>
          <w:sz w:val="20"/>
          <w:szCs w:val="20"/>
          <w:color w:val="auto"/>
        </w:rPr>
      </w:pPr>
      <w:r>
        <w:rPr>
          <w:rFonts w:ascii="Arial" w:cs="Arial" w:eastAsia="Arial" w:hAnsi="Arial"/>
          <w:sz w:val="18"/>
          <w:szCs w:val="18"/>
          <w:color w:val="auto"/>
        </w:rPr>
        <w:t>If this Award is assumed or substituted for in connection with a Change in Control, and if you incur an involuntary termination by the Company or its successor without Cause, or you voluntarily terminate employment for Good Reason, in each case within twenty-four</w:t>
      </w:r>
    </w:p>
    <w:p>
      <w:pPr>
        <w:spacing w:after="0" w:line="1" w:lineRule="exact"/>
        <w:rPr>
          <w:sz w:val="20"/>
          <w:szCs w:val="20"/>
          <w:color w:val="auto"/>
        </w:rPr>
      </w:pPr>
    </w:p>
    <w:p>
      <w:pPr>
        <w:ind w:left="652" w:hanging="4"/>
        <w:spacing w:after="0" w:line="244" w:lineRule="auto"/>
        <w:tabs>
          <w:tab w:leader="none" w:pos="1038" w:val="left"/>
        </w:tabs>
        <w:numPr>
          <w:ilvl w:val="0"/>
          <w:numId w:val="29"/>
        </w:numPr>
        <w:rPr>
          <w:rFonts w:ascii="Arial" w:cs="Arial" w:eastAsia="Arial" w:hAnsi="Arial"/>
          <w:sz w:val="20"/>
          <w:szCs w:val="20"/>
          <w:color w:val="auto"/>
        </w:rPr>
      </w:pPr>
      <w:r>
        <w:rPr>
          <w:rFonts w:ascii="Arial" w:cs="Arial" w:eastAsia="Arial" w:hAnsi="Arial"/>
          <w:sz w:val="20"/>
          <w:szCs w:val="20"/>
          <w:color w:val="auto"/>
        </w:rPr>
        <w:t>months following the effective date of a Change in Control of the Company, then any unvested portion of this Award shall vest in full upon such termination. For purposes of this Award, the following terms are defined as follows:</w:t>
      </w:r>
    </w:p>
    <w:p>
      <w:pPr>
        <w:spacing w:after="0" w:line="83" w:lineRule="exact"/>
        <w:rPr>
          <w:sz w:val="20"/>
          <w:szCs w:val="20"/>
          <w:color w:val="auto"/>
        </w:rPr>
      </w:pPr>
    </w:p>
    <w:p>
      <w:pPr>
        <w:jc w:val="both"/>
        <w:ind w:left="652"/>
        <w:spacing w:after="0" w:line="282" w:lineRule="auto"/>
        <w:rPr>
          <w:sz w:val="20"/>
          <w:szCs w:val="20"/>
          <w:color w:val="auto"/>
        </w:rPr>
      </w:pPr>
      <w:r>
        <w:rPr>
          <w:rFonts w:ascii="Arial" w:cs="Arial" w:eastAsia="Arial" w:hAnsi="Arial"/>
          <w:sz w:val="18"/>
          <w:szCs w:val="18"/>
          <w:i w:val="1"/>
          <w:iCs w:val="1"/>
          <w:color w:val="auto"/>
        </w:rPr>
        <w:t xml:space="preserve">“Cause” </w:t>
      </w:r>
      <w:r>
        <w:rPr>
          <w:rFonts w:ascii="Arial" w:cs="Arial" w:eastAsia="Arial" w:hAnsi="Arial"/>
          <w:sz w:val="18"/>
          <w:szCs w:val="18"/>
          <w:color w:val="auto"/>
        </w:rPr>
        <w:t>means any action or inaction by you that constitutes (a) gross negligence or willful misconduct in connection with your</w:t>
      </w:r>
      <w:r>
        <w:rPr>
          <w:rFonts w:ascii="Arial" w:cs="Arial" w:eastAsia="Arial" w:hAnsi="Arial"/>
          <w:sz w:val="18"/>
          <w:szCs w:val="18"/>
          <w:i w:val="1"/>
          <w:iCs w:val="1"/>
          <w:color w:val="auto"/>
        </w:rPr>
        <w:t xml:space="preserve"> </w:t>
      </w:r>
      <w:r>
        <w:rPr>
          <w:rFonts w:ascii="Arial" w:cs="Arial" w:eastAsia="Arial" w:hAnsi="Arial"/>
          <w:sz w:val="18"/>
          <w:szCs w:val="18"/>
          <w:color w:val="auto"/>
        </w:rPr>
        <w:t>duties or in the course of your employment with the Company; (b) any act of fraud, embezzlement or theft in connection with your duties or in the course of employment with the Company; (c) intentional wrongful damage to property of the Company; (d) a substantial failure by you to perform your duties after notice to you and a reasonable opportunity to cure; (e) your material breach of</w:t>
      </w:r>
    </w:p>
    <w:p>
      <w:pPr>
        <w:sectPr>
          <w:pgSz w:w="11900" w:h="16838" w:orient="portrait"/>
          <w:cols w:equalWidth="0" w:num="1">
            <w:col w:w="11232"/>
          </w:cols>
          <w:pgMar w:left="328" w:top="136" w:right="339" w:bottom="0" w:gutter="0" w:footer="0" w:header="0"/>
        </w:sectPr>
      </w:pPr>
    </w:p>
    <w:bookmarkStart w:id="58" w:name="page59"/>
    <w:bookmarkEnd w:id="58"/>
    <w:p>
      <w:pPr>
        <w:jc w:val="both"/>
        <w:ind w:left="652" w:right="20"/>
        <w:spacing w:after="0" w:line="261" w:lineRule="auto"/>
        <w:rPr>
          <w:sz w:val="20"/>
          <w:szCs w:val="20"/>
          <w:color w:val="auto"/>
        </w:rPr>
      </w:pPr>
      <w:r>
        <w:rPr>
          <w:rFonts w:ascii="Arial" w:cs="Arial" w:eastAsia="Arial" w:hAnsi="Arial"/>
          <w:sz w:val="20"/>
          <w:szCs w:val="20"/>
          <w:color w:val="auto"/>
        </w:rPr>
        <w:t>restrictive covenants contained in any Company policy or any agreement between you and the Company; or (f) your intentional wrongful disclosure of secret processes or confidential information of the Company.</w:t>
      </w:r>
    </w:p>
    <w:p>
      <w:pPr>
        <w:spacing w:after="0" w:line="189" w:lineRule="exact"/>
        <w:rPr>
          <w:sz w:val="20"/>
          <w:szCs w:val="20"/>
          <w:color w:val="auto"/>
        </w:rPr>
      </w:pPr>
    </w:p>
    <w:p>
      <w:pPr>
        <w:jc w:val="both"/>
        <w:ind w:left="652"/>
        <w:spacing w:after="0" w:line="267" w:lineRule="auto"/>
        <w:rPr>
          <w:sz w:val="20"/>
          <w:szCs w:val="20"/>
          <w:color w:val="auto"/>
        </w:rPr>
      </w:pPr>
      <w:r>
        <w:rPr>
          <w:rFonts w:ascii="Arial" w:cs="Arial" w:eastAsia="Arial" w:hAnsi="Arial"/>
          <w:sz w:val="18"/>
          <w:szCs w:val="18"/>
          <w:i w:val="1"/>
          <w:iCs w:val="1"/>
          <w:color w:val="auto"/>
        </w:rPr>
        <w:t xml:space="preserve">“Good Reason” </w:t>
      </w:r>
      <w:r>
        <w:rPr>
          <w:rFonts w:ascii="Arial" w:cs="Arial" w:eastAsia="Arial" w:hAnsi="Arial"/>
          <w:sz w:val="18"/>
          <w:szCs w:val="18"/>
          <w:color w:val="auto"/>
        </w:rPr>
        <w:t>means, to the extent any such action has been taken without your written consent, the occurrence of any of the</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events: (a) the Company or its successor assigns to you any duties materially inconsistent with your position (including offices, titles and reporting requirements), authority, duties or responsibilities with the Company in effect immediately before the occurrence of the Change in Control, or otherwise makes any material negative change in any such position, authority, duties or responsibilities; (b) the Company or its successor takes any other action that results in a material diminution in such position, authority, duties or responsibilities or otherwise take any action that materially interferes therewith; (c) the Company or its successor materially reduces your annual base salary or target annual bonus as in effect immediately before the occurrence of the Change in Control, other than as part of a reduction of less than ten percent (10%) that is applicable to all executives of the Company or its successor; or (d) the Company or its successor relocates your principal office more than fifty (50) miles from your principal office at the time of the Change in Control, provided that such relocation results in an increase to your daily commute time. A termination for Good Reason also requires that you give the Company written notice of the Good Reason facts and circumstances within sixty (60) days of after becoming aware (or should have become aware) of the applicable facts and circumstances, the Company has an opportunity to cure such circumstances within thirty (30) days after receipt of notice, and you must terminate employment within thirty (30) days after expiration of the Company’s opportunity to cure.</w:t>
      </w:r>
    </w:p>
    <w:p>
      <w:pPr>
        <w:spacing w:after="0" w:line="10" w:lineRule="exact"/>
        <w:rPr>
          <w:sz w:val="20"/>
          <w:szCs w:val="20"/>
          <w:color w:val="auto"/>
        </w:rPr>
      </w:pPr>
    </w:p>
    <w:p>
      <w:pPr>
        <w:jc w:val="both"/>
        <w:ind w:left="652"/>
        <w:spacing w:after="0" w:line="270" w:lineRule="auto"/>
        <w:rPr>
          <w:sz w:val="20"/>
          <w:szCs w:val="20"/>
          <w:color w:val="auto"/>
        </w:rPr>
      </w:pPr>
      <w:r>
        <w:rPr>
          <w:rFonts w:ascii="Arial" w:cs="Arial" w:eastAsia="Arial" w:hAnsi="Arial"/>
          <w:sz w:val="22"/>
          <w:szCs w:val="22"/>
          <w:color w:val="auto"/>
        </w:rPr>
        <w:t xml:space="preserve">5.3 </w:t>
      </w:r>
      <w:r>
        <w:rPr>
          <w:rFonts w:ascii="Arial" w:cs="Arial" w:eastAsia="Arial" w:hAnsi="Arial"/>
          <w:sz w:val="19"/>
          <w:szCs w:val="19"/>
          <w:u w:val="single" w:color="auto"/>
          <w:color w:val="auto"/>
        </w:rPr>
        <w:t>Disability</w:t>
      </w:r>
      <w:r>
        <w:rPr>
          <w:rFonts w:ascii="Arial" w:cs="Arial" w:eastAsia="Arial" w:hAnsi="Arial"/>
          <w:sz w:val="19"/>
          <w:szCs w:val="19"/>
          <w:color w:val="auto"/>
        </w:rPr>
        <w:t>. In the event of your Separation from Service due to your Disability on or before the Ending Date, you will be</w:t>
      </w:r>
      <w:r>
        <w:rPr>
          <w:rFonts w:ascii="Arial" w:cs="Arial" w:eastAsia="Arial" w:hAnsi="Arial"/>
          <w:sz w:val="22"/>
          <w:szCs w:val="22"/>
          <w:color w:val="auto"/>
        </w:rPr>
        <w:t xml:space="preserve"> </w:t>
      </w:r>
      <w:r>
        <w:rPr>
          <w:rFonts w:ascii="Arial" w:cs="Arial" w:eastAsia="Arial" w:hAnsi="Arial"/>
          <w:sz w:val="19"/>
          <w:szCs w:val="19"/>
          <w:color w:val="auto"/>
        </w:rPr>
        <w:t>entitled to receive a Cash Payment based on the Target Number of Performance Shares, as soon as reasonably practicable following your Separation from Service. Such payment will be made to you in exchange for the Performance Shares and thereafter you shall have no further rights with respect to such Performance Shares or this Agreement and the Company Group will have no further obligations to you pursuant to the Performance Shares or this Agreement.</w:t>
      </w:r>
    </w:p>
    <w:p>
      <w:pPr>
        <w:spacing w:after="0" w:line="193" w:lineRule="exact"/>
        <w:rPr>
          <w:sz w:val="20"/>
          <w:szCs w:val="20"/>
          <w:color w:val="auto"/>
        </w:rPr>
      </w:pPr>
    </w:p>
    <w:p>
      <w:pPr>
        <w:jc w:val="both"/>
        <w:ind w:left="652"/>
        <w:spacing w:after="0" w:line="290" w:lineRule="auto"/>
        <w:rPr>
          <w:sz w:val="20"/>
          <w:szCs w:val="20"/>
          <w:color w:val="auto"/>
        </w:rPr>
      </w:pPr>
      <w:r>
        <w:rPr>
          <w:rFonts w:ascii="Arial" w:cs="Arial" w:eastAsia="Arial" w:hAnsi="Arial"/>
          <w:sz w:val="21"/>
          <w:szCs w:val="21"/>
          <w:color w:val="auto"/>
        </w:rPr>
        <w:t xml:space="preserve">5.4 </w:t>
      </w:r>
      <w:r>
        <w:rPr>
          <w:rFonts w:ascii="Arial" w:cs="Arial" w:eastAsia="Arial" w:hAnsi="Arial"/>
          <w:sz w:val="18"/>
          <w:szCs w:val="18"/>
          <w:u w:val="single" w:color="auto"/>
          <w:color w:val="auto"/>
        </w:rPr>
        <w:t>Death</w:t>
      </w:r>
      <w:r>
        <w:rPr>
          <w:rFonts w:ascii="Arial" w:cs="Arial" w:eastAsia="Arial" w:hAnsi="Arial"/>
          <w:sz w:val="18"/>
          <w:szCs w:val="18"/>
          <w:color w:val="auto"/>
        </w:rPr>
        <w:t>. In the event of your Separation from Service due to your death on or before the Ending Date, your estate will be entitled</w:t>
      </w:r>
      <w:r>
        <w:rPr>
          <w:rFonts w:ascii="Arial" w:cs="Arial" w:eastAsia="Arial" w:hAnsi="Arial"/>
          <w:sz w:val="21"/>
          <w:szCs w:val="21"/>
          <w:color w:val="auto"/>
        </w:rPr>
        <w:t xml:space="preserve"> </w:t>
      </w:r>
      <w:r>
        <w:rPr>
          <w:rFonts w:ascii="Arial" w:cs="Arial" w:eastAsia="Arial" w:hAnsi="Arial"/>
          <w:sz w:val="18"/>
          <w:szCs w:val="18"/>
          <w:color w:val="auto"/>
        </w:rPr>
        <w:t>to receive a Cash Payment based on the Target Number of Performance Shares, as soon as reasonably practicable following your Separation from Service. Such payment will be made in exchange for the Performance Shares and thereafter your estate and heirs, executors, and administrators shall have no further rights with respect to such Performance Shares or this Agreement and the Company Group will have no further obligations pursuant to the Performance Shares or this Agreement.</w:t>
      </w:r>
    </w:p>
    <w:p>
      <w:pPr>
        <w:spacing w:after="0" w:line="178" w:lineRule="exact"/>
        <w:rPr>
          <w:sz w:val="20"/>
          <w:szCs w:val="20"/>
          <w:color w:val="auto"/>
        </w:rPr>
      </w:pPr>
    </w:p>
    <w:p>
      <w:pPr>
        <w:jc w:val="both"/>
        <w:ind w:left="652"/>
        <w:spacing w:after="0" w:line="294" w:lineRule="auto"/>
        <w:rPr>
          <w:sz w:val="20"/>
          <w:szCs w:val="20"/>
          <w:color w:val="auto"/>
        </w:rPr>
      </w:pPr>
      <w:r>
        <w:rPr>
          <w:rFonts w:ascii="Arial" w:cs="Arial" w:eastAsia="Arial" w:hAnsi="Arial"/>
          <w:sz w:val="21"/>
          <w:szCs w:val="21"/>
          <w:color w:val="auto"/>
        </w:rPr>
        <w:t xml:space="preserve">5.5 </w:t>
      </w:r>
      <w:r>
        <w:rPr>
          <w:rFonts w:ascii="Arial" w:cs="Arial" w:eastAsia="Arial" w:hAnsi="Arial"/>
          <w:sz w:val="18"/>
          <w:szCs w:val="18"/>
          <w:u w:val="single" w:color="auto"/>
          <w:color w:val="auto"/>
        </w:rPr>
        <w:t>Retirement</w:t>
      </w:r>
      <w:r>
        <w:rPr>
          <w:rFonts w:ascii="Arial" w:cs="Arial" w:eastAsia="Arial" w:hAnsi="Arial"/>
          <w:sz w:val="18"/>
          <w:szCs w:val="18"/>
          <w:color w:val="auto"/>
        </w:rPr>
        <w:t>. In the event of your Separation from Service due to your Retirement on or before the Ending Date, you will be</w:t>
      </w:r>
      <w:r>
        <w:rPr>
          <w:rFonts w:ascii="Arial" w:cs="Arial" w:eastAsia="Arial" w:hAnsi="Arial"/>
          <w:sz w:val="21"/>
          <w:szCs w:val="21"/>
          <w:color w:val="auto"/>
        </w:rPr>
        <w:t xml:space="preserve"> </w:t>
      </w:r>
      <w:r>
        <w:rPr>
          <w:rFonts w:ascii="Arial" w:cs="Arial" w:eastAsia="Arial" w:hAnsi="Arial"/>
          <w:sz w:val="18"/>
          <w:szCs w:val="18"/>
          <w:color w:val="auto"/>
        </w:rPr>
        <w:t>entitled to receive a Cash Payment, on the Payment Date, equal to the product of (1) and (2) where (1) is the amount in cash you would have received under this Agreement if you had not incurred a Separation from Service on or before the Ending Date and (2) is a fraction, the numerator of which is the number of days from the beginning of the Performance Period through the date of your Separation from Service and the denominator of which is the number of days in the Performance Period. Such payment will be made to you in exchange for the Performance Shares and thereafter you shall have no further rights with respect to such Performance Shares or this Agreement and the Company Group will have no further obligations to you pursuant to the Performance Shares or this Agreement. For purposes of this Section 5.5 “</w:t>
      </w:r>
      <w:r>
        <w:rPr>
          <w:rFonts w:ascii="Arial" w:cs="Arial" w:eastAsia="Arial" w:hAnsi="Arial"/>
          <w:sz w:val="18"/>
          <w:szCs w:val="18"/>
          <w:i w:val="1"/>
          <w:iCs w:val="1"/>
          <w:color w:val="auto"/>
        </w:rPr>
        <w:t>Retirement</w:t>
      </w:r>
      <w:r>
        <w:rPr>
          <w:rFonts w:ascii="Arial" w:cs="Arial" w:eastAsia="Arial" w:hAnsi="Arial"/>
          <w:sz w:val="18"/>
          <w:szCs w:val="18"/>
          <w:color w:val="auto"/>
        </w:rPr>
        <w:t>” means your voluntary Separation from Service on or after the date on which (a) you are age 65 or (b) you are age 55 and have five years of service with the Company Group.</w:t>
      </w:r>
    </w:p>
    <w:p>
      <w:pPr>
        <w:spacing w:after="0" w:line="170" w:lineRule="exact"/>
        <w:rPr>
          <w:sz w:val="20"/>
          <w:szCs w:val="20"/>
          <w:color w:val="auto"/>
        </w:rPr>
      </w:pPr>
    </w:p>
    <w:p>
      <w:pPr>
        <w:jc w:val="both"/>
        <w:ind w:left="652" w:hanging="652"/>
        <w:spacing w:after="0" w:line="283" w:lineRule="auto"/>
        <w:tabs>
          <w:tab w:leader="none" w:pos="652" w:val="left"/>
        </w:tabs>
        <w:numPr>
          <w:ilvl w:val="0"/>
          <w:numId w:val="30"/>
        </w:numPr>
        <w:rPr>
          <w:rFonts w:ascii="Arial" w:cs="Arial" w:eastAsia="Arial" w:hAnsi="Arial"/>
          <w:sz w:val="21"/>
          <w:szCs w:val="21"/>
          <w:b w:val="1"/>
          <w:bCs w:val="1"/>
          <w:color w:val="auto"/>
        </w:rPr>
      </w:pPr>
      <w:r>
        <w:rPr>
          <w:rFonts w:ascii="Arial" w:cs="Arial" w:eastAsia="Arial" w:hAnsi="Arial"/>
          <w:sz w:val="19"/>
          <w:szCs w:val="19"/>
          <w:b w:val="1"/>
          <w:bCs w:val="1"/>
          <w:u w:val="single" w:color="auto"/>
          <w:color w:val="auto"/>
        </w:rPr>
        <w:t>TAX WITHHOLDING</w:t>
      </w:r>
      <w:r>
        <w:rPr>
          <w:rFonts w:ascii="Arial" w:cs="Arial" w:eastAsia="Arial" w:hAnsi="Arial"/>
          <w:sz w:val="19"/>
          <w:szCs w:val="19"/>
          <w:color w:val="auto"/>
        </w:rPr>
        <w:t>. To the extent that any payment pursuant to this Agreement results in income, wages or other compensation</w:t>
      </w:r>
      <w:r>
        <w:rPr>
          <w:rFonts w:ascii="Arial" w:cs="Arial" w:eastAsia="Arial" w:hAnsi="Arial"/>
          <w:sz w:val="19"/>
          <w:szCs w:val="19"/>
          <w:b w:val="1"/>
          <w:bCs w:val="1"/>
          <w:color w:val="auto"/>
        </w:rPr>
        <w:t xml:space="preserve"> </w:t>
      </w:r>
      <w:r>
        <w:rPr>
          <w:rFonts w:ascii="Arial" w:cs="Arial" w:eastAsia="Arial" w:hAnsi="Arial"/>
          <w:sz w:val="19"/>
          <w:szCs w:val="19"/>
          <w:color w:val="auto"/>
        </w:rPr>
        <w:t>to you for any income, employment or other tax purposes with respect to which the Company or the Employer, as applicable, has a withholding obligation, you shall deliver to the Company or the Employer at the time of such payment, as the case may be, such amount of money as the Company or the Employer may require to meet its obligation under applicable tax laws or regulations, and, if you fail to do so, the Company or the Employer is authorized to withhold from any payment under this Agreement, or from any cash or stock remuneration or other payment then or thereafter payable to you by the Company or the Employer, any tax required to be withheld by reason of such taxable income, wages or compensation including (without limitation) shares of Common Stock sufficient to satisfy the withholding obligation based on the last per share sales price of the Common Stock for the trading day immediately preceding the date that the withholding obligation arises, as reported in the New York Stock Exchange Composite Transactions.</w:t>
      </w:r>
    </w:p>
    <w:p>
      <w:pPr>
        <w:spacing w:after="0" w:line="177" w:lineRule="exact"/>
        <w:rPr>
          <w:rFonts w:ascii="Arial" w:cs="Arial" w:eastAsia="Arial" w:hAnsi="Arial"/>
          <w:sz w:val="21"/>
          <w:szCs w:val="21"/>
          <w:b w:val="1"/>
          <w:bCs w:val="1"/>
          <w:color w:val="auto"/>
        </w:rPr>
      </w:pPr>
    </w:p>
    <w:p>
      <w:pPr>
        <w:jc w:val="both"/>
        <w:ind w:left="652" w:hanging="652"/>
        <w:spacing w:after="0" w:line="267" w:lineRule="auto"/>
        <w:tabs>
          <w:tab w:leader="none" w:pos="652" w:val="left"/>
        </w:tabs>
        <w:numPr>
          <w:ilvl w:val="0"/>
          <w:numId w:val="30"/>
        </w:numPr>
        <w:rPr>
          <w:rFonts w:ascii="Arial" w:cs="Arial" w:eastAsia="Arial" w:hAnsi="Arial"/>
          <w:sz w:val="22"/>
          <w:szCs w:val="22"/>
          <w:b w:val="1"/>
          <w:bCs w:val="1"/>
          <w:color w:val="auto"/>
        </w:rPr>
      </w:pPr>
      <w:r>
        <w:rPr>
          <w:rFonts w:ascii="Arial" w:cs="Arial" w:eastAsia="Arial" w:hAnsi="Arial"/>
          <w:sz w:val="20"/>
          <w:szCs w:val="20"/>
          <w:b w:val="1"/>
          <w:bCs w:val="1"/>
          <w:u w:val="single" w:color="auto"/>
          <w:color w:val="auto"/>
        </w:rPr>
        <w:t>NONTRANSFERABILITY</w:t>
      </w:r>
      <w:r>
        <w:rPr>
          <w:rFonts w:ascii="Arial" w:cs="Arial" w:eastAsia="Arial" w:hAnsi="Arial"/>
          <w:sz w:val="20"/>
          <w:szCs w:val="20"/>
          <w:b w:val="1"/>
          <w:bCs w:val="1"/>
          <w:color w:val="auto"/>
        </w:rPr>
        <w:t xml:space="preserve">. </w:t>
      </w:r>
      <w:r>
        <w:rPr>
          <w:rFonts w:ascii="Arial" w:cs="Arial" w:eastAsia="Arial" w:hAnsi="Arial"/>
          <w:sz w:val="20"/>
          <w:szCs w:val="20"/>
          <w:color w:val="auto"/>
        </w:rPr>
        <w:t>The Performance Shares and your rights under this Agreement may not be sold, assigned, pledged,</w:t>
      </w:r>
      <w:r>
        <w:rPr>
          <w:rFonts w:ascii="Arial" w:cs="Arial" w:eastAsia="Arial" w:hAnsi="Arial"/>
          <w:sz w:val="20"/>
          <w:szCs w:val="20"/>
          <w:b w:val="1"/>
          <w:bCs w:val="1"/>
          <w:color w:val="auto"/>
        </w:rPr>
        <w:t xml:space="preserve"> </w:t>
      </w:r>
      <w:r>
        <w:rPr>
          <w:rFonts w:ascii="Arial" w:cs="Arial" w:eastAsia="Arial" w:hAnsi="Arial"/>
          <w:sz w:val="20"/>
          <w:szCs w:val="20"/>
          <w:color w:val="auto"/>
        </w:rPr>
        <w:t>exchanged, hypothecated or otherwise transferred, encumbered or disposed of. Any such attempted sale, assignment, pledge, exchange, hypothecation, transfer, encumbrance or disposition in violation of this Agreement shall be void and the Company Group shall not be bound thereby.</w:t>
      </w:r>
    </w:p>
    <w:p>
      <w:pPr>
        <w:spacing w:after="0" w:line="193" w:lineRule="exact"/>
        <w:rPr>
          <w:rFonts w:ascii="Arial" w:cs="Arial" w:eastAsia="Arial" w:hAnsi="Arial"/>
          <w:sz w:val="22"/>
          <w:szCs w:val="22"/>
          <w:b w:val="1"/>
          <w:bCs w:val="1"/>
          <w:color w:val="auto"/>
        </w:rPr>
      </w:pPr>
    </w:p>
    <w:p>
      <w:pPr>
        <w:jc w:val="both"/>
        <w:ind w:left="652" w:hanging="652"/>
        <w:spacing w:after="0" w:line="284" w:lineRule="auto"/>
        <w:tabs>
          <w:tab w:leader="none" w:pos="652" w:val="left"/>
        </w:tabs>
        <w:numPr>
          <w:ilvl w:val="0"/>
          <w:numId w:val="30"/>
        </w:numPr>
        <w:rPr>
          <w:rFonts w:ascii="Arial" w:cs="Arial" w:eastAsia="Arial" w:hAnsi="Arial"/>
          <w:sz w:val="21"/>
          <w:szCs w:val="21"/>
          <w:b w:val="1"/>
          <w:bCs w:val="1"/>
          <w:color w:val="auto"/>
        </w:rPr>
      </w:pPr>
      <w:r>
        <w:rPr>
          <w:rFonts w:ascii="Arial" w:cs="Arial" w:eastAsia="Arial" w:hAnsi="Arial"/>
          <w:sz w:val="19"/>
          <w:szCs w:val="19"/>
          <w:b w:val="1"/>
          <w:bCs w:val="1"/>
          <w:u w:val="single" w:color="auto"/>
          <w:color w:val="auto"/>
        </w:rPr>
        <w:t>CAPITAL ADJUSTMENTS AND REORGANIZATIONS</w:t>
      </w:r>
      <w:r>
        <w:rPr>
          <w:rFonts w:ascii="Arial" w:cs="Arial" w:eastAsia="Arial" w:hAnsi="Arial"/>
          <w:sz w:val="19"/>
          <w:szCs w:val="19"/>
          <w:b w:val="1"/>
          <w:bCs w:val="1"/>
          <w:color w:val="auto"/>
        </w:rPr>
        <w:t xml:space="preserve">. </w:t>
      </w:r>
      <w:r>
        <w:rPr>
          <w:rFonts w:ascii="Arial" w:cs="Arial" w:eastAsia="Arial" w:hAnsi="Arial"/>
          <w:sz w:val="19"/>
          <w:szCs w:val="19"/>
          <w:color w:val="auto"/>
        </w:rPr>
        <w:t>The existence of the Performance Shares shall not affect in any way</w:t>
      </w:r>
      <w:r>
        <w:rPr>
          <w:rFonts w:ascii="Arial" w:cs="Arial" w:eastAsia="Arial" w:hAnsi="Arial"/>
          <w:sz w:val="19"/>
          <w:szCs w:val="19"/>
          <w:b w:val="1"/>
          <w:bCs w:val="1"/>
          <w:color w:val="auto"/>
        </w:rPr>
        <w:t xml:space="preserve"> </w:t>
      </w:r>
      <w:r>
        <w:rPr>
          <w:rFonts w:ascii="Arial" w:cs="Arial" w:eastAsia="Arial" w:hAnsi="Arial"/>
          <w:sz w:val="19"/>
          <w:szCs w:val="19"/>
          <w:color w:val="auto"/>
        </w:rPr>
        <w:t>the right or power of the Company or any company the stock of which is awarded pursuant to the Agreement to make or authorize any adjustment, recapitalization, reorganization or other change in its capital structure or its business, engage in any merger or consolidation, issue any debt or equity securities, dissolve or liquidate, or sell, lease, exchange or otherwise dispose of all or any part of its assets or business, or engage in any other corporate act or proceeding.</w:t>
      </w:r>
    </w:p>
    <w:p>
      <w:pPr>
        <w:spacing w:after="0" w:line="178" w:lineRule="exact"/>
        <w:rPr>
          <w:rFonts w:ascii="Arial" w:cs="Arial" w:eastAsia="Arial" w:hAnsi="Arial"/>
          <w:sz w:val="21"/>
          <w:szCs w:val="21"/>
          <w:b w:val="1"/>
          <w:bCs w:val="1"/>
          <w:color w:val="auto"/>
        </w:rPr>
      </w:pPr>
    </w:p>
    <w:p>
      <w:pPr>
        <w:jc w:val="both"/>
        <w:ind w:left="652" w:hanging="652"/>
        <w:spacing w:after="0" w:line="268" w:lineRule="auto"/>
        <w:tabs>
          <w:tab w:leader="none" w:pos="652" w:val="left"/>
        </w:tabs>
        <w:numPr>
          <w:ilvl w:val="0"/>
          <w:numId w:val="30"/>
        </w:numPr>
        <w:rPr>
          <w:rFonts w:ascii="Arial" w:cs="Arial" w:eastAsia="Arial" w:hAnsi="Arial"/>
          <w:sz w:val="22"/>
          <w:szCs w:val="22"/>
          <w:b w:val="1"/>
          <w:bCs w:val="1"/>
          <w:color w:val="auto"/>
        </w:rPr>
      </w:pPr>
      <w:r>
        <w:rPr>
          <w:rFonts w:ascii="Arial" w:cs="Arial" w:eastAsia="Arial" w:hAnsi="Arial"/>
          <w:sz w:val="20"/>
          <w:szCs w:val="20"/>
          <w:b w:val="1"/>
          <w:bCs w:val="1"/>
          <w:u w:val="single" w:color="auto"/>
          <w:color w:val="auto"/>
        </w:rPr>
        <w:t>PERFORMANCE SHARES DO NOT AWARD CERTAIN RIGHTS OF A SHAREHOLDER</w:t>
      </w:r>
      <w:r>
        <w:rPr>
          <w:rFonts w:ascii="Arial" w:cs="Arial" w:eastAsia="Arial" w:hAnsi="Arial"/>
          <w:sz w:val="20"/>
          <w:szCs w:val="20"/>
          <w:color w:val="auto"/>
        </w:rPr>
        <w:t>. You shall not have the voting</w:t>
      </w:r>
      <w:r>
        <w:rPr>
          <w:rFonts w:ascii="Arial" w:cs="Arial" w:eastAsia="Arial" w:hAnsi="Arial"/>
          <w:sz w:val="20"/>
          <w:szCs w:val="20"/>
          <w:b w:val="1"/>
          <w:bCs w:val="1"/>
          <w:color w:val="auto"/>
        </w:rPr>
        <w:t xml:space="preserve"> </w:t>
      </w:r>
      <w:r>
        <w:rPr>
          <w:rFonts w:ascii="Arial" w:cs="Arial" w:eastAsia="Arial" w:hAnsi="Arial"/>
          <w:sz w:val="20"/>
          <w:szCs w:val="20"/>
          <w:color w:val="auto"/>
        </w:rPr>
        <w:t>rights or any of the other rights, powers or privileges of a holder of the stock of the Company with respect to the Performance Shares that are awarded hereby.</w:t>
      </w:r>
    </w:p>
    <w:p>
      <w:pPr>
        <w:spacing w:after="0" w:line="189" w:lineRule="exact"/>
        <w:rPr>
          <w:rFonts w:ascii="Arial" w:cs="Arial" w:eastAsia="Arial" w:hAnsi="Arial"/>
          <w:sz w:val="22"/>
          <w:szCs w:val="22"/>
          <w:b w:val="1"/>
          <w:bCs w:val="1"/>
          <w:color w:val="auto"/>
        </w:rPr>
      </w:pPr>
    </w:p>
    <w:p>
      <w:pPr>
        <w:ind w:left="652" w:hanging="652"/>
        <w:spacing w:after="0"/>
        <w:tabs>
          <w:tab w:leader="none" w:pos="652" w:val="left"/>
        </w:tabs>
        <w:numPr>
          <w:ilvl w:val="0"/>
          <w:numId w:val="30"/>
        </w:numPr>
        <w:rPr>
          <w:rFonts w:ascii="Arial" w:cs="Arial" w:eastAsia="Arial" w:hAnsi="Arial"/>
          <w:sz w:val="21"/>
          <w:szCs w:val="21"/>
          <w:b w:val="1"/>
          <w:bCs w:val="1"/>
          <w:color w:val="auto"/>
        </w:rPr>
      </w:pPr>
      <w:r>
        <w:rPr>
          <w:rFonts w:ascii="Arial" w:cs="Arial" w:eastAsia="Arial" w:hAnsi="Arial"/>
          <w:sz w:val="19"/>
          <w:szCs w:val="19"/>
          <w:b w:val="1"/>
          <w:bCs w:val="1"/>
          <w:u w:val="single" w:color="auto"/>
          <w:color w:val="auto"/>
        </w:rPr>
        <w:t>RIGHTS TO RECEIVE DIVIDEND EQUIVALENT PAYMENTS</w:t>
      </w:r>
      <w:r>
        <w:rPr>
          <w:rFonts w:ascii="Arial" w:cs="Arial" w:eastAsia="Arial" w:hAnsi="Arial"/>
          <w:sz w:val="19"/>
          <w:szCs w:val="19"/>
          <w:b w:val="1"/>
          <w:bCs w:val="1"/>
          <w:color w:val="auto"/>
        </w:rPr>
        <w:t xml:space="preserve">. </w:t>
      </w:r>
      <w:r>
        <w:rPr>
          <w:rFonts w:ascii="Arial" w:cs="Arial" w:eastAsia="Arial" w:hAnsi="Arial"/>
          <w:sz w:val="19"/>
          <w:szCs w:val="19"/>
          <w:color w:val="auto"/>
        </w:rPr>
        <w:t>You shall be entitled to Dividend Equivalents, pursuant to</w:t>
      </w:r>
    </w:p>
    <w:p>
      <w:pPr>
        <w:sectPr>
          <w:pgSz w:w="11900" w:h="16838" w:orient="portrait"/>
          <w:cols w:equalWidth="0" w:num="1">
            <w:col w:w="11232"/>
          </w:cols>
          <w:pgMar w:left="328" w:top="122" w:right="339" w:bottom="0" w:gutter="0" w:footer="0" w:header="0"/>
        </w:sectPr>
      </w:pPr>
    </w:p>
    <w:p>
      <w:pPr>
        <w:spacing w:after="0" w:line="34" w:lineRule="exact"/>
        <w:rPr>
          <w:sz w:val="20"/>
          <w:szCs w:val="20"/>
          <w:color w:val="auto"/>
        </w:rPr>
      </w:pPr>
    </w:p>
    <w:p>
      <w:pPr>
        <w:ind w:left="652"/>
        <w:spacing w:after="0"/>
        <w:rPr>
          <w:sz w:val="20"/>
          <w:szCs w:val="20"/>
          <w:color w:val="auto"/>
        </w:rPr>
      </w:pPr>
      <w:r>
        <w:rPr>
          <w:rFonts w:ascii="Arial" w:cs="Arial" w:eastAsia="Arial" w:hAnsi="Arial"/>
          <w:sz w:val="18"/>
          <w:szCs w:val="18"/>
          <w:color w:val="auto"/>
        </w:rPr>
        <w:t>which you shall be entitled to receive, pursuant to the Plan, an amount equal to the aggregate regular cash dividends with a record</w:t>
      </w:r>
    </w:p>
    <w:p>
      <w:pPr>
        <w:sectPr>
          <w:pgSz w:w="11900" w:h="16838" w:orient="portrait"/>
          <w:cols w:equalWidth="0" w:num="1">
            <w:col w:w="11232"/>
          </w:cols>
          <w:pgMar w:left="328" w:top="122" w:right="339" w:bottom="0" w:gutter="0" w:footer="0" w:header="0"/>
          <w:type w:val="continuous"/>
        </w:sectPr>
      </w:pPr>
    </w:p>
    <w:bookmarkStart w:id="59" w:name="page60"/>
    <w:bookmarkEnd w:id="59"/>
    <w:p>
      <w:pPr>
        <w:jc w:val="both"/>
        <w:ind w:left="652"/>
        <w:spacing w:after="0" w:line="271" w:lineRule="auto"/>
        <w:rPr>
          <w:sz w:val="20"/>
          <w:szCs w:val="20"/>
          <w:color w:val="auto"/>
        </w:rPr>
      </w:pPr>
      <w:r>
        <w:rPr>
          <w:rFonts w:ascii="Arial" w:cs="Arial" w:eastAsia="Arial" w:hAnsi="Arial"/>
          <w:sz w:val="20"/>
          <w:szCs w:val="20"/>
          <w:color w:val="auto"/>
        </w:rPr>
        <w:t>date during the Performance Period that would have been payable to you with respect to the shares of Common Stock underlying the Award had such shares been outstanding on the applicable record date. Such Dividend Equivalents, cash dividends, stock, and any other property distributed as a dividend or otherwise with respect to the Performance Shares covered by this Award shall be accumulated, and shall be subject to restrictions and risk of forfeiture to the same extent as otherwise set forth in this Agreement. The combined value of any such distributions shall be paid to you in cash at the time such restrictions and risk of forfeiture subject to this Award lapse.</w:t>
      </w:r>
    </w:p>
    <w:p>
      <w:pPr>
        <w:spacing w:after="0" w:line="191" w:lineRule="exact"/>
        <w:rPr>
          <w:sz w:val="20"/>
          <w:szCs w:val="20"/>
          <w:color w:val="auto"/>
        </w:rPr>
      </w:pPr>
    </w:p>
    <w:p>
      <w:pPr>
        <w:jc w:val="both"/>
        <w:ind w:left="652" w:hanging="652"/>
        <w:spacing w:after="0" w:line="285" w:lineRule="auto"/>
        <w:tabs>
          <w:tab w:leader="none" w:pos="652" w:val="left"/>
        </w:tabs>
        <w:numPr>
          <w:ilvl w:val="0"/>
          <w:numId w:val="31"/>
        </w:numPr>
        <w:rPr>
          <w:rFonts w:ascii="Arial" w:cs="Arial" w:eastAsia="Arial" w:hAnsi="Arial"/>
          <w:sz w:val="21"/>
          <w:szCs w:val="21"/>
          <w:b w:val="1"/>
          <w:bCs w:val="1"/>
          <w:color w:val="auto"/>
        </w:rPr>
      </w:pPr>
      <w:r>
        <w:rPr>
          <w:rFonts w:ascii="Arial" w:cs="Arial" w:eastAsia="Arial" w:hAnsi="Arial"/>
          <w:sz w:val="19"/>
          <w:szCs w:val="19"/>
          <w:b w:val="1"/>
          <w:bCs w:val="1"/>
          <w:u w:val="single" w:color="auto"/>
          <w:color w:val="auto"/>
        </w:rPr>
        <w:t>EMPLOYMENT RELATIONSHIP</w:t>
      </w:r>
      <w:r>
        <w:rPr>
          <w:rFonts w:ascii="Arial" w:cs="Arial" w:eastAsia="Arial" w:hAnsi="Arial"/>
          <w:sz w:val="19"/>
          <w:szCs w:val="19"/>
          <w:b w:val="1"/>
          <w:bCs w:val="1"/>
          <w:color w:val="auto"/>
        </w:rPr>
        <w:t xml:space="preserve">. </w:t>
      </w:r>
      <w:r>
        <w:rPr>
          <w:rFonts w:ascii="Arial" w:cs="Arial" w:eastAsia="Arial" w:hAnsi="Arial"/>
          <w:sz w:val="19"/>
          <w:szCs w:val="19"/>
          <w:color w:val="auto"/>
        </w:rPr>
        <w:t>For purposes of the Agreement, you shall be considered to be in the employment of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Group as long as you have an employment relationship with the Company Group. The Committee shall determine any questions as to whether and when there has been a termination of such employment relationship, and the cause of such termination, under the Plan, and the Committee’s determination shall be final and binding on all persons.</w:t>
      </w:r>
    </w:p>
    <w:p>
      <w:pPr>
        <w:spacing w:after="0" w:line="176" w:lineRule="exact"/>
        <w:rPr>
          <w:rFonts w:ascii="Arial" w:cs="Arial" w:eastAsia="Arial" w:hAnsi="Arial"/>
          <w:sz w:val="21"/>
          <w:szCs w:val="21"/>
          <w:b w:val="1"/>
          <w:bCs w:val="1"/>
          <w:color w:val="auto"/>
        </w:rPr>
      </w:pPr>
    </w:p>
    <w:p>
      <w:pPr>
        <w:jc w:val="both"/>
        <w:ind w:left="652" w:hanging="652"/>
        <w:spacing w:after="0" w:line="268" w:lineRule="auto"/>
        <w:tabs>
          <w:tab w:leader="none" w:pos="652" w:val="left"/>
        </w:tabs>
        <w:numPr>
          <w:ilvl w:val="0"/>
          <w:numId w:val="31"/>
        </w:numPr>
        <w:rPr>
          <w:rFonts w:ascii="Arial" w:cs="Arial" w:eastAsia="Arial" w:hAnsi="Arial"/>
          <w:sz w:val="22"/>
          <w:szCs w:val="22"/>
          <w:b w:val="1"/>
          <w:bCs w:val="1"/>
          <w:color w:val="auto"/>
        </w:rPr>
      </w:pPr>
      <w:r>
        <w:rPr>
          <w:rFonts w:ascii="Arial" w:cs="Arial" w:eastAsia="Arial" w:hAnsi="Arial"/>
          <w:sz w:val="20"/>
          <w:szCs w:val="20"/>
          <w:b w:val="1"/>
          <w:bCs w:val="1"/>
          <w:u w:val="single" w:color="auto"/>
          <w:color w:val="auto"/>
        </w:rPr>
        <w:t>NOT AN EMPLOYMENT AGREEMENT</w:t>
      </w:r>
      <w:r>
        <w:rPr>
          <w:rFonts w:ascii="Arial" w:cs="Arial" w:eastAsia="Arial" w:hAnsi="Arial"/>
          <w:sz w:val="20"/>
          <w:szCs w:val="20"/>
          <w:color w:val="auto"/>
        </w:rPr>
        <w:t>. This Agreement is not an employment agreement, and no provision of this Agreement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shall be construed or interpreted to create an employment relationship between you and the Company or any Affiliate or guarantee the right to remain employed by the Company or any Affiliate for any specified term.</w:t>
      </w:r>
    </w:p>
    <w:p>
      <w:pPr>
        <w:spacing w:after="0" w:line="189" w:lineRule="exact"/>
        <w:rPr>
          <w:rFonts w:ascii="Arial" w:cs="Arial" w:eastAsia="Arial" w:hAnsi="Arial"/>
          <w:sz w:val="22"/>
          <w:szCs w:val="22"/>
          <w:b w:val="1"/>
          <w:bCs w:val="1"/>
          <w:color w:val="auto"/>
        </w:rPr>
      </w:pPr>
    </w:p>
    <w:p>
      <w:pPr>
        <w:jc w:val="both"/>
        <w:ind w:left="652" w:hanging="652"/>
        <w:spacing w:after="0" w:line="268" w:lineRule="auto"/>
        <w:tabs>
          <w:tab w:leader="none" w:pos="652" w:val="left"/>
        </w:tabs>
        <w:numPr>
          <w:ilvl w:val="0"/>
          <w:numId w:val="31"/>
        </w:numPr>
        <w:rPr>
          <w:rFonts w:ascii="Arial" w:cs="Arial" w:eastAsia="Arial" w:hAnsi="Arial"/>
          <w:sz w:val="22"/>
          <w:szCs w:val="22"/>
          <w:b w:val="1"/>
          <w:bCs w:val="1"/>
          <w:color w:val="auto"/>
        </w:rPr>
      </w:pPr>
      <w:r>
        <w:rPr>
          <w:rFonts w:ascii="Arial" w:cs="Arial" w:eastAsia="Arial" w:hAnsi="Arial"/>
          <w:sz w:val="20"/>
          <w:szCs w:val="20"/>
          <w:b w:val="1"/>
          <w:bCs w:val="1"/>
          <w:u w:val="single" w:color="auto"/>
          <w:color w:val="auto"/>
        </w:rPr>
        <w:t>LIMIT OF LIABILITY</w:t>
      </w:r>
      <w:r>
        <w:rPr>
          <w:rFonts w:ascii="Arial" w:cs="Arial" w:eastAsia="Arial" w:hAnsi="Arial"/>
          <w:sz w:val="20"/>
          <w:szCs w:val="20"/>
          <w:color w:val="auto"/>
        </w:rPr>
        <w:t>. Under no circumstances will the Company or an Affiliate be liable for any indirect, incidental,</w:t>
      </w:r>
      <w:r>
        <w:rPr>
          <w:rFonts w:ascii="Arial" w:cs="Arial" w:eastAsia="Arial" w:hAnsi="Arial"/>
          <w:sz w:val="20"/>
          <w:szCs w:val="20"/>
          <w:b w:val="1"/>
          <w:bCs w:val="1"/>
          <w:color w:val="auto"/>
        </w:rPr>
        <w:t xml:space="preserve"> </w:t>
      </w:r>
      <w:r>
        <w:rPr>
          <w:rFonts w:ascii="Arial" w:cs="Arial" w:eastAsia="Arial" w:hAnsi="Arial"/>
          <w:sz w:val="20"/>
          <w:szCs w:val="20"/>
          <w:color w:val="auto"/>
        </w:rPr>
        <w:t>consequential or special damages (including lost profits) of any form incurred by any person, whether or not foreseeable and regardless of the form of the act in which such a claim may be brought, with respect to the Plan.</w:t>
      </w:r>
    </w:p>
    <w:p>
      <w:pPr>
        <w:spacing w:after="0" w:line="189" w:lineRule="exact"/>
        <w:rPr>
          <w:rFonts w:ascii="Arial" w:cs="Arial" w:eastAsia="Arial" w:hAnsi="Arial"/>
          <w:sz w:val="22"/>
          <w:szCs w:val="22"/>
          <w:b w:val="1"/>
          <w:bCs w:val="1"/>
          <w:color w:val="auto"/>
        </w:rPr>
      </w:pPr>
    </w:p>
    <w:p>
      <w:pPr>
        <w:jc w:val="both"/>
        <w:ind w:left="652" w:hanging="652"/>
        <w:spacing w:after="0" w:line="301" w:lineRule="auto"/>
        <w:tabs>
          <w:tab w:leader="none" w:pos="652" w:val="left"/>
        </w:tabs>
        <w:numPr>
          <w:ilvl w:val="0"/>
          <w:numId w:val="31"/>
        </w:numPr>
        <w:rPr>
          <w:rFonts w:ascii="Arial" w:cs="Arial" w:eastAsia="Arial" w:hAnsi="Arial"/>
          <w:sz w:val="19"/>
          <w:szCs w:val="19"/>
          <w:b w:val="1"/>
          <w:bCs w:val="1"/>
          <w:color w:val="auto"/>
        </w:rPr>
      </w:pPr>
      <w:r>
        <w:rPr>
          <w:rFonts w:ascii="Arial" w:cs="Arial" w:eastAsia="Arial" w:hAnsi="Arial"/>
          <w:sz w:val="18"/>
          <w:szCs w:val="18"/>
          <w:b w:val="1"/>
          <w:bCs w:val="1"/>
          <w:u w:val="single" w:color="auto"/>
          <w:color w:val="auto"/>
        </w:rPr>
        <w:t>REIMBURSEMENT OF EXECUTIVE COMPENSATION IN RESTATEMENT SITUATIONS.</w:t>
      </w:r>
      <w:r>
        <w:rPr>
          <w:rFonts w:ascii="Arial" w:cs="Arial" w:eastAsia="Arial" w:hAnsi="Arial"/>
          <w:sz w:val="18"/>
          <w:szCs w:val="18"/>
          <w:b w:val="1"/>
          <w:bCs w:val="1"/>
          <w:color w:val="auto"/>
        </w:rPr>
        <w:t xml:space="preserve"> </w:t>
      </w:r>
      <w:r>
        <w:rPr>
          <w:rFonts w:ascii="Arial" w:cs="Arial" w:eastAsia="Arial" w:hAnsi="Arial"/>
          <w:sz w:val="18"/>
          <w:szCs w:val="18"/>
          <w:color w:val="auto"/>
        </w:rPr>
        <w:t>To the extent permitted by</w:t>
      </w:r>
      <w:r>
        <w:rPr>
          <w:rFonts w:ascii="Arial" w:cs="Arial" w:eastAsia="Arial" w:hAnsi="Arial"/>
          <w:sz w:val="18"/>
          <w:szCs w:val="18"/>
          <w:b w:val="1"/>
          <w:bCs w:val="1"/>
          <w:color w:val="auto"/>
        </w:rPr>
        <w:t xml:space="preserve"> </w:t>
      </w:r>
      <w:r>
        <w:rPr>
          <w:rFonts w:ascii="Arial" w:cs="Arial" w:eastAsia="Arial" w:hAnsi="Arial"/>
          <w:sz w:val="18"/>
          <w:szCs w:val="18"/>
          <w:color w:val="auto"/>
        </w:rPr>
        <w:t>law, and as determined by the Board in its judgment, the Company may require reimbursement of a portion of any payment to you under this Agreement when (a) the award payment was predicated upon the achievement of certain financial results that were subsequently the subject of a material restatement and (b) a lower payment would have been made to you based upon the restated financial results. In each such instance, the Company will, to the extent practicable, seek to recover the amount by which your cash payment for the relevant period exceeded the lower payment that would have been made based on the restated financial results. If there are multiple performance metrics and one is more readily calculable to determine whether a lower payment should have been made, then the same ratio or percentage applicable for the readily calculable metric shall be applied to the other metric(s) so that the entire award payment is recovered on a pro-rata basis to the event. No reimbursement shall be required if such material restatement was caused by or resulted from any change in accounting policy or rules.</w:t>
      </w:r>
    </w:p>
    <w:p>
      <w:pPr>
        <w:spacing w:after="0" w:line="170" w:lineRule="exact"/>
        <w:rPr>
          <w:rFonts w:ascii="Arial" w:cs="Arial" w:eastAsia="Arial" w:hAnsi="Arial"/>
          <w:sz w:val="19"/>
          <w:szCs w:val="19"/>
          <w:b w:val="1"/>
          <w:bCs w:val="1"/>
          <w:color w:val="auto"/>
        </w:rPr>
      </w:pPr>
    </w:p>
    <w:p>
      <w:pPr>
        <w:jc w:val="both"/>
        <w:ind w:left="652" w:hanging="652"/>
        <w:spacing w:after="0" w:line="300" w:lineRule="auto"/>
        <w:tabs>
          <w:tab w:leader="none" w:pos="652" w:val="left"/>
        </w:tabs>
        <w:numPr>
          <w:ilvl w:val="0"/>
          <w:numId w:val="31"/>
        </w:numPr>
        <w:rPr>
          <w:rFonts w:ascii="Arial" w:cs="Arial" w:eastAsia="Arial" w:hAnsi="Arial"/>
          <w:sz w:val="19"/>
          <w:szCs w:val="19"/>
          <w:b w:val="1"/>
          <w:bCs w:val="1"/>
          <w:color w:val="auto"/>
        </w:rPr>
      </w:pPr>
      <w:r>
        <w:rPr>
          <w:rFonts w:ascii="Arial" w:cs="Arial" w:eastAsia="Arial" w:hAnsi="Arial"/>
          <w:sz w:val="18"/>
          <w:szCs w:val="18"/>
          <w:b w:val="1"/>
          <w:bCs w:val="1"/>
          <w:u w:val="single" w:color="auto"/>
          <w:color w:val="auto"/>
        </w:rPr>
        <w:t>AGREEMENT TO REPAYMENT OF PERFORMANCE BASED INCENTIVE COMPENSATION WHEN PAYMENTS ARE REQUIRED UNDER FEDERAL LAW OR THE RULES OF AN EXCHANGE</w:t>
      </w:r>
      <w:r>
        <w:rPr>
          <w:rFonts w:ascii="Arial" w:cs="Arial" w:eastAsia="Arial" w:hAnsi="Arial"/>
          <w:sz w:val="18"/>
          <w:szCs w:val="18"/>
          <w:color w:val="auto"/>
        </w:rPr>
        <w:t>. You acknowledge that the Company is a</w:t>
      </w:r>
      <w:r>
        <w:rPr>
          <w:rFonts w:ascii="Arial" w:cs="Arial" w:eastAsia="Arial" w:hAnsi="Arial"/>
          <w:sz w:val="18"/>
          <w:szCs w:val="18"/>
          <w:b w:val="1"/>
          <w:bCs w:val="1"/>
          <w:color w:val="auto"/>
        </w:rPr>
        <w:t xml:space="preserve"> </w:t>
      </w:r>
      <w:r>
        <w:rPr>
          <w:rFonts w:ascii="Arial" w:cs="Arial" w:eastAsia="Arial" w:hAnsi="Arial"/>
          <w:sz w:val="18"/>
          <w:szCs w:val="18"/>
          <w:color w:val="auto"/>
        </w:rPr>
        <w:t>publicly-traded entity subject to the laws and regulations of the United States Securities and Exchange Commission, as well as the requirements of the New York Stock Exchange. You further acknowledge that the Company’s approved form agreements for performance-based incentive compensation granted to you contain certain “clawback” terms and provisions. You agree to the terms and conditions of any policy adopted by the Company to comply with, or any decision of the Company to adhere to, any requirement or policy of the New York Stock Exchange (or any other exchange on which the securities of the Company are listed) pursuant to Section 10D of the Securities Exchange Act of 1934 (the “</w:t>
      </w:r>
      <w:r>
        <w:rPr>
          <w:rFonts w:ascii="Arial" w:cs="Arial" w:eastAsia="Arial" w:hAnsi="Arial"/>
          <w:sz w:val="18"/>
          <w:szCs w:val="18"/>
          <w:i w:val="1"/>
          <w:iCs w:val="1"/>
          <w:color w:val="auto"/>
        </w:rPr>
        <w:t>Policy</w:t>
      </w:r>
      <w:r>
        <w:rPr>
          <w:rFonts w:ascii="Arial" w:cs="Arial" w:eastAsia="Arial" w:hAnsi="Arial"/>
          <w:sz w:val="18"/>
          <w:szCs w:val="18"/>
          <w:color w:val="auto"/>
        </w:rPr>
        <w:t>”) from this point forward for any grants made previously or in the future. Section 10D provides for the recovery of incentive-based compensation that has been erroneously granted, earned, vested or paid because of one or more errors that are material in the financial statements of the Company. To the extent such Policy requires the repayment or recovery of incentive-based compensation granted to, or earned or received by you, or in which you vested, whether granted, vested, earned or paid pursuant to any past or future award agreements or any other plan of incentive-based compensation maintained in the past or adopted in the future by the Company, you agree to the forfeiture, recovery or repayment of such amounts to the extent required by such Policy.</w:t>
      </w:r>
    </w:p>
    <w:p>
      <w:pPr>
        <w:spacing w:after="0" w:line="170" w:lineRule="exact"/>
        <w:rPr>
          <w:rFonts w:ascii="Arial" w:cs="Arial" w:eastAsia="Arial" w:hAnsi="Arial"/>
          <w:sz w:val="19"/>
          <w:szCs w:val="19"/>
          <w:b w:val="1"/>
          <w:bCs w:val="1"/>
          <w:color w:val="auto"/>
        </w:rPr>
      </w:pPr>
    </w:p>
    <w:p>
      <w:pPr>
        <w:jc w:val="both"/>
        <w:ind w:left="652" w:right="20" w:hanging="652"/>
        <w:spacing w:after="0" w:line="268" w:lineRule="auto"/>
        <w:tabs>
          <w:tab w:leader="none" w:pos="652" w:val="left"/>
        </w:tabs>
        <w:numPr>
          <w:ilvl w:val="0"/>
          <w:numId w:val="31"/>
        </w:numPr>
        <w:rPr>
          <w:rFonts w:ascii="Arial" w:cs="Arial" w:eastAsia="Arial" w:hAnsi="Arial"/>
          <w:sz w:val="22"/>
          <w:szCs w:val="22"/>
          <w:b w:val="1"/>
          <w:bCs w:val="1"/>
          <w:color w:val="auto"/>
        </w:rPr>
      </w:pPr>
      <w:r>
        <w:rPr>
          <w:rFonts w:ascii="Arial" w:cs="Arial" w:eastAsia="Arial" w:hAnsi="Arial"/>
          <w:sz w:val="20"/>
          <w:szCs w:val="20"/>
          <w:b w:val="1"/>
          <w:bCs w:val="1"/>
          <w:u w:val="single" w:color="auto"/>
          <w:color w:val="auto"/>
        </w:rPr>
        <w:t>EMPLOYER LIABLE FOR PAYMENT</w:t>
      </w:r>
      <w:r>
        <w:rPr>
          <w:rFonts w:ascii="Arial" w:cs="Arial" w:eastAsia="Arial" w:hAnsi="Arial"/>
          <w:sz w:val="20"/>
          <w:szCs w:val="20"/>
          <w:b w:val="1"/>
          <w:bCs w:val="1"/>
          <w:color w:val="auto"/>
        </w:rPr>
        <w:t xml:space="preserve">. </w:t>
      </w:r>
      <w:r>
        <w:rPr>
          <w:rFonts w:ascii="Arial" w:cs="Arial" w:eastAsia="Arial" w:hAnsi="Arial"/>
          <w:sz w:val="20"/>
          <w:szCs w:val="20"/>
          <w:color w:val="auto"/>
        </w:rPr>
        <w:t>Except as the Committee may determine otherwise in connection with a Change in</w:t>
      </w:r>
      <w:r>
        <w:rPr>
          <w:rFonts w:ascii="Arial" w:cs="Arial" w:eastAsia="Arial" w:hAnsi="Arial"/>
          <w:sz w:val="20"/>
          <w:szCs w:val="20"/>
          <w:b w:val="1"/>
          <w:bCs w:val="1"/>
          <w:color w:val="auto"/>
        </w:rPr>
        <w:t xml:space="preserve"> </w:t>
      </w:r>
      <w:r>
        <w:rPr>
          <w:rFonts w:ascii="Arial" w:cs="Arial" w:eastAsia="Arial" w:hAnsi="Arial"/>
          <w:sz w:val="20"/>
          <w:szCs w:val="20"/>
          <w:color w:val="auto"/>
        </w:rPr>
        <w:t>Control, the Employer (or the Company, as applicable), is liable for the payment of any amounts that become due under this Agreement.</w:t>
      </w:r>
    </w:p>
    <w:p>
      <w:pPr>
        <w:spacing w:after="0" w:line="189" w:lineRule="exact"/>
        <w:rPr>
          <w:rFonts w:ascii="Arial" w:cs="Arial" w:eastAsia="Arial" w:hAnsi="Arial"/>
          <w:sz w:val="22"/>
          <w:szCs w:val="22"/>
          <w:b w:val="1"/>
          <w:bCs w:val="1"/>
          <w:color w:val="auto"/>
        </w:rPr>
      </w:pPr>
    </w:p>
    <w:p>
      <w:pPr>
        <w:jc w:val="both"/>
        <w:ind w:left="652" w:hanging="652"/>
        <w:spacing w:after="0" w:line="295" w:lineRule="auto"/>
        <w:tabs>
          <w:tab w:leader="none" w:pos="652" w:val="left"/>
        </w:tabs>
        <w:numPr>
          <w:ilvl w:val="0"/>
          <w:numId w:val="31"/>
        </w:numPr>
        <w:rPr>
          <w:rFonts w:ascii="Arial" w:cs="Arial" w:eastAsia="Arial" w:hAnsi="Arial"/>
          <w:sz w:val="19"/>
          <w:szCs w:val="19"/>
          <w:b w:val="1"/>
          <w:bCs w:val="1"/>
          <w:color w:val="auto"/>
        </w:rPr>
      </w:pPr>
      <w:r>
        <w:rPr>
          <w:rFonts w:ascii="Arial" w:cs="Arial" w:eastAsia="Arial" w:hAnsi="Arial"/>
          <w:sz w:val="18"/>
          <w:szCs w:val="18"/>
          <w:b w:val="1"/>
          <w:bCs w:val="1"/>
          <w:u w:val="single" w:color="auto"/>
          <w:color w:val="auto"/>
        </w:rPr>
        <w:t>SECTION 409A OF THE INTERNAL REVENUE CODE</w:t>
      </w:r>
      <w:r>
        <w:rPr>
          <w:rFonts w:ascii="Arial" w:cs="Arial" w:eastAsia="Arial" w:hAnsi="Arial"/>
          <w:sz w:val="18"/>
          <w:szCs w:val="18"/>
          <w:color w:val="auto"/>
        </w:rPr>
        <w:t>. This Agreement and all payments made hereunder, are intended to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meet the short-term deferral exception described under section 1.409A-1(b)(4) of the applicable Treasury regulations, or otherwise comply with, Section 409A, and this Agreement shall be interpreted so as to effect that intent. By accepting this Award, you acknowledge and agree that (a) you are not relying upon any written or oral statement or oral statement or representation of the Company, its Affiliates, or any of their respective employees, directors, officers, attorneys or agents (collectively, the </w:t>
      </w:r>
      <w:r>
        <w:rPr>
          <w:rFonts w:ascii="Arial" w:cs="Arial" w:eastAsia="Arial" w:hAnsi="Arial"/>
          <w:sz w:val="18"/>
          <w:szCs w:val="18"/>
          <w:b w:val="1"/>
          <w:bCs w:val="1"/>
          <w:color w:val="auto"/>
        </w:rPr>
        <w:t>“</w:t>
      </w:r>
      <w:r>
        <w:rPr>
          <w:rFonts w:ascii="Arial" w:cs="Arial" w:eastAsia="Arial" w:hAnsi="Arial"/>
          <w:sz w:val="18"/>
          <w:szCs w:val="18"/>
          <w:i w:val="1"/>
          <w:iCs w:val="1"/>
          <w:color w:val="auto"/>
        </w:rPr>
        <w:t>Company</w:t>
      </w:r>
      <w:r>
        <w:rPr>
          <w:rFonts w:ascii="Arial" w:cs="Arial" w:eastAsia="Arial" w:hAnsi="Arial"/>
          <w:sz w:val="18"/>
          <w:szCs w:val="18"/>
          <w:color w:val="auto"/>
        </w:rPr>
        <w:t xml:space="preserve"> </w:t>
      </w:r>
      <w:r>
        <w:rPr>
          <w:rFonts w:ascii="Arial" w:cs="Arial" w:eastAsia="Arial" w:hAnsi="Arial"/>
          <w:sz w:val="18"/>
          <w:szCs w:val="18"/>
          <w:i w:val="1"/>
          <w:iCs w:val="1"/>
          <w:color w:val="auto"/>
        </w:rPr>
        <w:t>Parties</w:t>
      </w:r>
      <w:r>
        <w:rPr>
          <w:rFonts w:ascii="Arial" w:cs="Arial" w:eastAsia="Arial" w:hAnsi="Arial"/>
          <w:sz w:val="18"/>
          <w:szCs w:val="18"/>
          <w:b w:val="1"/>
          <w:bCs w:val="1"/>
          <w:color w:val="auto"/>
        </w:rPr>
        <w:t>”</w:t>
      </w:r>
      <w:r>
        <w:rPr>
          <w:rFonts w:ascii="Arial" w:cs="Arial" w:eastAsia="Arial" w:hAnsi="Arial"/>
          <w:sz w:val="18"/>
          <w:szCs w:val="18"/>
          <w:color w:val="auto"/>
        </w:rPr>
        <w:t>) regarding the tax effects associated with execution of this Agreement and the Cash Payment made pursuant to the Plan, and</w:t>
      </w:r>
    </w:p>
    <w:p>
      <w:pPr>
        <w:spacing w:after="0" w:line="4" w:lineRule="exact"/>
        <w:rPr>
          <w:rFonts w:ascii="Arial" w:cs="Arial" w:eastAsia="Arial" w:hAnsi="Arial"/>
          <w:sz w:val="19"/>
          <w:szCs w:val="19"/>
          <w:b w:val="1"/>
          <w:bCs w:val="1"/>
          <w:color w:val="auto"/>
        </w:rPr>
      </w:pPr>
    </w:p>
    <w:p>
      <w:pPr>
        <w:jc w:val="both"/>
        <w:ind w:left="652" w:hanging="4"/>
        <w:spacing w:after="0" w:line="272" w:lineRule="auto"/>
        <w:tabs>
          <w:tab w:leader="none" w:pos="948" w:val="left"/>
        </w:tabs>
        <w:numPr>
          <w:ilvl w:val="1"/>
          <w:numId w:val="31"/>
        </w:numPr>
        <w:rPr>
          <w:rFonts w:ascii="Arial" w:cs="Arial" w:eastAsia="Arial" w:hAnsi="Arial"/>
          <w:sz w:val="20"/>
          <w:szCs w:val="20"/>
          <w:color w:val="auto"/>
        </w:rPr>
      </w:pPr>
      <w:r>
        <w:rPr>
          <w:rFonts w:ascii="Arial" w:cs="Arial" w:eastAsia="Arial" w:hAnsi="Arial"/>
          <w:sz w:val="20"/>
          <w:szCs w:val="20"/>
          <w:color w:val="auto"/>
        </w:rPr>
        <w:t>in deciding to enter into this Agreement, you are relying on your own judgment and the judgment of the professionals of your choice with whom you have consulted. By accepting this Award, you thereby release, acquit and forever discharge the Company Parties from all actions, causes of actions, suits, debts, obligations, liabilities, claims, damages, losses, costs and expenses of any nature whatsoever, known or unknown, on account of, arising out of, or in any way related to the tax effects associated with the Award and this Agreement.</w:t>
      </w:r>
    </w:p>
    <w:p>
      <w:pPr>
        <w:spacing w:after="0" w:line="189" w:lineRule="exact"/>
        <w:rPr>
          <w:rFonts w:ascii="Arial" w:cs="Arial" w:eastAsia="Arial" w:hAnsi="Arial"/>
          <w:sz w:val="20"/>
          <w:szCs w:val="20"/>
          <w:color w:val="auto"/>
        </w:rPr>
      </w:pPr>
    </w:p>
    <w:p>
      <w:pPr>
        <w:jc w:val="both"/>
        <w:ind w:left="652" w:hanging="652"/>
        <w:spacing w:after="0" w:line="268" w:lineRule="auto"/>
        <w:tabs>
          <w:tab w:leader="none" w:pos="652" w:val="left"/>
        </w:tabs>
        <w:numPr>
          <w:ilvl w:val="0"/>
          <w:numId w:val="31"/>
        </w:numPr>
        <w:rPr>
          <w:rFonts w:ascii="Arial" w:cs="Arial" w:eastAsia="Arial" w:hAnsi="Arial"/>
          <w:sz w:val="22"/>
          <w:szCs w:val="22"/>
          <w:b w:val="1"/>
          <w:bCs w:val="1"/>
          <w:color w:val="auto"/>
        </w:rPr>
      </w:pPr>
      <w:r>
        <w:rPr>
          <w:rFonts w:ascii="Arial" w:cs="Arial" w:eastAsia="Arial" w:hAnsi="Arial"/>
          <w:sz w:val="20"/>
          <w:szCs w:val="20"/>
          <w:b w:val="1"/>
          <w:bCs w:val="1"/>
          <w:u w:val="single" w:color="auto"/>
          <w:color w:val="auto"/>
        </w:rPr>
        <w:t>DELAYED PAYMENT IN CERTAIN CIRCUMSTANCES</w:t>
      </w:r>
      <w:r>
        <w:rPr>
          <w:rFonts w:ascii="Arial" w:cs="Arial" w:eastAsia="Arial" w:hAnsi="Arial"/>
          <w:sz w:val="20"/>
          <w:szCs w:val="20"/>
          <w:b w:val="1"/>
          <w:bCs w:val="1"/>
          <w:color w:val="auto"/>
        </w:rPr>
        <w:t>. NOTWITHSTANDING ANY OTHER PROVISION OF THIS AGREEMENT, IF YOU ARE A “</w:t>
      </w:r>
      <w:r>
        <w:rPr>
          <w:rFonts w:ascii="Arial" w:cs="Arial" w:eastAsia="Arial" w:hAnsi="Arial"/>
          <w:sz w:val="20"/>
          <w:szCs w:val="20"/>
          <w:b w:val="1"/>
          <w:bCs w:val="1"/>
          <w:i w:val="1"/>
          <w:iCs w:val="1"/>
          <w:color w:val="auto"/>
        </w:rPr>
        <w:t>SPECIFIED EMPLOYEE</w:t>
      </w:r>
      <w:r>
        <w:rPr>
          <w:rFonts w:ascii="Arial" w:cs="Arial" w:eastAsia="Arial" w:hAnsi="Arial"/>
          <w:sz w:val="20"/>
          <w:szCs w:val="20"/>
          <w:b w:val="1"/>
          <w:bCs w:val="1"/>
          <w:color w:val="auto"/>
        </w:rPr>
        <w:t>” (WITHIN THE MEANING OF SECTION 409A) AND THE COMPANY DETERMINES THAT A PAYMENT HEREUNDER IS NOT PERMITTED TO BE PAID ON THE DATE</w:t>
      </w:r>
    </w:p>
    <w:p>
      <w:pPr>
        <w:sectPr>
          <w:pgSz w:w="11900" w:h="16838" w:orient="portrait"/>
          <w:cols w:equalWidth="0" w:num="1">
            <w:col w:w="11232"/>
          </w:cols>
          <w:pgMar w:left="328" w:top="136" w:right="339" w:bottom="0" w:gutter="0" w:footer="0" w:header="0"/>
        </w:sectPr>
      </w:pPr>
    </w:p>
    <w:bookmarkStart w:id="60" w:name="page61"/>
    <w:bookmarkEnd w:id="60"/>
    <w:p>
      <w:pPr>
        <w:jc w:val="both"/>
        <w:ind w:left="660"/>
        <w:spacing w:after="0" w:line="274" w:lineRule="auto"/>
        <w:rPr>
          <w:sz w:val="20"/>
          <w:szCs w:val="20"/>
          <w:color w:val="auto"/>
        </w:rPr>
      </w:pPr>
      <w:r>
        <w:rPr>
          <w:rFonts w:ascii="Arial" w:cs="Arial" w:eastAsia="Arial" w:hAnsi="Arial"/>
          <w:sz w:val="20"/>
          <w:szCs w:val="20"/>
          <w:b w:val="1"/>
          <w:bCs w:val="1"/>
          <w:color w:val="auto"/>
        </w:rPr>
        <w:t>SPECIFIED WITHOUT THE IMPOSITION OF ADDITIONAL TAXES, INTEREST OR PENALTIES UNDER SECTION 409A, THEN NO PAYMENTS SHALL BE MADE TO YOU PURSUANT TO THIS AWARD DUE TO A SEPARATION FROM SERVICE FOR ANY REASON BEFORE THE EARLIER OF THE DATE THAT IS SIX MONTHS AND A DAY AFTER THE DATE ON WHICH YOU INCUR SUCH SEPARATION FROM SERVICE OR FIVE BUSINESS DAYS FOLLOWING THE DATE OF YOUR DEATH.</w:t>
      </w:r>
    </w:p>
    <w:p>
      <w:pPr>
        <w:spacing w:after="0" w:line="186" w:lineRule="exact"/>
        <w:rPr>
          <w:sz w:val="20"/>
          <w:szCs w:val="20"/>
          <w:color w:val="auto"/>
        </w:rPr>
      </w:pPr>
    </w:p>
    <w:p>
      <w:pPr>
        <w:jc w:val="both"/>
        <w:ind w:left="660" w:hanging="652"/>
        <w:spacing w:after="0" w:line="310" w:lineRule="auto"/>
        <w:tabs>
          <w:tab w:leader="none" w:pos="660" w:val="left"/>
        </w:tabs>
        <w:numPr>
          <w:ilvl w:val="0"/>
          <w:numId w:val="32"/>
        </w:numPr>
        <w:rPr>
          <w:rFonts w:ascii="Arial" w:cs="Arial" w:eastAsia="Arial" w:hAnsi="Arial"/>
          <w:sz w:val="19"/>
          <w:szCs w:val="19"/>
          <w:b w:val="1"/>
          <w:bCs w:val="1"/>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color w:val="auto"/>
        </w:rPr>
        <w:t>. This Agreement is awarded pursuant to and is subject to all of the provisions of the Plan,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amendments to the Plan, if any. In the event of a conflict between this Agreement and the Plan provisions, the Plan provisions will control. The term “</w:t>
      </w:r>
      <w:r>
        <w:rPr>
          <w:rFonts w:ascii="Arial" w:cs="Arial" w:eastAsia="Arial" w:hAnsi="Arial"/>
          <w:sz w:val="18"/>
          <w:szCs w:val="18"/>
          <w:i w:val="1"/>
          <w:iCs w:val="1"/>
          <w:color w:val="auto"/>
        </w:rPr>
        <w:t>you</w:t>
      </w:r>
      <w:r>
        <w:rPr>
          <w:rFonts w:ascii="Arial" w:cs="Arial" w:eastAsia="Arial" w:hAnsi="Arial"/>
          <w:sz w:val="18"/>
          <w:szCs w:val="18"/>
          <w:color w:val="auto"/>
        </w:rPr>
        <w:t>” and “</w:t>
      </w:r>
      <w:r>
        <w:rPr>
          <w:rFonts w:ascii="Arial" w:cs="Arial" w:eastAsia="Arial" w:hAnsi="Arial"/>
          <w:sz w:val="18"/>
          <w:szCs w:val="18"/>
          <w:i w:val="1"/>
          <w:iCs w:val="1"/>
          <w:color w:val="auto"/>
        </w:rPr>
        <w:t>your</w:t>
      </w:r>
      <w:r>
        <w:rPr>
          <w:rFonts w:ascii="Arial" w:cs="Arial" w:eastAsia="Arial" w:hAnsi="Arial"/>
          <w:sz w:val="18"/>
          <w:szCs w:val="18"/>
          <w:color w:val="auto"/>
        </w:rPr>
        <w:t>” refer to the Grantee named in this Agreement. Capitalized terms that are not defined herein shall have the meanings ascribed to such terms in the Plan. This Agreement shall be binding on all successors and assigns of the Company.</w:t>
      </w:r>
    </w:p>
    <w:p>
      <w:pPr>
        <w:spacing w:after="0" w:line="150"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In accepting the award of Performance Shares set forth in this Agreement you accept and agree to be bound by all the terms and conditions of the Plan and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QUANEX BUILDING PRODUCTS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571500</wp:posOffset>
            </wp:positionV>
            <wp:extent cx="75374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7537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[Name]</w:t>
      </w:r>
    </w:p>
    <w:p>
      <w:pPr>
        <w:spacing w:after="0" w:line="16"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Cash Settled Performance Share</w:t>
      </w:r>
    </w:p>
    <w:p>
      <w:pPr>
        <w:sectPr>
          <w:pgSz w:w="11900" w:h="16838" w:orient="portrait"/>
          <w:cols w:equalWidth="0" w:num="1">
            <w:col w:w="11240"/>
          </w:cols>
          <w:pgMar w:left="320" w:top="130" w:right="339" w:bottom="1440" w:gutter="0" w:footer="0" w:header="0"/>
        </w:sectPr>
      </w:pPr>
    </w:p>
    <w:bookmarkStart w:id="61" w:name="page62"/>
    <w:bookmarkEnd w:id="61"/>
    <w:p>
      <w:pPr>
        <w:jc w:val="center"/>
        <w:ind w:right="-19"/>
        <w:spacing w:after="0"/>
        <w:rPr>
          <w:sz w:val="20"/>
          <w:szCs w:val="20"/>
          <w:color w:val="auto"/>
        </w:rPr>
      </w:pPr>
      <w:r>
        <w:rPr>
          <w:rFonts w:ascii="Arial" w:cs="Arial" w:eastAsia="Arial" w:hAnsi="Arial"/>
          <w:sz w:val="19"/>
          <w:szCs w:val="19"/>
          <w:b w:val="1"/>
          <w:bCs w:val="1"/>
          <w:color w:val="auto"/>
        </w:rPr>
        <w:t>QUANEX BUILDING PRODUCTS CORPORATION</w:t>
      </w:r>
    </w:p>
    <w:p>
      <w:pPr>
        <w:spacing w:after="0" w:line="335"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STOCK SETTLED</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PERFORMANCE RESTRICTED STOCK UNITS</w:t>
      </w:r>
    </w:p>
    <w:p>
      <w:pPr>
        <w:jc w:val="center"/>
        <w:ind w:right="-19"/>
        <w:spacing w:after="0"/>
        <w:rPr>
          <w:sz w:val="20"/>
          <w:szCs w:val="20"/>
          <w:color w:val="auto"/>
        </w:rPr>
      </w:pPr>
      <w:r>
        <w:rPr>
          <w:rFonts w:ascii="Arial" w:cs="Arial" w:eastAsia="Arial" w:hAnsi="Arial"/>
          <w:sz w:val="20"/>
          <w:szCs w:val="20"/>
          <w:b w:val="1"/>
          <w:bCs w:val="1"/>
          <w:color w:val="auto"/>
        </w:rPr>
        <w:t>AWARD AGREEMENT</w:t>
      </w:r>
    </w:p>
    <w:p>
      <w:pPr>
        <w:spacing w:after="0" w:line="194" w:lineRule="exact"/>
        <w:rPr>
          <w:sz w:val="20"/>
          <w:szCs w:val="20"/>
          <w:color w:val="auto"/>
        </w:rPr>
      </w:pPr>
    </w:p>
    <w:p>
      <w:pPr>
        <w:ind w:left="4540"/>
        <w:spacing w:after="0"/>
        <w:rPr>
          <w:sz w:val="20"/>
          <w:szCs w:val="20"/>
          <w:color w:val="auto"/>
        </w:rPr>
      </w:pPr>
      <w:r>
        <w:rPr>
          <w:rFonts w:ascii="Arial" w:cs="Arial" w:eastAsia="Arial" w:hAnsi="Arial"/>
          <w:sz w:val="20"/>
          <w:szCs w:val="20"/>
          <w:b w:val="1"/>
          <w:bCs w:val="1"/>
          <w:color w:val="auto"/>
        </w:rPr>
        <w:t>[____________________]</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i w:val="1"/>
          <w:iCs w:val="1"/>
          <w:color w:val="auto"/>
        </w:rPr>
        <w:t>“Grantee”</w:t>
      </w:r>
    </w:p>
    <w:p>
      <w:pPr>
        <w:sectPr>
          <w:pgSz w:w="11900" w:h="16838" w:orient="portrait"/>
          <w:cols w:equalWidth="0" w:num="1">
            <w:col w:w="11240"/>
          </w:cols>
          <w:pgMar w:left="320" w:top="549" w:right="339" w:bottom="0" w:gutter="0" w:footer="0" w:header="0"/>
        </w:sectPr>
      </w:pPr>
    </w:p>
    <w:p>
      <w:pPr>
        <w:spacing w:after="0" w:line="36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Date of Award:</w:t>
      </w:r>
    </w:p>
    <w:p>
      <w:pPr>
        <w:spacing w:after="0" w:line="20" w:lineRule="exact"/>
        <w:rPr>
          <w:sz w:val="20"/>
          <w:szCs w:val="20"/>
          <w:color w:val="auto"/>
        </w:rPr>
      </w:pPr>
      <w:r>
        <w:rPr>
          <w:sz w:val="20"/>
          <w:szCs w:val="20"/>
          <w:color w:val="auto"/>
        </w:rPr>
        <w:br w:type="column"/>
      </w:r>
    </w:p>
    <w:p>
      <w:pPr>
        <w:spacing w:after="0" w:line="3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[_________________]</w:t>
      </w:r>
    </w:p>
    <w:p>
      <w:pPr>
        <w:spacing w:after="0" w:line="228" w:lineRule="exact"/>
        <w:rPr>
          <w:sz w:val="20"/>
          <w:szCs w:val="20"/>
          <w:color w:val="auto"/>
        </w:rPr>
      </w:pPr>
    </w:p>
    <w:p>
      <w:pPr>
        <w:sectPr>
          <w:pgSz w:w="11900" w:h="16838" w:orient="portrait"/>
          <w:cols w:equalWidth="0" w:num="2">
            <w:col w:w="6500" w:space="720"/>
            <w:col w:w="4020"/>
          </w:cols>
          <w:pgMar w:left="320" w:top="549" w:right="339" w:bottom="0" w:gutter="0" w:footer="0" w:header="0"/>
          <w:type w:val="continuous"/>
        </w:sectPr>
      </w:pPr>
    </w:p>
    <w:p>
      <w:pPr>
        <w:spacing w:after="0" w:line="66"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Target Number of Performance Restricted Stock Units:</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[____]</w:t>
      </w:r>
    </w:p>
    <w:p>
      <w:pPr>
        <w:spacing w:after="0" w:line="205" w:lineRule="exact"/>
        <w:rPr>
          <w:sz w:val="20"/>
          <w:szCs w:val="20"/>
          <w:color w:val="auto"/>
        </w:rPr>
      </w:pPr>
    </w:p>
    <w:p>
      <w:pPr>
        <w:sectPr>
          <w:pgSz w:w="11900" w:h="16838" w:orient="portrait"/>
          <w:cols w:equalWidth="0" w:num="2">
            <w:col w:w="6500" w:space="720"/>
            <w:col w:w="4020"/>
          </w:cols>
          <w:pgMar w:left="320" w:top="549" w:right="339" w:bottom="0" w:gutter="0" w:footer="0" w:header="0"/>
          <w:type w:val="continuous"/>
        </w:sect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AWARD OF PERFORMANCE RESTRICTED STOCK UNITS (“PRSUs”)</w:t>
      </w:r>
    </w:p>
    <w:p>
      <w:pPr>
        <w:spacing w:after="0" w:line="337" w:lineRule="exact"/>
        <w:rPr>
          <w:sz w:val="20"/>
          <w:szCs w:val="20"/>
          <w:color w:val="auto"/>
        </w:rPr>
      </w:pPr>
    </w:p>
    <w:p>
      <w:pPr>
        <w:jc w:val="both"/>
        <w:ind w:left="660" w:hanging="652"/>
        <w:spacing w:after="0" w:line="307" w:lineRule="auto"/>
        <w:tabs>
          <w:tab w:leader="none" w:pos="660" w:val="left"/>
        </w:tabs>
        <w:numPr>
          <w:ilvl w:val="0"/>
          <w:numId w:val="33"/>
        </w:numPr>
        <w:rPr>
          <w:rFonts w:ascii="Arial" w:cs="Arial" w:eastAsia="Arial" w:hAnsi="Arial"/>
          <w:sz w:val="19"/>
          <w:szCs w:val="19"/>
          <w:b w:val="1"/>
          <w:bCs w:val="1"/>
          <w:color w:val="auto"/>
        </w:rPr>
      </w:pPr>
      <w:r>
        <w:rPr>
          <w:rFonts w:ascii="Arial" w:cs="Arial" w:eastAsia="Arial" w:hAnsi="Arial"/>
          <w:sz w:val="18"/>
          <w:szCs w:val="18"/>
          <w:b w:val="1"/>
          <w:bCs w:val="1"/>
          <w:u w:val="single" w:color="auto"/>
          <w:color w:val="auto"/>
        </w:rPr>
        <w:t>GRANT OF PERFORMANCE RESTRICTED STOCK UNITS</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Compensation Committee (the “</w:t>
      </w:r>
      <w:r>
        <w:rPr>
          <w:rFonts w:ascii="Arial" w:cs="Arial" w:eastAsia="Arial" w:hAnsi="Arial"/>
          <w:sz w:val="18"/>
          <w:szCs w:val="18"/>
          <w:i w:val="1"/>
          <w:iCs w:val="1"/>
          <w:color w:val="auto"/>
        </w:rPr>
        <w:t>Committee</w:t>
      </w:r>
      <w:r>
        <w:rPr>
          <w:rFonts w:ascii="Arial" w:cs="Arial" w:eastAsia="Arial" w:hAnsi="Arial"/>
          <w:sz w:val="18"/>
          <w:szCs w:val="18"/>
          <w:color w:val="auto"/>
        </w:rPr>
        <w:t>”) of the Board</w:t>
      </w:r>
      <w:r>
        <w:rPr>
          <w:rFonts w:ascii="Arial" w:cs="Arial" w:eastAsia="Arial" w:hAnsi="Arial"/>
          <w:sz w:val="18"/>
          <w:szCs w:val="18"/>
          <w:b w:val="1"/>
          <w:bCs w:val="1"/>
          <w:color w:val="auto"/>
        </w:rPr>
        <w:t xml:space="preserve"> </w:t>
      </w:r>
      <w:r>
        <w:rPr>
          <w:rFonts w:ascii="Arial" w:cs="Arial" w:eastAsia="Arial" w:hAnsi="Arial"/>
          <w:sz w:val="18"/>
          <w:szCs w:val="18"/>
          <w:color w:val="auto"/>
        </w:rPr>
        <w:t>of Directors of Quanex Building Products Corporation, a Delaware corporation (the “</w:t>
      </w:r>
      <w:r>
        <w:rPr>
          <w:rFonts w:ascii="Arial" w:cs="Arial" w:eastAsia="Arial" w:hAnsi="Arial"/>
          <w:sz w:val="18"/>
          <w:szCs w:val="18"/>
          <w:i w:val="1"/>
          <w:iCs w:val="1"/>
          <w:color w:val="auto"/>
        </w:rPr>
        <w:t>Company</w:t>
      </w:r>
      <w:r>
        <w:rPr>
          <w:rFonts w:ascii="Arial" w:cs="Arial" w:eastAsia="Arial" w:hAnsi="Arial"/>
          <w:sz w:val="18"/>
          <w:szCs w:val="18"/>
          <w:color w:val="auto"/>
        </w:rPr>
        <w:t>”), subject to the terms and provisions of the Quanex Building Products Corporation 2020 Omnibus Incentive Plan (the “</w:t>
      </w:r>
      <w:r>
        <w:rPr>
          <w:rFonts w:ascii="Arial" w:cs="Arial" w:eastAsia="Arial" w:hAnsi="Arial"/>
          <w:sz w:val="18"/>
          <w:szCs w:val="18"/>
          <w:i w:val="1"/>
          <w:iCs w:val="1"/>
          <w:color w:val="auto"/>
        </w:rPr>
        <w:t>Plan</w:t>
      </w:r>
      <w:r>
        <w:rPr>
          <w:rFonts w:ascii="Arial" w:cs="Arial" w:eastAsia="Arial" w:hAnsi="Arial"/>
          <w:sz w:val="18"/>
          <w:szCs w:val="18"/>
          <w:color w:val="auto"/>
        </w:rPr>
        <w:t xml:space="preserve">”), hereby awards to you, the above-named Grantee, effective as of the Date of Award set forth above, the number of PRSUs (the </w:t>
      </w:r>
      <w:r>
        <w:rPr>
          <w:rFonts w:ascii="Arial" w:cs="Arial" w:eastAsia="Arial" w:hAnsi="Arial"/>
          <w:sz w:val="18"/>
          <w:szCs w:val="18"/>
          <w:i w:val="1"/>
          <w:iCs w:val="1"/>
          <w:color w:val="auto"/>
        </w:rPr>
        <w:t>“Target Number”</w:t>
      </w:r>
      <w:r>
        <w:rPr>
          <w:rFonts w:ascii="Arial" w:cs="Arial" w:eastAsia="Arial" w:hAnsi="Arial"/>
          <w:sz w:val="18"/>
          <w:szCs w:val="18"/>
          <w:color w:val="auto"/>
        </w:rPr>
        <w:t>) set forth above in accordance with the formulas below, on the terms and conditions set forth in this PRSU Award Agreement (this “</w:t>
      </w:r>
      <w:r>
        <w:rPr>
          <w:rFonts w:ascii="Arial" w:cs="Arial" w:eastAsia="Arial" w:hAnsi="Arial"/>
          <w:sz w:val="18"/>
          <w:szCs w:val="18"/>
          <w:i w:val="1"/>
          <w:iCs w:val="1"/>
          <w:color w:val="auto"/>
        </w:rPr>
        <w:t>Agreement</w:t>
      </w:r>
      <w:r>
        <w:rPr>
          <w:rFonts w:ascii="Arial" w:cs="Arial" w:eastAsia="Arial" w:hAnsi="Arial"/>
          <w:sz w:val="18"/>
          <w:szCs w:val="18"/>
          <w:color w:val="auto"/>
        </w:rPr>
        <w:t>”).</w:t>
      </w:r>
    </w:p>
    <w:p>
      <w:pPr>
        <w:spacing w:after="0" w:line="152" w:lineRule="exact"/>
        <w:rPr>
          <w:rFonts w:ascii="Arial" w:cs="Arial" w:eastAsia="Arial" w:hAnsi="Arial"/>
          <w:sz w:val="19"/>
          <w:szCs w:val="19"/>
          <w:b w:val="1"/>
          <w:bCs w:val="1"/>
          <w:color w:val="auto"/>
        </w:rPr>
      </w:pPr>
    </w:p>
    <w:p>
      <w:pPr>
        <w:jc w:val="both"/>
        <w:ind w:left="660"/>
        <w:spacing w:after="0" w:line="274" w:lineRule="auto"/>
        <w:rPr>
          <w:rFonts w:ascii="Arial" w:cs="Arial" w:eastAsia="Arial" w:hAnsi="Arial"/>
          <w:sz w:val="19"/>
          <w:szCs w:val="19"/>
          <w:b w:val="1"/>
          <w:bCs w:val="1"/>
          <w:color w:val="auto"/>
        </w:rPr>
      </w:pPr>
      <w:r>
        <w:rPr>
          <w:rFonts w:ascii="Arial" w:cs="Arial" w:eastAsia="Arial" w:hAnsi="Arial"/>
          <w:sz w:val="18"/>
          <w:szCs w:val="18"/>
          <w:color w:val="auto"/>
        </w:rPr>
        <w:t>The grant of PRSUs represents the right to receive a percentage of the Target Number upon vesting, with each PRSU that vests representing the right to receive one (1) share of the Company’s Common Stock, par value $0.01 (“</w:t>
      </w:r>
      <w:r>
        <w:rPr>
          <w:rFonts w:ascii="Arial" w:cs="Arial" w:eastAsia="Arial" w:hAnsi="Arial"/>
          <w:sz w:val="18"/>
          <w:szCs w:val="18"/>
          <w:i w:val="1"/>
          <w:iCs w:val="1"/>
          <w:color w:val="auto"/>
        </w:rPr>
        <w:t>Stock</w:t>
      </w:r>
      <w:r>
        <w:rPr>
          <w:rFonts w:ascii="Arial" w:cs="Arial" w:eastAsia="Arial" w:hAnsi="Arial"/>
          <w:sz w:val="18"/>
          <w:szCs w:val="18"/>
          <w:color w:val="auto"/>
        </w:rPr>
        <w:t>”). Unless and until the PRSUs have vested in accordance with the terms of this Agreement, you shall not have any right to delivery of the shares of Stock underlying such PRSUs or any other consideration in respect thereof. The PRSUs are subject to attainment of the Performance Goal(s) during the Performance Period (as described herein) and your continued service throughout the Performance Period (unless otherwise provided in this Agreement or the Plan). For purposes of this Agreement, the term “</w:t>
      </w:r>
      <w:r>
        <w:rPr>
          <w:rFonts w:ascii="Arial" w:cs="Arial" w:eastAsia="Arial" w:hAnsi="Arial"/>
          <w:sz w:val="18"/>
          <w:szCs w:val="18"/>
          <w:i w:val="1"/>
          <w:iCs w:val="1"/>
          <w:color w:val="auto"/>
        </w:rPr>
        <w:t>Performance Period</w:t>
      </w:r>
      <w:r>
        <w:rPr>
          <w:rFonts w:ascii="Arial" w:cs="Arial" w:eastAsia="Arial" w:hAnsi="Arial"/>
          <w:sz w:val="18"/>
          <w:szCs w:val="18"/>
          <w:color w:val="auto"/>
        </w:rPr>
        <w:t>” means the three-year period beginning November 1, [____], and ending October 31, [____] (the “</w:t>
      </w:r>
      <w:r>
        <w:rPr>
          <w:rFonts w:ascii="Arial" w:cs="Arial" w:eastAsia="Arial" w:hAnsi="Arial"/>
          <w:sz w:val="18"/>
          <w:szCs w:val="18"/>
          <w:i w:val="1"/>
          <w:iCs w:val="1"/>
          <w:color w:val="auto"/>
        </w:rPr>
        <w:t>Ending Date</w:t>
      </w:r>
      <w:r>
        <w:rPr>
          <w:rFonts w:ascii="Arial" w:cs="Arial" w:eastAsia="Arial" w:hAnsi="Arial"/>
          <w:sz w:val="18"/>
          <w:szCs w:val="18"/>
          <w:color w:val="auto"/>
        </w:rPr>
        <w:t>”).</w:t>
      </w:r>
    </w:p>
    <w:p>
      <w:pPr>
        <w:spacing w:after="0" w:line="175" w:lineRule="exact"/>
        <w:rPr>
          <w:rFonts w:ascii="Arial" w:cs="Arial" w:eastAsia="Arial" w:hAnsi="Arial"/>
          <w:sz w:val="19"/>
          <w:szCs w:val="19"/>
          <w:b w:val="1"/>
          <w:bCs w:val="1"/>
          <w:color w:val="auto"/>
        </w:rPr>
      </w:pPr>
    </w:p>
    <w:p>
      <w:pPr>
        <w:ind w:left="660" w:right="20" w:hanging="652"/>
        <w:spacing w:after="0" w:line="271" w:lineRule="auto"/>
        <w:tabs>
          <w:tab w:leader="none" w:pos="660" w:val="left"/>
        </w:tabs>
        <w:numPr>
          <w:ilvl w:val="0"/>
          <w:numId w:val="33"/>
        </w:numPr>
        <w:rPr>
          <w:rFonts w:ascii="Arial" w:cs="Arial" w:eastAsia="Arial" w:hAnsi="Arial"/>
          <w:sz w:val="22"/>
          <w:szCs w:val="22"/>
          <w:b w:val="1"/>
          <w:bCs w:val="1"/>
          <w:color w:val="auto"/>
        </w:rPr>
      </w:pPr>
      <w:r>
        <w:rPr>
          <w:rFonts w:ascii="Arial" w:cs="Arial" w:eastAsia="Arial" w:hAnsi="Arial"/>
          <w:sz w:val="20"/>
          <w:szCs w:val="20"/>
          <w:b w:val="1"/>
          <w:bCs w:val="1"/>
          <w:u w:val="single" w:color="auto"/>
          <w:color w:val="auto"/>
        </w:rPr>
        <w:t>AWARD MODIFIER</w:t>
      </w:r>
      <w:r>
        <w:rPr>
          <w:rFonts w:ascii="Arial" w:cs="Arial" w:eastAsia="Arial" w:hAnsi="Arial"/>
          <w:sz w:val="20"/>
          <w:szCs w:val="20"/>
          <w:color w:val="auto"/>
        </w:rPr>
        <w:t>. The aggregate number of PRSUs to vest under this Agreement shall be equal to the Target Number</w:t>
      </w:r>
      <w:r>
        <w:rPr>
          <w:rFonts w:ascii="Arial" w:cs="Arial" w:eastAsia="Arial" w:hAnsi="Arial"/>
          <w:sz w:val="20"/>
          <w:szCs w:val="20"/>
          <w:b w:val="1"/>
          <w:bCs w:val="1"/>
          <w:color w:val="auto"/>
        </w:rPr>
        <w:t xml:space="preserve"> </w:t>
      </w:r>
      <w:r>
        <w:rPr>
          <w:rFonts w:ascii="Arial" w:cs="Arial" w:eastAsia="Arial" w:hAnsi="Arial"/>
          <w:sz w:val="20"/>
          <w:szCs w:val="20"/>
          <w:color w:val="auto"/>
        </w:rPr>
        <w:t>multiplied by the award modifier set forth below (the “</w:t>
      </w:r>
      <w:r>
        <w:rPr>
          <w:rFonts w:ascii="Arial" w:cs="Arial" w:eastAsia="Arial" w:hAnsi="Arial"/>
          <w:sz w:val="20"/>
          <w:szCs w:val="20"/>
          <w:i w:val="1"/>
          <w:iCs w:val="1"/>
          <w:color w:val="auto"/>
        </w:rPr>
        <w:t>Award Modifier</w:t>
      </w:r>
      <w:r>
        <w:rPr>
          <w:rFonts w:ascii="Arial" w:cs="Arial" w:eastAsia="Arial" w:hAnsi="Arial"/>
          <w:sz w:val="20"/>
          <w:szCs w:val="20"/>
          <w:color w:val="auto"/>
        </w:rPr>
        <w:t>”).</w:t>
      </w:r>
    </w:p>
    <w:p>
      <w:pPr>
        <w:spacing w:after="0" w:line="189" w:lineRule="exact"/>
        <w:rPr>
          <w:rFonts w:ascii="Arial" w:cs="Arial" w:eastAsia="Arial" w:hAnsi="Arial"/>
          <w:sz w:val="22"/>
          <w:szCs w:val="22"/>
          <w:b w:val="1"/>
          <w:bCs w:val="1"/>
          <w:color w:val="auto"/>
        </w:rPr>
      </w:pPr>
    </w:p>
    <w:p>
      <w:pPr>
        <w:ind w:left="660"/>
        <w:spacing w:after="0"/>
        <w:rPr>
          <w:rFonts w:ascii="Arial" w:cs="Arial" w:eastAsia="Arial" w:hAnsi="Arial"/>
          <w:sz w:val="22"/>
          <w:szCs w:val="22"/>
          <w:b w:val="1"/>
          <w:bCs w:val="1"/>
          <w:color w:val="auto"/>
        </w:rPr>
      </w:pPr>
      <w:r>
        <w:rPr>
          <w:rFonts w:ascii="Arial" w:cs="Arial" w:eastAsia="Arial" w:hAnsi="Arial"/>
          <w:sz w:val="19"/>
          <w:szCs w:val="19"/>
          <w:color w:val="auto"/>
        </w:rPr>
        <w:t>The Award Modifier will be determined based on the achievement of the Performance Goal[s], [_____________], as follows:</w:t>
      </w:r>
    </w:p>
    <w:p>
      <w:pPr>
        <w:spacing w:after="0" w:line="386" w:lineRule="exact"/>
        <w:rPr>
          <w:sz w:val="20"/>
          <w:szCs w:val="20"/>
          <w:color w:val="auto"/>
        </w:rPr>
      </w:pPr>
    </w:p>
    <w:tbl>
      <w:tblPr>
        <w:tblLayout w:type="fixed"/>
        <w:tblInd w:w="910" w:type="dxa"/>
        <w:tblCellMar>
          <w:top w:w="0" w:type="dxa"/>
          <w:left w:w="0" w:type="dxa"/>
          <w:bottom w:w="0" w:type="dxa"/>
          <w:right w:w="0" w:type="dxa"/>
        </w:tblCellMar>
      </w:tblPr>
      <w:tr>
        <w:trPr>
          <w:trHeight w:val="274"/>
        </w:trPr>
        <w:tc>
          <w:tcPr>
            <w:tcW w:w="2640" w:type="dxa"/>
            <w:vAlign w:val="bottom"/>
            <w:tcBorders>
              <w:right w:val="single" w:sz="8" w:color="auto"/>
            </w:tcBorders>
          </w:tcPr>
          <w:p>
            <w:pPr>
              <w:spacing w:after="0"/>
              <w:rPr>
                <w:sz w:val="23"/>
                <w:szCs w:val="23"/>
                <w:color w:val="auto"/>
              </w:rPr>
            </w:pPr>
          </w:p>
        </w:tc>
        <w:tc>
          <w:tcPr>
            <w:tcW w:w="3240" w:type="dxa"/>
            <w:vAlign w:val="bottom"/>
            <w:tcBorders>
              <w:top w:val="single" w:sz="8" w:color="auto"/>
              <w:right w:val="single" w:sz="8" w:color="auto"/>
            </w:tcBorders>
            <w:shd w:val="clear" w:color="auto" w:fill="D9D9D9"/>
          </w:tcPr>
          <w:p>
            <w:pPr>
              <w:jc w:val="right"/>
              <w:ind w:right="1281"/>
              <w:spacing w:after="0"/>
              <w:rPr>
                <w:sz w:val="20"/>
                <w:szCs w:val="20"/>
                <w:color w:val="auto"/>
              </w:rPr>
            </w:pPr>
            <w:r>
              <w:rPr>
                <w:rFonts w:ascii="Arial" w:cs="Arial" w:eastAsia="Arial" w:hAnsi="Arial"/>
                <w:sz w:val="20"/>
                <w:szCs w:val="20"/>
                <w:color w:val="auto"/>
              </w:rPr>
              <w:t>[____]</w:t>
            </w:r>
          </w:p>
        </w:tc>
        <w:tc>
          <w:tcPr>
            <w:tcW w:w="3140" w:type="dxa"/>
            <w:vAlign w:val="bottom"/>
            <w:tcBorders>
              <w:top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20"/>
                <w:szCs w:val="20"/>
                <w:color w:val="auto"/>
                <w:w w:val="93"/>
              </w:rPr>
              <w:t>[____]</w:t>
            </w:r>
          </w:p>
        </w:tc>
        <w:tc>
          <w:tcPr>
            <w:tcW w:w="0" w:type="dxa"/>
            <w:vAlign w:val="bottom"/>
          </w:tcPr>
          <w:p>
            <w:pPr>
              <w:spacing w:after="0"/>
              <w:rPr>
                <w:sz w:val="1"/>
                <w:szCs w:val="1"/>
                <w:color w:val="auto"/>
              </w:rPr>
            </w:pPr>
          </w:p>
        </w:tc>
      </w:tr>
      <w:tr>
        <w:trPr>
          <w:trHeight w:val="104"/>
        </w:trPr>
        <w:tc>
          <w:tcPr>
            <w:tcW w:w="2640" w:type="dxa"/>
            <w:vAlign w:val="bottom"/>
            <w:tcBorders>
              <w:bottom w:val="single" w:sz="8" w:color="auto"/>
              <w:right w:val="single" w:sz="8" w:color="auto"/>
            </w:tcBorders>
          </w:tcPr>
          <w:p>
            <w:pPr>
              <w:spacing w:after="0"/>
              <w:rPr>
                <w:sz w:val="9"/>
                <w:szCs w:val="9"/>
                <w:color w:val="auto"/>
              </w:rPr>
            </w:pPr>
          </w:p>
        </w:tc>
        <w:tc>
          <w:tcPr>
            <w:tcW w:w="3240" w:type="dxa"/>
            <w:vAlign w:val="bottom"/>
            <w:tcBorders>
              <w:bottom w:val="single" w:sz="8" w:color="auto"/>
              <w:right w:val="single" w:sz="8" w:color="auto"/>
            </w:tcBorders>
            <w:shd w:val="clear" w:color="auto" w:fill="D9D9D9"/>
          </w:tcPr>
          <w:p>
            <w:pPr>
              <w:spacing w:after="0"/>
              <w:rPr>
                <w:sz w:val="9"/>
                <w:szCs w:val="9"/>
                <w:color w:val="auto"/>
              </w:rPr>
            </w:pPr>
          </w:p>
        </w:tc>
        <w:tc>
          <w:tcPr>
            <w:tcW w:w="3140" w:type="dxa"/>
            <w:vAlign w:val="bottom"/>
            <w:tcBorders>
              <w:bottom w:val="single" w:sz="8" w:color="auto"/>
              <w:right w:val="single" w:sz="8" w:color="auto"/>
            </w:tcBorders>
            <w:shd w:val="clear" w:color="auto" w:fill="D9D9D9"/>
          </w:tcPr>
          <w:p>
            <w:pPr>
              <w:spacing w:after="0"/>
              <w:rPr>
                <w:sz w:val="9"/>
                <w:szCs w:val="9"/>
                <w:color w:val="auto"/>
              </w:rPr>
            </w:pPr>
          </w:p>
        </w:tc>
        <w:tc>
          <w:tcPr>
            <w:tcW w:w="0" w:type="dxa"/>
            <w:vAlign w:val="bottom"/>
          </w:tcPr>
          <w:p>
            <w:pPr>
              <w:spacing w:after="0"/>
              <w:rPr>
                <w:sz w:val="1"/>
                <w:szCs w:val="1"/>
                <w:color w:val="auto"/>
              </w:rPr>
            </w:pPr>
          </w:p>
        </w:tc>
      </w:tr>
      <w:tr>
        <w:trPr>
          <w:trHeight w:val="254"/>
        </w:trPr>
        <w:tc>
          <w:tcPr>
            <w:tcW w:w="2640" w:type="dxa"/>
            <w:vAlign w:val="bottom"/>
            <w:tcBorders>
              <w:left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20"/>
                <w:szCs w:val="20"/>
                <w:b w:val="1"/>
                <w:bCs w:val="1"/>
                <w:color w:val="auto"/>
                <w:w w:val="92"/>
              </w:rPr>
              <w:t>Maximum Milestone</w:t>
            </w:r>
          </w:p>
        </w:tc>
        <w:tc>
          <w:tcPr>
            <w:tcW w:w="3240" w:type="dxa"/>
            <w:vAlign w:val="bottom"/>
            <w:tcBorders>
              <w:right w:val="single" w:sz="8" w:color="auto"/>
            </w:tcBorders>
          </w:tcPr>
          <w:p>
            <w:pPr>
              <w:jc w:val="right"/>
              <w:ind w:right="1281"/>
              <w:spacing w:after="0"/>
              <w:rPr>
                <w:sz w:val="20"/>
                <w:szCs w:val="20"/>
                <w:color w:val="auto"/>
              </w:rPr>
            </w:pPr>
            <w:r>
              <w:rPr>
                <w:rFonts w:ascii="Arial" w:cs="Arial" w:eastAsia="Arial" w:hAnsi="Arial"/>
                <w:sz w:val="20"/>
                <w:szCs w:val="20"/>
                <w:color w:val="auto"/>
              </w:rPr>
              <w:t>[____]</w:t>
            </w:r>
          </w:p>
        </w:tc>
        <w:tc>
          <w:tcPr>
            <w:tcW w:w="31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[____]</w:t>
            </w:r>
          </w:p>
        </w:tc>
        <w:tc>
          <w:tcPr>
            <w:tcW w:w="0" w:type="dxa"/>
            <w:vAlign w:val="bottom"/>
          </w:tcPr>
          <w:p>
            <w:pPr>
              <w:spacing w:after="0"/>
              <w:rPr>
                <w:sz w:val="1"/>
                <w:szCs w:val="1"/>
                <w:color w:val="auto"/>
              </w:rPr>
            </w:pPr>
          </w:p>
        </w:tc>
      </w:tr>
      <w:tr>
        <w:trPr>
          <w:trHeight w:val="104"/>
        </w:trPr>
        <w:tc>
          <w:tcPr>
            <w:tcW w:w="2640" w:type="dxa"/>
            <w:vAlign w:val="bottom"/>
            <w:tcBorders>
              <w:left w:val="single" w:sz="8" w:color="auto"/>
              <w:bottom w:val="single" w:sz="8" w:color="auto"/>
              <w:right w:val="single" w:sz="8" w:color="auto"/>
            </w:tcBorders>
            <w:shd w:val="clear" w:color="auto" w:fill="D9D9D9"/>
          </w:tcPr>
          <w:p>
            <w:pPr>
              <w:spacing w:after="0"/>
              <w:rPr>
                <w:sz w:val="9"/>
                <w:szCs w:val="9"/>
                <w:color w:val="auto"/>
              </w:rPr>
            </w:pPr>
          </w:p>
        </w:tc>
        <w:tc>
          <w:tcPr>
            <w:tcW w:w="3240" w:type="dxa"/>
            <w:vAlign w:val="bottom"/>
            <w:tcBorders>
              <w:bottom w:val="single" w:sz="8" w:color="auto"/>
              <w:right w:val="single" w:sz="8" w:color="auto"/>
            </w:tcBorders>
          </w:tcPr>
          <w:p>
            <w:pPr>
              <w:spacing w:after="0"/>
              <w:rPr>
                <w:sz w:val="9"/>
                <w:szCs w:val="9"/>
                <w:color w:val="auto"/>
              </w:rPr>
            </w:pPr>
          </w:p>
        </w:tc>
        <w:tc>
          <w:tcPr>
            <w:tcW w:w="31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4"/>
        </w:trPr>
        <w:tc>
          <w:tcPr>
            <w:tcW w:w="2640" w:type="dxa"/>
            <w:vAlign w:val="bottom"/>
            <w:tcBorders>
              <w:left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20"/>
                <w:szCs w:val="20"/>
                <w:b w:val="1"/>
                <w:bCs w:val="1"/>
                <w:color w:val="auto"/>
                <w:w w:val="89"/>
              </w:rPr>
              <w:t>Target Milestone</w:t>
            </w:r>
          </w:p>
        </w:tc>
        <w:tc>
          <w:tcPr>
            <w:tcW w:w="3240" w:type="dxa"/>
            <w:vAlign w:val="bottom"/>
            <w:tcBorders>
              <w:right w:val="single" w:sz="8" w:color="auto"/>
            </w:tcBorders>
          </w:tcPr>
          <w:p>
            <w:pPr>
              <w:jc w:val="right"/>
              <w:ind w:right="1281"/>
              <w:spacing w:after="0"/>
              <w:rPr>
                <w:sz w:val="20"/>
                <w:szCs w:val="20"/>
                <w:color w:val="auto"/>
              </w:rPr>
            </w:pPr>
            <w:r>
              <w:rPr>
                <w:rFonts w:ascii="Arial" w:cs="Arial" w:eastAsia="Arial" w:hAnsi="Arial"/>
                <w:sz w:val="20"/>
                <w:szCs w:val="20"/>
                <w:color w:val="auto"/>
              </w:rPr>
              <w:t>[____]</w:t>
            </w:r>
          </w:p>
        </w:tc>
        <w:tc>
          <w:tcPr>
            <w:tcW w:w="31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[____]</w:t>
            </w:r>
          </w:p>
        </w:tc>
        <w:tc>
          <w:tcPr>
            <w:tcW w:w="0" w:type="dxa"/>
            <w:vAlign w:val="bottom"/>
          </w:tcPr>
          <w:p>
            <w:pPr>
              <w:spacing w:after="0"/>
              <w:rPr>
                <w:sz w:val="1"/>
                <w:szCs w:val="1"/>
                <w:color w:val="auto"/>
              </w:rPr>
            </w:pPr>
          </w:p>
        </w:tc>
      </w:tr>
      <w:tr>
        <w:trPr>
          <w:trHeight w:val="104"/>
        </w:trPr>
        <w:tc>
          <w:tcPr>
            <w:tcW w:w="2640" w:type="dxa"/>
            <w:vAlign w:val="bottom"/>
            <w:tcBorders>
              <w:left w:val="single" w:sz="8" w:color="auto"/>
              <w:bottom w:val="single" w:sz="8" w:color="auto"/>
              <w:right w:val="single" w:sz="8" w:color="auto"/>
            </w:tcBorders>
            <w:shd w:val="clear" w:color="auto" w:fill="D9D9D9"/>
          </w:tcPr>
          <w:p>
            <w:pPr>
              <w:spacing w:after="0"/>
              <w:rPr>
                <w:sz w:val="9"/>
                <w:szCs w:val="9"/>
                <w:color w:val="auto"/>
              </w:rPr>
            </w:pPr>
          </w:p>
        </w:tc>
        <w:tc>
          <w:tcPr>
            <w:tcW w:w="3240" w:type="dxa"/>
            <w:vAlign w:val="bottom"/>
            <w:tcBorders>
              <w:bottom w:val="single" w:sz="8" w:color="auto"/>
              <w:right w:val="single" w:sz="8" w:color="auto"/>
            </w:tcBorders>
          </w:tcPr>
          <w:p>
            <w:pPr>
              <w:spacing w:after="0"/>
              <w:rPr>
                <w:sz w:val="9"/>
                <w:szCs w:val="9"/>
                <w:color w:val="auto"/>
              </w:rPr>
            </w:pPr>
          </w:p>
        </w:tc>
        <w:tc>
          <w:tcPr>
            <w:tcW w:w="31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4"/>
        </w:trPr>
        <w:tc>
          <w:tcPr>
            <w:tcW w:w="2640" w:type="dxa"/>
            <w:vAlign w:val="bottom"/>
            <w:tcBorders>
              <w:left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20"/>
                <w:szCs w:val="20"/>
                <w:b w:val="1"/>
                <w:bCs w:val="1"/>
                <w:color w:val="auto"/>
                <w:w w:val="89"/>
              </w:rPr>
              <w:t>Threshold Milestone</w:t>
            </w:r>
          </w:p>
        </w:tc>
        <w:tc>
          <w:tcPr>
            <w:tcW w:w="3240" w:type="dxa"/>
            <w:vAlign w:val="bottom"/>
            <w:tcBorders>
              <w:right w:val="single" w:sz="8" w:color="auto"/>
            </w:tcBorders>
          </w:tcPr>
          <w:p>
            <w:pPr>
              <w:jc w:val="right"/>
              <w:ind w:right="1281"/>
              <w:spacing w:after="0"/>
              <w:rPr>
                <w:sz w:val="20"/>
                <w:szCs w:val="20"/>
                <w:color w:val="auto"/>
              </w:rPr>
            </w:pPr>
            <w:r>
              <w:rPr>
                <w:rFonts w:ascii="Arial" w:cs="Arial" w:eastAsia="Arial" w:hAnsi="Arial"/>
                <w:sz w:val="20"/>
                <w:szCs w:val="20"/>
                <w:color w:val="auto"/>
              </w:rPr>
              <w:t>[____]</w:t>
            </w:r>
          </w:p>
        </w:tc>
        <w:tc>
          <w:tcPr>
            <w:tcW w:w="31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[____]</w:t>
            </w:r>
          </w:p>
        </w:tc>
        <w:tc>
          <w:tcPr>
            <w:tcW w:w="0" w:type="dxa"/>
            <w:vAlign w:val="bottom"/>
          </w:tcPr>
          <w:p>
            <w:pPr>
              <w:spacing w:after="0"/>
              <w:rPr>
                <w:sz w:val="1"/>
                <w:szCs w:val="1"/>
                <w:color w:val="auto"/>
              </w:rPr>
            </w:pPr>
          </w:p>
        </w:tc>
      </w:tr>
      <w:tr>
        <w:trPr>
          <w:trHeight w:val="104"/>
        </w:trPr>
        <w:tc>
          <w:tcPr>
            <w:tcW w:w="2640" w:type="dxa"/>
            <w:vAlign w:val="bottom"/>
            <w:tcBorders>
              <w:left w:val="single" w:sz="8" w:color="auto"/>
              <w:bottom w:val="single" w:sz="8" w:color="auto"/>
              <w:right w:val="single" w:sz="8" w:color="auto"/>
            </w:tcBorders>
            <w:shd w:val="clear" w:color="auto" w:fill="D9D9D9"/>
          </w:tcPr>
          <w:p>
            <w:pPr>
              <w:spacing w:after="0"/>
              <w:rPr>
                <w:sz w:val="9"/>
                <w:szCs w:val="9"/>
                <w:color w:val="auto"/>
              </w:rPr>
            </w:pPr>
          </w:p>
        </w:tc>
        <w:tc>
          <w:tcPr>
            <w:tcW w:w="3240" w:type="dxa"/>
            <w:vAlign w:val="bottom"/>
            <w:tcBorders>
              <w:bottom w:val="single" w:sz="8" w:color="auto"/>
              <w:right w:val="single" w:sz="8" w:color="auto"/>
            </w:tcBorders>
          </w:tcPr>
          <w:p>
            <w:pPr>
              <w:spacing w:after="0"/>
              <w:rPr>
                <w:sz w:val="9"/>
                <w:szCs w:val="9"/>
                <w:color w:val="auto"/>
              </w:rPr>
            </w:pPr>
          </w:p>
        </w:tc>
        <w:tc>
          <w:tcPr>
            <w:tcW w:w="31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2640" w:type="dxa"/>
            <w:vAlign w:val="bottom"/>
            <w:tcBorders>
              <w:left w:val="single" w:sz="8" w:color="auto"/>
              <w:right w:val="single" w:sz="8" w:color="auto"/>
            </w:tcBorders>
            <w:vMerge w:val="restart"/>
            <w:shd w:val="clear" w:color="auto" w:fill="D9D9D9"/>
          </w:tcPr>
          <w:p>
            <w:pPr>
              <w:jc w:val="center"/>
              <w:spacing w:after="0"/>
              <w:rPr>
                <w:sz w:val="20"/>
                <w:szCs w:val="20"/>
                <w:color w:val="auto"/>
              </w:rPr>
            </w:pPr>
            <w:r>
              <w:rPr>
                <w:rFonts w:ascii="Arial" w:cs="Arial" w:eastAsia="Arial" w:hAnsi="Arial"/>
                <w:sz w:val="20"/>
                <w:szCs w:val="20"/>
                <w:b w:val="1"/>
                <w:bCs w:val="1"/>
                <w:color w:val="auto"/>
                <w:w w:val="89"/>
              </w:rPr>
              <w:t>Below Threshold</w:t>
            </w:r>
          </w:p>
        </w:tc>
        <w:tc>
          <w:tcPr>
            <w:tcW w:w="3240" w:type="dxa"/>
            <w:vAlign w:val="bottom"/>
            <w:tcBorders>
              <w:right w:val="single" w:sz="8" w:color="auto"/>
            </w:tcBorders>
          </w:tcPr>
          <w:p>
            <w:pPr>
              <w:jc w:val="right"/>
              <w:ind w:right="1281"/>
              <w:spacing w:after="0"/>
              <w:rPr>
                <w:sz w:val="20"/>
                <w:szCs w:val="20"/>
                <w:color w:val="auto"/>
              </w:rPr>
            </w:pPr>
            <w:r>
              <w:rPr>
                <w:rFonts w:ascii="Arial" w:cs="Arial" w:eastAsia="Arial" w:hAnsi="Arial"/>
                <w:sz w:val="20"/>
                <w:szCs w:val="20"/>
                <w:color w:val="auto"/>
              </w:rPr>
              <w:t>[____]</w:t>
            </w:r>
          </w:p>
        </w:tc>
        <w:tc>
          <w:tcPr>
            <w:tcW w:w="31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0"/>
              </w:rPr>
              <w:t>0% (award is forfeited and cancelled</w:t>
            </w:r>
          </w:p>
        </w:tc>
        <w:tc>
          <w:tcPr>
            <w:tcW w:w="0" w:type="dxa"/>
            <w:vAlign w:val="bottom"/>
          </w:tcPr>
          <w:p>
            <w:pPr>
              <w:spacing w:after="0"/>
              <w:rPr>
                <w:sz w:val="1"/>
                <w:szCs w:val="1"/>
                <w:color w:val="auto"/>
              </w:rPr>
            </w:pPr>
          </w:p>
        </w:tc>
      </w:tr>
      <w:tr>
        <w:trPr>
          <w:trHeight w:val="129"/>
        </w:trPr>
        <w:tc>
          <w:tcPr>
            <w:tcW w:w="2640" w:type="dxa"/>
            <w:vAlign w:val="bottom"/>
            <w:tcBorders>
              <w:left w:val="single" w:sz="8" w:color="auto"/>
              <w:right w:val="single" w:sz="8" w:color="auto"/>
            </w:tcBorders>
            <w:vMerge w:val="continue"/>
            <w:shd w:val="clear" w:color="auto" w:fill="D9D9D9"/>
          </w:tcPr>
          <w:p>
            <w:pPr>
              <w:spacing w:after="0"/>
              <w:rPr>
                <w:sz w:val="11"/>
                <w:szCs w:val="11"/>
                <w:color w:val="auto"/>
              </w:rPr>
            </w:pPr>
          </w:p>
        </w:tc>
        <w:tc>
          <w:tcPr>
            <w:tcW w:w="3240" w:type="dxa"/>
            <w:vAlign w:val="bottom"/>
            <w:tcBorders>
              <w:right w:val="single" w:sz="8" w:color="auto"/>
            </w:tcBorders>
          </w:tcPr>
          <w:p>
            <w:pPr>
              <w:spacing w:after="0"/>
              <w:rPr>
                <w:sz w:val="11"/>
                <w:szCs w:val="11"/>
                <w:color w:val="auto"/>
              </w:rPr>
            </w:pPr>
          </w:p>
        </w:tc>
        <w:tc>
          <w:tcPr>
            <w:tcW w:w="3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1"/>
              </w:rPr>
              <w:t>without payment)</w:t>
            </w:r>
          </w:p>
        </w:tc>
        <w:tc>
          <w:tcPr>
            <w:tcW w:w="0" w:type="dxa"/>
            <w:vAlign w:val="bottom"/>
          </w:tcPr>
          <w:p>
            <w:pPr>
              <w:spacing w:after="0"/>
              <w:rPr>
                <w:sz w:val="1"/>
                <w:szCs w:val="1"/>
                <w:color w:val="auto"/>
              </w:rPr>
            </w:pPr>
          </w:p>
        </w:tc>
      </w:tr>
      <w:tr>
        <w:trPr>
          <w:trHeight w:val="121"/>
        </w:trPr>
        <w:tc>
          <w:tcPr>
            <w:tcW w:w="2640" w:type="dxa"/>
            <w:vAlign w:val="bottom"/>
            <w:tcBorders>
              <w:left w:val="single" w:sz="8" w:color="auto"/>
              <w:right w:val="single" w:sz="8" w:color="auto"/>
            </w:tcBorders>
            <w:shd w:val="clear" w:color="auto" w:fill="D9D9D9"/>
          </w:tcPr>
          <w:p>
            <w:pPr>
              <w:spacing w:after="0"/>
              <w:rPr>
                <w:sz w:val="10"/>
                <w:szCs w:val="10"/>
                <w:color w:val="auto"/>
              </w:rPr>
            </w:pPr>
          </w:p>
        </w:tc>
        <w:tc>
          <w:tcPr>
            <w:tcW w:w="3240" w:type="dxa"/>
            <w:vAlign w:val="bottom"/>
            <w:tcBorders>
              <w:right w:val="single" w:sz="8" w:color="auto"/>
            </w:tcBorders>
          </w:tcPr>
          <w:p>
            <w:pPr>
              <w:spacing w:after="0"/>
              <w:rPr>
                <w:sz w:val="10"/>
                <w:szCs w:val="10"/>
                <w:color w:val="auto"/>
              </w:rPr>
            </w:pPr>
          </w:p>
        </w:tc>
        <w:tc>
          <w:tcPr>
            <w:tcW w:w="31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640" w:type="dxa"/>
            <w:vAlign w:val="bottom"/>
            <w:tcBorders>
              <w:left w:val="single" w:sz="8" w:color="auto"/>
              <w:bottom w:val="single" w:sz="8" w:color="auto"/>
              <w:right w:val="single" w:sz="8" w:color="auto"/>
            </w:tcBorders>
            <w:shd w:val="clear" w:color="auto" w:fill="D9D9D9"/>
          </w:tcPr>
          <w:p>
            <w:pPr>
              <w:spacing w:after="0"/>
              <w:rPr>
                <w:sz w:val="9"/>
                <w:szCs w:val="9"/>
                <w:color w:val="auto"/>
              </w:rPr>
            </w:pPr>
          </w:p>
        </w:tc>
        <w:tc>
          <w:tcPr>
            <w:tcW w:w="3240" w:type="dxa"/>
            <w:vAlign w:val="bottom"/>
            <w:tcBorders>
              <w:bottom w:val="single" w:sz="8" w:color="auto"/>
              <w:right w:val="single" w:sz="8" w:color="auto"/>
            </w:tcBorders>
          </w:tcPr>
          <w:p>
            <w:pPr>
              <w:spacing w:after="0"/>
              <w:rPr>
                <w:sz w:val="9"/>
                <w:szCs w:val="9"/>
                <w:color w:val="auto"/>
              </w:rPr>
            </w:pPr>
          </w:p>
        </w:tc>
        <w:tc>
          <w:tcPr>
            <w:tcW w:w="31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60"/>
        <w:spacing w:after="0" w:line="260" w:lineRule="auto"/>
        <w:rPr>
          <w:sz w:val="20"/>
          <w:szCs w:val="20"/>
          <w:color w:val="auto"/>
        </w:rPr>
      </w:pPr>
      <w:r>
        <w:rPr>
          <w:rFonts w:ascii="Arial" w:cs="Arial" w:eastAsia="Arial" w:hAnsi="Arial"/>
          <w:sz w:val="20"/>
          <w:szCs w:val="20"/>
          <w:color w:val="auto"/>
        </w:rPr>
        <w:t>The Award Modifier will be interpolated for performance between threshold and target milestones, and target and maximum milestones.</w:t>
      </w:r>
    </w:p>
    <w:p>
      <w:pPr>
        <w:spacing w:after="0" w:line="184" w:lineRule="exact"/>
        <w:rPr>
          <w:sz w:val="20"/>
          <w:szCs w:val="20"/>
          <w:color w:val="auto"/>
        </w:rPr>
      </w:pPr>
    </w:p>
    <w:p>
      <w:pPr>
        <w:jc w:val="both"/>
        <w:ind w:left="660" w:hanging="652"/>
        <w:spacing w:after="0" w:line="284" w:lineRule="auto"/>
        <w:tabs>
          <w:tab w:leader="none" w:pos="660" w:val="left"/>
        </w:tabs>
        <w:numPr>
          <w:ilvl w:val="0"/>
          <w:numId w:val="34"/>
        </w:numPr>
        <w:rPr>
          <w:rFonts w:ascii="Arial" w:cs="Arial" w:eastAsia="Arial" w:hAnsi="Arial"/>
          <w:sz w:val="21"/>
          <w:szCs w:val="21"/>
          <w:b w:val="1"/>
          <w:bCs w:val="1"/>
          <w:color w:val="auto"/>
        </w:rPr>
      </w:pPr>
      <w:r>
        <w:rPr>
          <w:rFonts w:ascii="Arial" w:cs="Arial" w:eastAsia="Arial" w:hAnsi="Arial"/>
          <w:sz w:val="19"/>
          <w:szCs w:val="19"/>
          <w:b w:val="1"/>
          <w:bCs w:val="1"/>
          <w:u w:val="single" w:color="auto"/>
          <w:color w:val="auto"/>
        </w:rPr>
        <w:t>PAYMENT</w:t>
      </w:r>
      <w:r>
        <w:rPr>
          <w:rFonts w:ascii="Arial" w:cs="Arial" w:eastAsia="Arial" w:hAnsi="Arial"/>
          <w:sz w:val="19"/>
          <w:szCs w:val="19"/>
          <w:b w:val="1"/>
          <w:bCs w:val="1"/>
          <w:color w:val="auto"/>
        </w:rPr>
        <w:t xml:space="preserve">. </w:t>
      </w:r>
      <w:r>
        <w:rPr>
          <w:rFonts w:ascii="Arial" w:cs="Arial" w:eastAsia="Arial" w:hAnsi="Arial"/>
          <w:sz w:val="19"/>
          <w:szCs w:val="19"/>
          <w:color w:val="auto"/>
        </w:rPr>
        <w:t>Except as otherwise expressly provided herein, the total value owed to you based on the calculations set forth above</w:t>
      </w:r>
      <w:r>
        <w:rPr>
          <w:rFonts w:ascii="Arial" w:cs="Arial" w:eastAsia="Arial" w:hAnsi="Arial"/>
          <w:sz w:val="19"/>
          <w:szCs w:val="19"/>
          <w:b w:val="1"/>
          <w:bCs w:val="1"/>
          <w:color w:val="auto"/>
        </w:rPr>
        <w:t xml:space="preserve"> </w:t>
      </w:r>
      <w:r>
        <w:rPr>
          <w:rFonts w:ascii="Arial" w:cs="Arial" w:eastAsia="Arial" w:hAnsi="Arial"/>
          <w:sz w:val="19"/>
          <w:szCs w:val="19"/>
          <w:color w:val="auto"/>
        </w:rPr>
        <w:t>will be paid to you one hundred percent (100%) in Stock of the Company, and will be paid to you by the legal entity that is a member of the Company Group (as defined below) and that is classified as your employer (the “</w:t>
      </w:r>
      <w:r>
        <w:rPr>
          <w:rFonts w:ascii="Arial" w:cs="Arial" w:eastAsia="Arial" w:hAnsi="Arial"/>
          <w:sz w:val="19"/>
          <w:szCs w:val="19"/>
          <w:i w:val="1"/>
          <w:iCs w:val="1"/>
          <w:color w:val="auto"/>
        </w:rPr>
        <w:t>Employer</w:t>
      </w:r>
      <w:r>
        <w:rPr>
          <w:rFonts w:ascii="Arial" w:cs="Arial" w:eastAsia="Arial" w:hAnsi="Arial"/>
          <w:sz w:val="19"/>
          <w:szCs w:val="19"/>
          <w:color w:val="auto"/>
        </w:rPr>
        <w:t>”) (or the Company, as applicable) as soon as administratively practicable following the date of the Committee’s certification that the Performance Goal has been satisfied, but no later than March 15 of the calendar year following the calendar year in which the Ending Date occurs (the “</w:t>
      </w:r>
      <w:r>
        <w:rPr>
          <w:rFonts w:ascii="Arial" w:cs="Arial" w:eastAsia="Arial" w:hAnsi="Arial"/>
          <w:sz w:val="19"/>
          <w:szCs w:val="19"/>
          <w:i w:val="1"/>
          <w:iCs w:val="1"/>
          <w:color w:val="auto"/>
        </w:rPr>
        <w:t>Payment</w:t>
      </w:r>
      <w:r>
        <w:rPr>
          <w:rFonts w:ascii="Arial" w:cs="Arial" w:eastAsia="Arial" w:hAnsi="Arial"/>
          <w:sz w:val="19"/>
          <w:szCs w:val="19"/>
          <w:color w:val="auto"/>
        </w:rPr>
        <w:t xml:space="preserve"> </w:t>
      </w:r>
      <w:r>
        <w:rPr>
          <w:rFonts w:ascii="Arial" w:cs="Arial" w:eastAsia="Arial" w:hAnsi="Arial"/>
          <w:sz w:val="19"/>
          <w:szCs w:val="19"/>
          <w:i w:val="1"/>
          <w:iCs w:val="1"/>
          <w:color w:val="auto"/>
        </w:rPr>
        <w:t>Date</w:t>
      </w:r>
      <w:r>
        <w:rPr>
          <w:rFonts w:ascii="Arial" w:cs="Arial" w:eastAsia="Arial" w:hAnsi="Arial"/>
          <w:sz w:val="19"/>
          <w:szCs w:val="19"/>
          <w:color w:val="auto"/>
        </w:rPr>
        <w:t>”). “</w:t>
      </w:r>
      <w:r>
        <w:rPr>
          <w:rFonts w:ascii="Arial" w:cs="Arial" w:eastAsia="Arial" w:hAnsi="Arial"/>
          <w:sz w:val="19"/>
          <w:szCs w:val="19"/>
          <w:i w:val="1"/>
          <w:iCs w:val="1"/>
          <w:color w:val="auto"/>
        </w:rPr>
        <w:t>Company Group</w:t>
      </w:r>
      <w:r>
        <w:rPr>
          <w:rFonts w:ascii="Arial" w:cs="Arial" w:eastAsia="Arial" w:hAnsi="Arial"/>
          <w:sz w:val="19"/>
          <w:szCs w:val="19"/>
          <w:color w:val="auto"/>
        </w:rPr>
        <w:t>” shall mean the Company and all Affiliates of the Company.</w:t>
      </w:r>
    </w:p>
    <w:p>
      <w:pPr>
        <w:spacing w:after="0" w:line="176" w:lineRule="exact"/>
        <w:rPr>
          <w:rFonts w:ascii="Arial" w:cs="Arial" w:eastAsia="Arial" w:hAnsi="Arial"/>
          <w:sz w:val="21"/>
          <w:szCs w:val="21"/>
          <w:b w:val="1"/>
          <w:bCs w:val="1"/>
          <w:color w:val="auto"/>
        </w:rPr>
      </w:pPr>
    </w:p>
    <w:p>
      <w:pPr>
        <w:ind w:left="660" w:right="8020" w:hanging="652"/>
        <w:spacing w:after="0" w:line="452" w:lineRule="auto"/>
        <w:tabs>
          <w:tab w:leader="none" w:pos="660" w:val="left"/>
        </w:tabs>
        <w:numPr>
          <w:ilvl w:val="0"/>
          <w:numId w:val="34"/>
        </w:numPr>
        <w:rPr>
          <w:rFonts w:ascii="Arial" w:cs="Arial" w:eastAsia="Arial" w:hAnsi="Arial"/>
          <w:sz w:val="22"/>
          <w:szCs w:val="22"/>
          <w:b w:val="1"/>
          <w:bCs w:val="1"/>
          <w:color w:val="auto"/>
        </w:rPr>
      </w:pPr>
      <w:r>
        <w:rPr>
          <w:rFonts w:ascii="Arial" w:cs="Arial" w:eastAsia="Arial" w:hAnsi="Arial"/>
          <w:sz w:val="20"/>
          <w:szCs w:val="20"/>
          <w:b w:val="1"/>
          <w:bCs w:val="1"/>
          <w:u w:val="single" w:color="auto"/>
          <w:color w:val="auto"/>
        </w:rPr>
        <w:t xml:space="preserve">EXAMPLE CALCULATION. </w:t>
      </w:r>
      <w:r>
        <w:rPr>
          <w:rFonts w:ascii="Arial" w:cs="Arial" w:eastAsia="Arial" w:hAnsi="Arial"/>
          <w:sz w:val="20"/>
          <w:szCs w:val="20"/>
          <w:color w:val="auto"/>
        </w:rPr>
        <w:t>Assume the following:</w:t>
      </w:r>
    </w:p>
    <w:p>
      <w:pPr>
        <w:ind w:left="1300" w:hanging="320"/>
        <w:spacing w:after="0"/>
        <w:tabs>
          <w:tab w:leader="none" w:pos="1300" w:val="left"/>
        </w:tabs>
        <w:numPr>
          <w:ilvl w:val="1"/>
          <w:numId w:val="34"/>
        </w:numPr>
        <w:rPr>
          <w:rFonts w:ascii="Arial" w:cs="Arial" w:eastAsia="Arial" w:hAnsi="Arial"/>
          <w:sz w:val="20"/>
          <w:szCs w:val="20"/>
          <w:color w:val="auto"/>
        </w:rPr>
      </w:pPr>
      <w:r>
        <w:rPr>
          <w:rFonts w:ascii="Arial" w:cs="Arial" w:eastAsia="Arial" w:hAnsi="Arial"/>
          <w:sz w:val="20"/>
          <w:szCs w:val="20"/>
          <w:color w:val="auto"/>
        </w:rPr>
        <w:t>PRSU Grant of 1,000 shares.</w:t>
      </w:r>
    </w:p>
    <w:p>
      <w:pPr>
        <w:spacing w:after="0" w:line="215" w:lineRule="exact"/>
        <w:rPr>
          <w:rFonts w:ascii="Arial" w:cs="Arial" w:eastAsia="Arial" w:hAnsi="Arial"/>
          <w:sz w:val="20"/>
          <w:szCs w:val="20"/>
          <w:color w:val="auto"/>
        </w:rPr>
      </w:pPr>
    </w:p>
    <w:p>
      <w:pPr>
        <w:ind w:left="1300" w:hanging="320"/>
        <w:spacing w:after="0"/>
        <w:tabs>
          <w:tab w:leader="none" w:pos="1300" w:val="left"/>
        </w:tabs>
        <w:numPr>
          <w:ilvl w:val="1"/>
          <w:numId w:val="34"/>
        </w:numPr>
        <w:rPr>
          <w:rFonts w:ascii="Arial" w:cs="Arial" w:eastAsia="Arial" w:hAnsi="Arial"/>
          <w:sz w:val="20"/>
          <w:szCs w:val="20"/>
          <w:color w:val="auto"/>
        </w:rPr>
      </w:pPr>
      <w:r>
        <w:rPr>
          <w:rFonts w:ascii="Arial" w:cs="Arial" w:eastAsia="Arial" w:hAnsi="Arial"/>
          <w:sz w:val="20"/>
          <w:szCs w:val="20"/>
          <w:color w:val="auto"/>
        </w:rPr>
        <w:t>Threshold, Target, and Maximum Award Modifiers of 50%, 100%, and 150% respectively.</w:t>
      </w:r>
    </w:p>
    <w:p>
      <w:pPr>
        <w:spacing w:after="0" w:line="215" w:lineRule="exact"/>
        <w:rPr>
          <w:rFonts w:ascii="Arial" w:cs="Arial" w:eastAsia="Arial" w:hAnsi="Arial"/>
          <w:sz w:val="20"/>
          <w:szCs w:val="20"/>
          <w:color w:val="auto"/>
        </w:rPr>
      </w:pPr>
    </w:p>
    <w:p>
      <w:pPr>
        <w:ind w:left="1300" w:hanging="320"/>
        <w:spacing w:after="0"/>
        <w:tabs>
          <w:tab w:leader="none" w:pos="1300" w:val="left"/>
        </w:tabs>
        <w:numPr>
          <w:ilvl w:val="1"/>
          <w:numId w:val="34"/>
        </w:numPr>
        <w:rPr>
          <w:rFonts w:ascii="Arial" w:cs="Arial" w:eastAsia="Arial" w:hAnsi="Arial"/>
          <w:sz w:val="20"/>
          <w:szCs w:val="20"/>
          <w:color w:val="auto"/>
        </w:rPr>
      </w:pPr>
      <w:r>
        <w:rPr>
          <w:rFonts w:ascii="Arial" w:cs="Arial" w:eastAsia="Arial" w:hAnsi="Arial"/>
          <w:sz w:val="20"/>
          <w:szCs w:val="20"/>
          <w:color w:val="auto"/>
        </w:rPr>
        <w:t>Company achieves its Performance Goal equal to precisely the target milestone.</w:t>
      </w:r>
    </w:p>
    <w:p>
      <w:pPr>
        <w:sectPr>
          <w:pgSz w:w="11900" w:h="16838" w:orient="portrait"/>
          <w:cols w:equalWidth="0" w:num="1">
            <w:col w:w="11240"/>
          </w:cols>
          <w:pgMar w:left="320" w:top="549" w:right="339" w:bottom="0" w:gutter="0" w:footer="0" w:header="0"/>
          <w:type w:val="continuous"/>
        </w:sectPr>
      </w:pPr>
    </w:p>
    <w:bookmarkStart w:id="62" w:name="page63"/>
    <w:bookmarkEnd w:id="62"/>
    <w:p>
      <w:pPr>
        <w:spacing w:after="0" w:line="126" w:lineRule="exact"/>
        <w:rPr>
          <w:sz w:val="20"/>
          <w:szCs w:val="20"/>
          <w:color w:val="auto"/>
        </w:rPr>
      </w:pPr>
    </w:p>
    <w:p>
      <w:pPr>
        <w:ind w:left="652"/>
        <w:spacing w:after="0"/>
        <w:rPr>
          <w:sz w:val="20"/>
          <w:szCs w:val="20"/>
          <w:color w:val="auto"/>
        </w:rPr>
      </w:pPr>
      <w:r>
        <w:rPr>
          <w:rFonts w:ascii="Arial" w:cs="Arial" w:eastAsia="Arial" w:hAnsi="Arial"/>
          <w:sz w:val="20"/>
          <w:szCs w:val="20"/>
          <w:color w:val="auto"/>
        </w:rPr>
        <w:t>The total number of Performance Restricted Stock Units to vest would be the following:</w:t>
      </w:r>
    </w:p>
    <w:p>
      <w:pPr>
        <w:spacing w:after="0" w:line="216" w:lineRule="exact"/>
        <w:rPr>
          <w:sz w:val="20"/>
          <w:szCs w:val="20"/>
          <w:color w:val="auto"/>
        </w:rPr>
      </w:pPr>
    </w:p>
    <w:p>
      <w:pPr>
        <w:ind w:left="652"/>
        <w:spacing w:after="0"/>
        <w:rPr>
          <w:sz w:val="20"/>
          <w:szCs w:val="20"/>
          <w:color w:val="auto"/>
        </w:rPr>
      </w:pPr>
      <w:r>
        <w:rPr>
          <w:rFonts w:ascii="Arial" w:cs="Arial" w:eastAsia="Arial" w:hAnsi="Arial"/>
          <w:sz w:val="20"/>
          <w:szCs w:val="20"/>
          <w:color w:val="auto"/>
        </w:rPr>
        <w:t>1,000 PRSUs x 100% Award Modifier = 1,000 PRSUs</w:t>
      </w:r>
    </w:p>
    <w:p>
      <w:pPr>
        <w:spacing w:after="0" w:line="210" w:lineRule="exact"/>
        <w:rPr>
          <w:sz w:val="20"/>
          <w:szCs w:val="20"/>
          <w:color w:val="auto"/>
        </w:rPr>
      </w:pPr>
    </w:p>
    <w:p>
      <w:pPr>
        <w:ind w:left="652"/>
        <w:spacing w:after="0"/>
        <w:rPr>
          <w:sz w:val="20"/>
          <w:szCs w:val="20"/>
          <w:color w:val="auto"/>
        </w:rPr>
      </w:pPr>
      <w:r>
        <w:rPr>
          <w:rFonts w:ascii="Arial" w:cs="Arial" w:eastAsia="Arial" w:hAnsi="Arial"/>
          <w:sz w:val="20"/>
          <w:szCs w:val="20"/>
          <w:b w:val="1"/>
          <w:bCs w:val="1"/>
          <w:color w:val="auto"/>
        </w:rPr>
        <w:t>Total PRSUs to vest = 1,000 Shares of Stock</w:t>
      </w:r>
    </w:p>
    <w:p>
      <w:pPr>
        <w:spacing w:after="0" w:line="229" w:lineRule="exact"/>
        <w:rPr>
          <w:sz w:val="20"/>
          <w:szCs w:val="20"/>
          <w:color w:val="auto"/>
        </w:rPr>
      </w:pPr>
    </w:p>
    <w:p>
      <w:pPr>
        <w:jc w:val="both"/>
        <w:ind w:left="652" w:hanging="652"/>
        <w:spacing w:after="0" w:line="267" w:lineRule="auto"/>
        <w:tabs>
          <w:tab w:leader="none" w:pos="652" w:val="left"/>
        </w:tabs>
        <w:numPr>
          <w:ilvl w:val="0"/>
          <w:numId w:val="35"/>
        </w:numPr>
        <w:rPr>
          <w:rFonts w:ascii="Arial" w:cs="Arial" w:eastAsia="Arial" w:hAnsi="Arial"/>
          <w:sz w:val="22"/>
          <w:szCs w:val="22"/>
          <w:b w:val="1"/>
          <w:bCs w:val="1"/>
          <w:color w:val="auto"/>
        </w:rPr>
      </w:pPr>
      <w:r>
        <w:rPr>
          <w:rFonts w:ascii="Arial" w:cs="Arial" w:eastAsia="Arial" w:hAnsi="Arial"/>
          <w:sz w:val="20"/>
          <w:szCs w:val="20"/>
          <w:b w:val="1"/>
          <w:bCs w:val="1"/>
          <w:u w:val="single" w:color="auto"/>
          <w:color w:val="auto"/>
        </w:rPr>
        <w:t>SEPARATION FROM SERVICE/CHANGE IN CONTROL OF THE COMPANY</w:t>
      </w:r>
      <w:r>
        <w:rPr>
          <w:rFonts w:ascii="Arial" w:cs="Arial" w:eastAsia="Arial" w:hAnsi="Arial"/>
          <w:sz w:val="20"/>
          <w:szCs w:val="20"/>
          <w:b w:val="1"/>
          <w:bCs w:val="1"/>
          <w:color w:val="auto"/>
        </w:rPr>
        <w:t xml:space="preserve">. </w:t>
      </w:r>
      <w:r>
        <w:rPr>
          <w:rFonts w:ascii="Arial" w:cs="Arial" w:eastAsia="Arial" w:hAnsi="Arial"/>
          <w:sz w:val="20"/>
          <w:szCs w:val="20"/>
          <w:color w:val="auto"/>
        </w:rPr>
        <w:t>Notwithstanding anything to the contrary in</w:t>
      </w:r>
      <w:r>
        <w:rPr>
          <w:rFonts w:ascii="Arial" w:cs="Arial" w:eastAsia="Arial" w:hAnsi="Arial"/>
          <w:sz w:val="20"/>
          <w:szCs w:val="20"/>
          <w:b w:val="1"/>
          <w:bCs w:val="1"/>
          <w:color w:val="auto"/>
        </w:rPr>
        <w:t xml:space="preserve"> </w:t>
      </w:r>
      <w:r>
        <w:rPr>
          <w:rFonts w:ascii="Arial" w:cs="Arial" w:eastAsia="Arial" w:hAnsi="Arial"/>
          <w:sz w:val="20"/>
          <w:szCs w:val="20"/>
          <w:color w:val="auto"/>
        </w:rPr>
        <w:t>this Agreement, the following provisions will apply in the event of your Separation from Service (within the meaning of Section 409A (your “</w:t>
      </w:r>
      <w:r>
        <w:rPr>
          <w:rFonts w:ascii="Arial" w:cs="Arial" w:eastAsia="Arial" w:hAnsi="Arial"/>
          <w:sz w:val="20"/>
          <w:szCs w:val="20"/>
          <w:i w:val="1"/>
          <w:iCs w:val="1"/>
          <w:color w:val="auto"/>
        </w:rPr>
        <w:t>Separation from Service</w:t>
      </w:r>
      <w:r>
        <w:rPr>
          <w:rFonts w:ascii="Arial" w:cs="Arial" w:eastAsia="Arial" w:hAnsi="Arial"/>
          <w:sz w:val="20"/>
          <w:szCs w:val="20"/>
          <w:color w:val="auto"/>
        </w:rPr>
        <w:t>”)) from the Company Group, or a Change in Control (as such term is defined in the Plan) of the Company occurs, on or before the Ending Date.</w:t>
      </w:r>
    </w:p>
    <w:p>
      <w:pPr>
        <w:spacing w:after="0" w:line="194" w:lineRule="exact"/>
        <w:rPr>
          <w:rFonts w:ascii="Arial" w:cs="Arial" w:eastAsia="Arial" w:hAnsi="Arial"/>
          <w:sz w:val="22"/>
          <w:szCs w:val="22"/>
          <w:b w:val="1"/>
          <w:bCs w:val="1"/>
          <w:color w:val="auto"/>
        </w:rPr>
      </w:pPr>
    </w:p>
    <w:p>
      <w:pPr>
        <w:jc w:val="both"/>
        <w:ind w:left="652"/>
        <w:spacing w:after="0" w:line="307" w:lineRule="auto"/>
        <w:rPr>
          <w:rFonts w:ascii="Arial" w:cs="Arial" w:eastAsia="Arial" w:hAnsi="Arial"/>
          <w:sz w:val="22"/>
          <w:szCs w:val="22"/>
          <w:b w:val="1"/>
          <w:bCs w:val="1"/>
          <w:color w:val="auto"/>
        </w:rPr>
      </w:pPr>
      <w:r>
        <w:rPr>
          <w:rFonts w:ascii="Arial" w:cs="Arial" w:eastAsia="Arial" w:hAnsi="Arial"/>
          <w:sz w:val="21"/>
          <w:szCs w:val="21"/>
          <w:color w:val="auto"/>
        </w:rPr>
        <w:t xml:space="preserve">5.1 </w:t>
      </w:r>
      <w:r>
        <w:rPr>
          <w:rFonts w:ascii="Arial" w:cs="Arial" w:eastAsia="Arial" w:hAnsi="Arial"/>
          <w:sz w:val="18"/>
          <w:szCs w:val="18"/>
          <w:u w:val="single" w:color="auto"/>
          <w:color w:val="auto"/>
        </w:rPr>
        <w:t>Separation from Service Generally</w:t>
      </w:r>
      <w:r>
        <w:rPr>
          <w:rFonts w:ascii="Arial" w:cs="Arial" w:eastAsia="Arial" w:hAnsi="Arial"/>
          <w:sz w:val="18"/>
          <w:szCs w:val="18"/>
          <w:color w:val="auto"/>
        </w:rPr>
        <w:t>. Except as otherwise expressly provided to the contrary in this Section 5, in the event of</w:t>
      </w:r>
      <w:r>
        <w:rPr>
          <w:rFonts w:ascii="Arial" w:cs="Arial" w:eastAsia="Arial" w:hAnsi="Arial"/>
          <w:sz w:val="21"/>
          <w:szCs w:val="21"/>
          <w:color w:val="auto"/>
        </w:rPr>
        <w:t xml:space="preserve"> </w:t>
      </w:r>
      <w:r>
        <w:rPr>
          <w:rFonts w:ascii="Arial" w:cs="Arial" w:eastAsia="Arial" w:hAnsi="Arial"/>
          <w:sz w:val="18"/>
          <w:szCs w:val="18"/>
          <w:color w:val="auto"/>
        </w:rPr>
        <w:t>your Separation from Service on or before the Ending Date, all of your rights in this Agreement, including all rights to the PRSUs granted to you, will lapse and be completely forfeited without consideration on the date of your Separation from Service.</w:t>
      </w:r>
    </w:p>
    <w:p>
      <w:pPr>
        <w:spacing w:after="0" w:line="160" w:lineRule="exact"/>
        <w:rPr>
          <w:rFonts w:ascii="Arial" w:cs="Arial" w:eastAsia="Arial" w:hAnsi="Arial"/>
          <w:sz w:val="22"/>
          <w:szCs w:val="22"/>
          <w:b w:val="1"/>
          <w:bCs w:val="1"/>
          <w:color w:val="auto"/>
        </w:rPr>
      </w:pPr>
    </w:p>
    <w:p>
      <w:pPr>
        <w:jc w:val="both"/>
        <w:ind w:left="652"/>
        <w:spacing w:after="0" w:line="278" w:lineRule="auto"/>
        <w:rPr>
          <w:rFonts w:ascii="Arial" w:cs="Arial" w:eastAsia="Arial" w:hAnsi="Arial"/>
          <w:sz w:val="22"/>
          <w:szCs w:val="22"/>
          <w:b w:val="1"/>
          <w:bCs w:val="1"/>
          <w:color w:val="auto"/>
        </w:rPr>
      </w:pPr>
      <w:r>
        <w:rPr>
          <w:rFonts w:ascii="Arial" w:cs="Arial" w:eastAsia="Arial" w:hAnsi="Arial"/>
          <w:sz w:val="22"/>
          <w:szCs w:val="22"/>
          <w:color w:val="auto"/>
        </w:rPr>
        <w:t xml:space="preserve">5.2 </w:t>
      </w:r>
      <w:r>
        <w:rPr>
          <w:rFonts w:ascii="Arial" w:cs="Arial" w:eastAsia="Arial" w:hAnsi="Arial"/>
          <w:sz w:val="19"/>
          <w:szCs w:val="19"/>
          <w:u w:val="single" w:color="auto"/>
          <w:color w:val="auto"/>
        </w:rPr>
        <w:t>Change in Control of the Company.</w:t>
      </w:r>
      <w:r>
        <w:rPr>
          <w:rFonts w:ascii="Arial" w:cs="Arial" w:eastAsia="Arial" w:hAnsi="Arial"/>
          <w:sz w:val="22"/>
          <w:szCs w:val="22"/>
          <w:color w:val="auto"/>
        </w:rPr>
        <w:t xml:space="preserve"> </w:t>
      </w:r>
      <w:r>
        <w:rPr>
          <w:rFonts w:ascii="Arial" w:cs="Arial" w:eastAsia="Arial" w:hAnsi="Arial"/>
          <w:sz w:val="19"/>
          <w:szCs w:val="19"/>
          <w:color w:val="auto"/>
        </w:rPr>
        <w:t>If a Change in Control of the Company occurs on or before the Ending Date, you do not</w:t>
      </w:r>
      <w:r>
        <w:rPr>
          <w:rFonts w:ascii="Arial" w:cs="Arial" w:eastAsia="Arial" w:hAnsi="Arial"/>
          <w:sz w:val="22"/>
          <w:szCs w:val="22"/>
          <w:color w:val="auto"/>
        </w:rPr>
        <w:t xml:space="preserve"> </w:t>
      </w:r>
      <w:r>
        <w:rPr>
          <w:rFonts w:ascii="Arial" w:cs="Arial" w:eastAsia="Arial" w:hAnsi="Arial"/>
          <w:sz w:val="19"/>
          <w:szCs w:val="19"/>
          <w:color w:val="auto"/>
        </w:rPr>
        <w:t>incur a Separation from Service prior to that time, and the successor company in the Change in Control does not otherwise assume or substitute for the award granted hereby, then the PRSUs shall immediately vest in full. The number of earned PRSUs will be determined by measuring actual performance as of the date of the Change in Control and in accordance with the Award Modifier, if calculable at that time, and if not calculable, shall be based on the target Award. Notwithstanding the foregoing, if a Change in Control constitutes a payment event with respect to the deferral of compensation and payment hereunder is subject to Section 409A, then the transaction or event with respect to such payment must also constitute a “</w:t>
      </w:r>
      <w:r>
        <w:rPr>
          <w:rFonts w:ascii="Arial" w:cs="Arial" w:eastAsia="Arial" w:hAnsi="Arial"/>
          <w:sz w:val="19"/>
          <w:szCs w:val="19"/>
          <w:i w:val="1"/>
          <w:iCs w:val="1"/>
          <w:color w:val="auto"/>
        </w:rPr>
        <w:t>change in control event</w:t>
      </w:r>
      <w:r>
        <w:rPr>
          <w:rFonts w:ascii="Arial" w:cs="Arial" w:eastAsia="Arial" w:hAnsi="Arial"/>
          <w:sz w:val="19"/>
          <w:szCs w:val="19"/>
          <w:color w:val="auto"/>
        </w:rPr>
        <w:t>,” as defined in Treasury Regulation §1.409A-3(i)(5) to the extent required by Section 409A, and if it does not, and the payment does not meet any other exemption under Section 409A, then payment shall be made when it otherwise would have been made, notwithstanding the Change in Control.</w:t>
      </w:r>
    </w:p>
    <w:p>
      <w:pPr>
        <w:spacing w:after="0" w:line="175" w:lineRule="exact"/>
        <w:rPr>
          <w:sz w:val="20"/>
          <w:szCs w:val="20"/>
          <w:color w:val="auto"/>
        </w:rPr>
      </w:pPr>
    </w:p>
    <w:p>
      <w:pPr>
        <w:ind w:left="652"/>
        <w:spacing w:after="0" w:line="275" w:lineRule="auto"/>
        <w:rPr>
          <w:sz w:val="20"/>
          <w:szCs w:val="20"/>
          <w:color w:val="auto"/>
        </w:rPr>
      </w:pPr>
      <w:r>
        <w:rPr>
          <w:rFonts w:ascii="Arial" w:cs="Arial" w:eastAsia="Arial" w:hAnsi="Arial"/>
          <w:sz w:val="18"/>
          <w:szCs w:val="18"/>
          <w:color w:val="auto"/>
        </w:rPr>
        <w:t>If this Award is assumed or substituted for in connection with a Change in Control, and if you incur an involuntary termination by the Company or its successor without Cause, or you voluntarily terminate employment for Good Reason, in each case within twenty-four</w:t>
      </w:r>
    </w:p>
    <w:p>
      <w:pPr>
        <w:spacing w:after="0" w:line="1" w:lineRule="exact"/>
        <w:rPr>
          <w:sz w:val="20"/>
          <w:szCs w:val="20"/>
          <w:color w:val="auto"/>
        </w:rPr>
      </w:pPr>
    </w:p>
    <w:p>
      <w:pPr>
        <w:ind w:left="652" w:hanging="4"/>
        <w:spacing w:after="0" w:line="244" w:lineRule="auto"/>
        <w:tabs>
          <w:tab w:leader="none" w:pos="1038" w:val="left"/>
        </w:tabs>
        <w:numPr>
          <w:ilvl w:val="0"/>
          <w:numId w:val="36"/>
        </w:numPr>
        <w:rPr>
          <w:rFonts w:ascii="Arial" w:cs="Arial" w:eastAsia="Arial" w:hAnsi="Arial"/>
          <w:sz w:val="20"/>
          <w:szCs w:val="20"/>
          <w:color w:val="auto"/>
        </w:rPr>
      </w:pPr>
      <w:r>
        <w:rPr>
          <w:rFonts w:ascii="Arial" w:cs="Arial" w:eastAsia="Arial" w:hAnsi="Arial"/>
          <w:sz w:val="20"/>
          <w:szCs w:val="20"/>
          <w:color w:val="auto"/>
        </w:rPr>
        <w:t>months following the effective date of a Change in Control of the Company, then any unvested portion of this Award shall vest in full upon such termination. For purposes of this Award, the following terms are defined as follows:</w:t>
      </w:r>
    </w:p>
    <w:p>
      <w:pPr>
        <w:spacing w:after="0" w:line="83" w:lineRule="exact"/>
        <w:rPr>
          <w:sz w:val="20"/>
          <w:szCs w:val="20"/>
          <w:color w:val="auto"/>
        </w:rPr>
      </w:pPr>
    </w:p>
    <w:p>
      <w:pPr>
        <w:jc w:val="both"/>
        <w:ind w:left="652"/>
        <w:spacing w:after="0" w:line="259" w:lineRule="auto"/>
        <w:rPr>
          <w:sz w:val="20"/>
          <w:szCs w:val="20"/>
          <w:color w:val="auto"/>
        </w:rPr>
      </w:pPr>
      <w:r>
        <w:rPr>
          <w:rFonts w:ascii="Arial" w:cs="Arial" w:eastAsia="Arial" w:hAnsi="Arial"/>
          <w:sz w:val="19"/>
          <w:szCs w:val="19"/>
          <w:i w:val="1"/>
          <w:iCs w:val="1"/>
          <w:color w:val="auto"/>
        </w:rPr>
        <w:t xml:space="preserve">“Cause” </w:t>
      </w:r>
      <w:r>
        <w:rPr>
          <w:rFonts w:ascii="Arial" w:cs="Arial" w:eastAsia="Arial" w:hAnsi="Arial"/>
          <w:sz w:val="19"/>
          <w:szCs w:val="19"/>
          <w:color w:val="auto"/>
        </w:rPr>
        <w:t>means any action or inaction by you that constitutes (a) gross negligence or willful misconduct in connection with your</w:t>
      </w:r>
      <w:r>
        <w:rPr>
          <w:rFonts w:ascii="Arial" w:cs="Arial" w:eastAsia="Arial" w:hAnsi="Arial"/>
          <w:sz w:val="19"/>
          <w:szCs w:val="19"/>
          <w:i w:val="1"/>
          <w:iCs w:val="1"/>
          <w:color w:val="auto"/>
        </w:rPr>
        <w:t xml:space="preserve"> </w:t>
      </w:r>
      <w:r>
        <w:rPr>
          <w:rFonts w:ascii="Arial" w:cs="Arial" w:eastAsia="Arial" w:hAnsi="Arial"/>
          <w:sz w:val="19"/>
          <w:szCs w:val="19"/>
          <w:color w:val="auto"/>
        </w:rPr>
        <w:t>duties or in the course of your employment with the Company; (b) any act of fraud, embezzlement or theft in connection with your duties or in the course of employment with the Company; (c) intentional wrongful damage to property of the Company; (d) a substantial failure by you to perform your duties after notice to you and a reasonable opportunity to cure; (e) your material breach of restrictive covenants contained in any Company policy or any agreement between you and the Company; or (f) your intentional wrongful disclosure of secret processes or confidential information of the Company.</w:t>
      </w:r>
    </w:p>
    <w:p>
      <w:pPr>
        <w:spacing w:after="0" w:line="192" w:lineRule="exact"/>
        <w:rPr>
          <w:sz w:val="20"/>
          <w:szCs w:val="20"/>
          <w:color w:val="auto"/>
        </w:rPr>
      </w:pPr>
    </w:p>
    <w:p>
      <w:pPr>
        <w:jc w:val="both"/>
        <w:ind w:left="652"/>
        <w:spacing w:after="0" w:line="267" w:lineRule="auto"/>
        <w:rPr>
          <w:sz w:val="20"/>
          <w:szCs w:val="20"/>
          <w:color w:val="auto"/>
        </w:rPr>
      </w:pPr>
      <w:r>
        <w:rPr>
          <w:rFonts w:ascii="Arial" w:cs="Arial" w:eastAsia="Arial" w:hAnsi="Arial"/>
          <w:sz w:val="18"/>
          <w:szCs w:val="18"/>
          <w:i w:val="1"/>
          <w:iCs w:val="1"/>
          <w:color w:val="auto"/>
        </w:rPr>
        <w:t xml:space="preserve">“Good Reason” </w:t>
      </w:r>
      <w:r>
        <w:rPr>
          <w:rFonts w:ascii="Arial" w:cs="Arial" w:eastAsia="Arial" w:hAnsi="Arial"/>
          <w:sz w:val="18"/>
          <w:szCs w:val="18"/>
          <w:color w:val="auto"/>
        </w:rPr>
        <w:t>means, to the extent any such action has been taken without your written consent, the occurrence of any of the</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events: (a) the Company or its successor assigns to you any duties materially inconsistent with your position (including offices, titles and reporting requirements), authority, duties or responsibilities with the Company in effect immediately before the occurrence of the Change in Control, or otherwise makes any material negative change in any such position, authority, duties or responsibilities; (b) the Company or its successor takes any other action that results in a material diminution in such position, authority, duties or responsibilities or otherwise take any action that materially interferes therewith; (c) the Company or its successor materially reduces your annual base salary or target annual bonus as in effect immediately before the occurrence of the Change in Control, other than as part of a reduction of less than ten percent (10%) that is applicable to all executives of the Company or its successor; or (d) the Company or its successor relocates your principal office more than fifty (50) miles from your principal office at the time of the Change in Control, provided that such relocation results in an increase to your daily commute time. A termination for Good Reason also requires that you give the Company written notice of the Good Reason facts and circumstances within sixty (60) days of after becoming aware (or should have become aware) of the applicable facts and circumstances, the Company has an opportunity to cure such circumstances within thirty (30) days after receipt of notice, and you must terminate employment within thirty (30) days after expiration of the Company’s opportunity to cure.</w:t>
      </w:r>
    </w:p>
    <w:p>
      <w:pPr>
        <w:spacing w:after="0" w:line="10" w:lineRule="exact"/>
        <w:rPr>
          <w:sz w:val="20"/>
          <w:szCs w:val="20"/>
          <w:color w:val="auto"/>
        </w:rPr>
      </w:pPr>
    </w:p>
    <w:p>
      <w:pPr>
        <w:jc w:val="both"/>
        <w:ind w:left="652"/>
        <w:spacing w:after="0" w:line="293" w:lineRule="auto"/>
        <w:rPr>
          <w:sz w:val="20"/>
          <w:szCs w:val="20"/>
          <w:color w:val="auto"/>
        </w:rPr>
      </w:pPr>
      <w:r>
        <w:rPr>
          <w:rFonts w:ascii="Arial" w:cs="Arial" w:eastAsia="Arial" w:hAnsi="Arial"/>
          <w:sz w:val="21"/>
          <w:szCs w:val="21"/>
          <w:color w:val="auto"/>
        </w:rPr>
        <w:t xml:space="preserve">5.3 </w:t>
      </w:r>
      <w:r>
        <w:rPr>
          <w:rFonts w:ascii="Arial" w:cs="Arial" w:eastAsia="Arial" w:hAnsi="Arial"/>
          <w:sz w:val="18"/>
          <w:szCs w:val="18"/>
          <w:u w:val="single" w:color="auto"/>
          <w:color w:val="auto"/>
        </w:rPr>
        <w:t>Death, Disability, or Retirement</w:t>
      </w:r>
      <w:r>
        <w:rPr>
          <w:rFonts w:ascii="Arial" w:cs="Arial" w:eastAsia="Arial" w:hAnsi="Arial"/>
          <w:sz w:val="18"/>
          <w:szCs w:val="18"/>
          <w:color w:val="auto"/>
        </w:rPr>
        <w:t>. In the event of your Separation from Service due to your death or Disability on or before the</w:t>
      </w:r>
      <w:r>
        <w:rPr>
          <w:rFonts w:ascii="Arial" w:cs="Arial" w:eastAsia="Arial" w:hAnsi="Arial"/>
          <w:sz w:val="21"/>
          <w:szCs w:val="21"/>
          <w:color w:val="auto"/>
        </w:rPr>
        <w:t xml:space="preserve"> </w:t>
      </w:r>
      <w:r>
        <w:rPr>
          <w:rFonts w:ascii="Arial" w:cs="Arial" w:eastAsia="Arial" w:hAnsi="Arial"/>
          <w:sz w:val="18"/>
          <w:szCs w:val="18"/>
          <w:color w:val="auto"/>
        </w:rPr>
        <w:t>Ending Date, you (or your estate) will be entitled to receive your target Award as soon as reasonably practicable following your Separation from Service. In the event of your Separation from Service due to your Retirement on or before the Ending Date, (a) you or your estate will be eligible to vest in a pro-rata portion of this award based on actual performance results for the full Performance Period and your length of service, which shall be calculated as the product of (1) and (2) where (1) is the number of shares you would have received under this Agreement if you had not incurred a Separation from Service on or before the Ending Date and (2) is a fraction, the numerator of which is the number of days from the beginning of the Performance Period through the date of your Separation from Service and the denominator of which is the number of days in the Performance Period. Any amount payable pursuant to this Section 5.3 as a result of Retirement will be paid to you (or your estate) on the same date as for then employed participants. For purposes of this Section 5.3, “</w:t>
      </w:r>
      <w:r>
        <w:rPr>
          <w:rFonts w:ascii="Arial" w:cs="Arial" w:eastAsia="Arial" w:hAnsi="Arial"/>
          <w:sz w:val="18"/>
          <w:szCs w:val="18"/>
          <w:i w:val="1"/>
          <w:iCs w:val="1"/>
          <w:color w:val="auto"/>
        </w:rPr>
        <w:t>Retirement</w:t>
      </w:r>
      <w:r>
        <w:rPr>
          <w:rFonts w:ascii="Arial" w:cs="Arial" w:eastAsia="Arial" w:hAnsi="Arial"/>
          <w:sz w:val="18"/>
          <w:szCs w:val="18"/>
          <w:color w:val="auto"/>
        </w:rPr>
        <w:t>” means your voluntary Separation from Service on or after the date on which (a) you are age 65 or (b) you are age 55 and have five years of service with the Company Group.</w:t>
      </w:r>
    </w:p>
    <w:p>
      <w:pPr>
        <w:spacing w:after="0" w:line="174" w:lineRule="exact"/>
        <w:rPr>
          <w:sz w:val="20"/>
          <w:szCs w:val="20"/>
          <w:color w:val="auto"/>
        </w:rPr>
      </w:pPr>
    </w:p>
    <w:p>
      <w:pPr>
        <w:jc w:val="both"/>
        <w:ind w:left="652" w:hanging="652"/>
        <w:spacing w:after="0" w:line="307" w:lineRule="auto"/>
        <w:tabs>
          <w:tab w:leader="none" w:pos="652" w:val="left"/>
        </w:tabs>
        <w:numPr>
          <w:ilvl w:val="0"/>
          <w:numId w:val="37"/>
        </w:numPr>
        <w:rPr>
          <w:rFonts w:ascii="Arial" w:cs="Arial" w:eastAsia="Arial" w:hAnsi="Arial"/>
          <w:sz w:val="19"/>
          <w:szCs w:val="19"/>
          <w:b w:val="1"/>
          <w:bCs w:val="1"/>
          <w:color w:val="auto"/>
        </w:rPr>
      </w:pPr>
      <w:r>
        <w:rPr>
          <w:rFonts w:ascii="Arial" w:cs="Arial" w:eastAsia="Arial" w:hAnsi="Arial"/>
          <w:sz w:val="18"/>
          <w:szCs w:val="18"/>
          <w:b w:val="1"/>
          <w:bCs w:val="1"/>
          <w:u w:val="single" w:color="auto"/>
          <w:color w:val="auto"/>
        </w:rPr>
        <w:t>TAX WITHHOLDING</w:t>
      </w:r>
      <w:r>
        <w:rPr>
          <w:rFonts w:ascii="Arial" w:cs="Arial" w:eastAsia="Arial" w:hAnsi="Arial"/>
          <w:sz w:val="18"/>
          <w:szCs w:val="18"/>
          <w:color w:val="auto"/>
        </w:rPr>
        <w:t>. To the extent that the issuance of shares of Stock or any payment pursuant to this Agreement results in</w:t>
      </w:r>
      <w:r>
        <w:rPr>
          <w:rFonts w:ascii="Arial" w:cs="Arial" w:eastAsia="Arial" w:hAnsi="Arial"/>
          <w:sz w:val="18"/>
          <w:szCs w:val="18"/>
          <w:b w:val="1"/>
          <w:bCs w:val="1"/>
          <w:color w:val="auto"/>
        </w:rPr>
        <w:t xml:space="preserve"> </w:t>
      </w:r>
      <w:r>
        <w:rPr>
          <w:rFonts w:ascii="Arial" w:cs="Arial" w:eastAsia="Arial" w:hAnsi="Arial"/>
          <w:sz w:val="18"/>
          <w:szCs w:val="18"/>
          <w:color w:val="auto"/>
        </w:rPr>
        <w:t>income, wages or other compensation to you for any income, employment or other tax purposes with respect to which the Company or Employer, as applicable, has a withholding obligation, you shall deliver to the Company or the Employer at the time of such receipt, issuance, or payment, as the case may be, such amount of money as the Company or the Employer may require to meet its obligation under applicable tax laws or regulations, and, if you fail to do so, the Company or the Employer is authorized to withhold</w:t>
      </w:r>
    </w:p>
    <w:p>
      <w:pPr>
        <w:sectPr>
          <w:pgSz w:w="11900" w:h="16965" w:orient="portrait"/>
          <w:cols w:equalWidth="0" w:num="1">
            <w:col w:w="11232"/>
          </w:cols>
          <w:pgMar w:left="328" w:top="150" w:right="339" w:bottom="0" w:gutter="0" w:footer="0" w:header="0"/>
        </w:sectPr>
      </w:pPr>
    </w:p>
    <w:bookmarkStart w:id="63" w:name="page64"/>
    <w:bookmarkEnd w:id="63"/>
    <w:p>
      <w:pPr>
        <w:jc w:val="both"/>
        <w:ind w:left="652"/>
        <w:spacing w:after="0" w:line="290" w:lineRule="auto"/>
        <w:rPr>
          <w:sz w:val="20"/>
          <w:szCs w:val="20"/>
          <w:color w:val="auto"/>
        </w:rPr>
      </w:pPr>
      <w:r>
        <w:rPr>
          <w:rFonts w:ascii="Arial" w:cs="Arial" w:eastAsia="Arial" w:hAnsi="Arial"/>
          <w:sz w:val="19"/>
          <w:szCs w:val="19"/>
          <w:color w:val="auto"/>
        </w:rPr>
        <w:t>from any payment or issuance of shares under this Agreement, or from any cash or stock remuneration or other payment then or thereafter payable to you by the Company or the Employer, any tax required to be withheld by reason of such taxable income, wages or compensation including (without limitation) shares of Common Stock sufficient to satisfy the withholding obligation based on the last per share sales price of the Common Stock for the trading day immediately preceding the date that the withholding obligation arises, as reported in the New York Stock Exchange Composite Transactions.</w:t>
      </w:r>
    </w:p>
    <w:p>
      <w:pPr>
        <w:spacing w:after="0" w:line="172" w:lineRule="exact"/>
        <w:rPr>
          <w:sz w:val="20"/>
          <w:szCs w:val="20"/>
          <w:color w:val="auto"/>
        </w:rPr>
      </w:pPr>
    </w:p>
    <w:p>
      <w:pPr>
        <w:jc w:val="both"/>
        <w:ind w:left="652" w:hanging="652"/>
        <w:spacing w:after="0" w:line="267" w:lineRule="auto"/>
        <w:tabs>
          <w:tab w:leader="none" w:pos="652" w:val="left"/>
        </w:tabs>
        <w:numPr>
          <w:ilvl w:val="0"/>
          <w:numId w:val="38"/>
        </w:numPr>
        <w:rPr>
          <w:rFonts w:ascii="Arial" w:cs="Arial" w:eastAsia="Arial" w:hAnsi="Arial"/>
          <w:sz w:val="22"/>
          <w:szCs w:val="22"/>
          <w:b w:val="1"/>
          <w:bCs w:val="1"/>
          <w:color w:val="auto"/>
        </w:rPr>
      </w:pPr>
      <w:r>
        <w:rPr>
          <w:rFonts w:ascii="Arial" w:cs="Arial" w:eastAsia="Arial" w:hAnsi="Arial"/>
          <w:sz w:val="20"/>
          <w:szCs w:val="20"/>
          <w:b w:val="1"/>
          <w:bCs w:val="1"/>
          <w:u w:val="single" w:color="auto"/>
          <w:color w:val="auto"/>
        </w:rPr>
        <w:t>NONTRANSFERABILITY</w:t>
      </w:r>
      <w:r>
        <w:rPr>
          <w:rFonts w:ascii="Arial" w:cs="Arial" w:eastAsia="Arial" w:hAnsi="Arial"/>
          <w:sz w:val="20"/>
          <w:szCs w:val="20"/>
          <w:b w:val="1"/>
          <w:bCs w:val="1"/>
          <w:color w:val="auto"/>
        </w:rPr>
        <w:t xml:space="preserve">. </w:t>
      </w:r>
      <w:r>
        <w:rPr>
          <w:rFonts w:ascii="Arial" w:cs="Arial" w:eastAsia="Arial" w:hAnsi="Arial"/>
          <w:sz w:val="20"/>
          <w:szCs w:val="20"/>
          <w:color w:val="auto"/>
        </w:rPr>
        <w:t>The PRSUs and your rights under this Agreement may not be sold, assigned, pledged, exchanged,</w:t>
      </w:r>
      <w:r>
        <w:rPr>
          <w:rFonts w:ascii="Arial" w:cs="Arial" w:eastAsia="Arial" w:hAnsi="Arial"/>
          <w:sz w:val="20"/>
          <w:szCs w:val="20"/>
          <w:b w:val="1"/>
          <w:bCs w:val="1"/>
          <w:color w:val="auto"/>
        </w:rPr>
        <w:t xml:space="preserve"> </w:t>
      </w:r>
      <w:r>
        <w:rPr>
          <w:rFonts w:ascii="Arial" w:cs="Arial" w:eastAsia="Arial" w:hAnsi="Arial"/>
          <w:sz w:val="20"/>
          <w:szCs w:val="20"/>
          <w:color w:val="auto"/>
        </w:rPr>
        <w:t>hypothecated or otherwise transferred, encumbered or disposed of. Any such attempted sale, assignment, pledge, exchange, hypothecation, transfer, encumbrance or disposition in violation of this Agreement shall be void and the Company Group shall not be bound thereby.</w:t>
      </w:r>
    </w:p>
    <w:p>
      <w:pPr>
        <w:spacing w:after="0" w:line="193" w:lineRule="exact"/>
        <w:rPr>
          <w:rFonts w:ascii="Arial" w:cs="Arial" w:eastAsia="Arial" w:hAnsi="Arial"/>
          <w:sz w:val="22"/>
          <w:szCs w:val="22"/>
          <w:b w:val="1"/>
          <w:bCs w:val="1"/>
          <w:color w:val="auto"/>
        </w:rPr>
      </w:pPr>
    </w:p>
    <w:p>
      <w:pPr>
        <w:jc w:val="both"/>
        <w:ind w:left="652" w:hanging="652"/>
        <w:spacing w:after="0" w:line="267" w:lineRule="auto"/>
        <w:tabs>
          <w:tab w:leader="none" w:pos="652" w:val="left"/>
        </w:tabs>
        <w:numPr>
          <w:ilvl w:val="0"/>
          <w:numId w:val="38"/>
        </w:numPr>
        <w:rPr>
          <w:rFonts w:ascii="Arial" w:cs="Arial" w:eastAsia="Arial" w:hAnsi="Arial"/>
          <w:sz w:val="22"/>
          <w:szCs w:val="22"/>
          <w:b w:val="1"/>
          <w:bCs w:val="1"/>
          <w:color w:val="auto"/>
        </w:rPr>
      </w:pPr>
      <w:r>
        <w:rPr>
          <w:rFonts w:ascii="Arial" w:cs="Arial" w:eastAsia="Arial" w:hAnsi="Arial"/>
          <w:sz w:val="20"/>
          <w:szCs w:val="20"/>
          <w:b w:val="1"/>
          <w:bCs w:val="1"/>
          <w:u w:val="single" w:color="auto"/>
          <w:color w:val="auto"/>
        </w:rPr>
        <w:t>CAPITAL ADJUSTMENTS AND REORGANIZATIONS</w:t>
      </w:r>
      <w:r>
        <w:rPr>
          <w:rFonts w:ascii="Arial" w:cs="Arial" w:eastAsia="Arial" w:hAnsi="Arial"/>
          <w:sz w:val="20"/>
          <w:szCs w:val="20"/>
          <w:b w:val="1"/>
          <w:bCs w:val="1"/>
          <w:color w:val="auto"/>
        </w:rPr>
        <w:t xml:space="preserve">. </w:t>
      </w:r>
      <w:r>
        <w:rPr>
          <w:rFonts w:ascii="Arial" w:cs="Arial" w:eastAsia="Arial" w:hAnsi="Arial"/>
          <w:sz w:val="20"/>
          <w:szCs w:val="20"/>
          <w:color w:val="auto"/>
        </w:rPr>
        <w:t>The existence of the PRSUs shall not affect in any way the right or</w:t>
      </w:r>
      <w:r>
        <w:rPr>
          <w:rFonts w:ascii="Arial" w:cs="Arial" w:eastAsia="Arial" w:hAnsi="Arial"/>
          <w:sz w:val="20"/>
          <w:szCs w:val="20"/>
          <w:b w:val="1"/>
          <w:bCs w:val="1"/>
          <w:color w:val="auto"/>
        </w:rPr>
        <w:t xml:space="preserve"> </w:t>
      </w:r>
      <w:r>
        <w:rPr>
          <w:rFonts w:ascii="Arial" w:cs="Arial" w:eastAsia="Arial" w:hAnsi="Arial"/>
          <w:sz w:val="20"/>
          <w:szCs w:val="20"/>
          <w:color w:val="auto"/>
        </w:rPr>
        <w:t>power of the Company or any company the stock of which is awarded pursuant to the Agreement to make or authorize any adjustment, recapitalization, reorganization or other change in its capital structure or its business, engage in any merger or consolidation, issue any debt or equity securities, dissolve or liquidate, or sell, lease, exchange or otherwise dispose of all or any part of its assets or business, or engage in any other corporate act or proceeding.</w:t>
      </w:r>
    </w:p>
    <w:p>
      <w:pPr>
        <w:spacing w:after="0" w:line="193" w:lineRule="exact"/>
        <w:rPr>
          <w:rFonts w:ascii="Arial" w:cs="Arial" w:eastAsia="Arial" w:hAnsi="Arial"/>
          <w:sz w:val="22"/>
          <w:szCs w:val="22"/>
          <w:b w:val="1"/>
          <w:bCs w:val="1"/>
          <w:color w:val="auto"/>
        </w:rPr>
      </w:pPr>
    </w:p>
    <w:p>
      <w:pPr>
        <w:jc w:val="both"/>
        <w:ind w:left="652" w:hanging="652"/>
        <w:spacing w:after="0" w:line="267" w:lineRule="auto"/>
        <w:tabs>
          <w:tab w:leader="none" w:pos="652" w:val="left"/>
        </w:tabs>
        <w:numPr>
          <w:ilvl w:val="0"/>
          <w:numId w:val="38"/>
        </w:numPr>
        <w:rPr>
          <w:rFonts w:ascii="Arial" w:cs="Arial" w:eastAsia="Arial" w:hAnsi="Arial"/>
          <w:sz w:val="22"/>
          <w:szCs w:val="22"/>
          <w:b w:val="1"/>
          <w:bCs w:val="1"/>
          <w:color w:val="auto"/>
        </w:rPr>
      </w:pPr>
      <w:r>
        <w:rPr>
          <w:rFonts w:ascii="Arial" w:cs="Arial" w:eastAsia="Arial" w:hAnsi="Arial"/>
          <w:sz w:val="20"/>
          <w:szCs w:val="20"/>
          <w:b w:val="1"/>
          <w:bCs w:val="1"/>
          <w:u w:val="single" w:color="auto"/>
          <w:color w:val="auto"/>
        </w:rPr>
        <w:t>PERFORMANCE RESTRICTED STOCK UNITS DO NOT AWARD CERTAIN RIGHTS OF A SHAREHOLDER</w:t>
      </w:r>
      <w:r>
        <w:rPr>
          <w:rFonts w:ascii="Arial" w:cs="Arial" w:eastAsia="Arial" w:hAnsi="Arial"/>
          <w:sz w:val="20"/>
          <w:szCs w:val="20"/>
          <w:color w:val="auto"/>
        </w:rPr>
        <w:t>. You</w:t>
      </w:r>
      <w:r>
        <w:rPr>
          <w:rFonts w:ascii="Arial" w:cs="Arial" w:eastAsia="Arial" w:hAnsi="Arial"/>
          <w:sz w:val="20"/>
          <w:szCs w:val="20"/>
          <w:b w:val="1"/>
          <w:bCs w:val="1"/>
          <w:color w:val="auto"/>
        </w:rPr>
        <w:t xml:space="preserve"> </w:t>
      </w:r>
      <w:r>
        <w:rPr>
          <w:rFonts w:ascii="Arial" w:cs="Arial" w:eastAsia="Arial" w:hAnsi="Arial"/>
          <w:sz w:val="20"/>
          <w:szCs w:val="20"/>
          <w:color w:val="auto"/>
        </w:rPr>
        <w:t>shall not have the voting rights or any of the other rights, powers or privileges of a holder of the stock of the Company with respect to the PRSUs that are awarded hereby. Only after shares of Stock are issued in exchange for your rights under this Agreement will you have all of the rights of a shareholder with respect to such shares.</w:t>
      </w:r>
    </w:p>
    <w:p>
      <w:pPr>
        <w:spacing w:after="0" w:line="193" w:lineRule="exact"/>
        <w:rPr>
          <w:rFonts w:ascii="Arial" w:cs="Arial" w:eastAsia="Arial" w:hAnsi="Arial"/>
          <w:sz w:val="22"/>
          <w:szCs w:val="22"/>
          <w:b w:val="1"/>
          <w:bCs w:val="1"/>
          <w:color w:val="auto"/>
        </w:rPr>
      </w:pPr>
    </w:p>
    <w:p>
      <w:pPr>
        <w:jc w:val="both"/>
        <w:ind w:left="652" w:hanging="652"/>
        <w:spacing w:after="0" w:line="304" w:lineRule="auto"/>
        <w:tabs>
          <w:tab w:leader="none" w:pos="652" w:val="left"/>
        </w:tabs>
        <w:numPr>
          <w:ilvl w:val="0"/>
          <w:numId w:val="38"/>
        </w:numPr>
        <w:rPr>
          <w:rFonts w:ascii="Arial" w:cs="Arial" w:eastAsia="Arial" w:hAnsi="Arial"/>
          <w:sz w:val="19"/>
          <w:szCs w:val="19"/>
          <w:b w:val="1"/>
          <w:bCs w:val="1"/>
          <w:color w:val="auto"/>
        </w:rPr>
      </w:pPr>
      <w:r>
        <w:rPr>
          <w:rFonts w:ascii="Arial" w:cs="Arial" w:eastAsia="Arial" w:hAnsi="Arial"/>
          <w:sz w:val="18"/>
          <w:szCs w:val="18"/>
          <w:b w:val="1"/>
          <w:bCs w:val="1"/>
          <w:u w:val="single" w:color="auto"/>
          <w:color w:val="auto"/>
        </w:rPr>
        <w:t>RIGHTS TO RECEIVE DIVIDEND EQUIVALENTS PAYMENTS</w:t>
      </w:r>
      <w:r>
        <w:rPr>
          <w:rFonts w:ascii="Arial" w:cs="Arial" w:eastAsia="Arial" w:hAnsi="Arial"/>
          <w:sz w:val="18"/>
          <w:szCs w:val="18"/>
          <w:b w:val="1"/>
          <w:bCs w:val="1"/>
          <w:color w:val="auto"/>
        </w:rPr>
        <w:t xml:space="preserve">. </w:t>
      </w:r>
      <w:r>
        <w:rPr>
          <w:rFonts w:ascii="Arial" w:cs="Arial" w:eastAsia="Arial" w:hAnsi="Arial"/>
          <w:sz w:val="18"/>
          <w:szCs w:val="18"/>
          <w:color w:val="auto"/>
        </w:rPr>
        <w:t>You shall be entitled to Dividend Equivalents, pursuant to</w:t>
      </w:r>
      <w:r>
        <w:rPr>
          <w:rFonts w:ascii="Arial" w:cs="Arial" w:eastAsia="Arial" w:hAnsi="Arial"/>
          <w:sz w:val="18"/>
          <w:szCs w:val="18"/>
          <w:b w:val="1"/>
          <w:bCs w:val="1"/>
          <w:color w:val="auto"/>
        </w:rPr>
        <w:t xml:space="preserve"> </w:t>
      </w:r>
      <w:r>
        <w:rPr>
          <w:rFonts w:ascii="Arial" w:cs="Arial" w:eastAsia="Arial" w:hAnsi="Arial"/>
          <w:sz w:val="18"/>
          <w:szCs w:val="18"/>
          <w:color w:val="auto"/>
        </w:rPr>
        <w:t>which you shall be entitled to receive, pursuant to the Plan, an amount equal to the aggregate regular cash dividends with a record date during the Performance Period that would have been payable to you with respect to the shares of Common Stock underlying the Award had it been outstanding on the applicable record date. Such Dividend Equivalents, cash dividends, stock, and any other property distributed as a dividend or otherwise with respect to the PRSUs covered by this Award shall be accumulated, and shall be subject to restrictions and risk of forfeiture to the same extent as otherwise set forth in this Agreement. The combined value of any such distributions shall be paid to you in cash at the time such restrictions and risk of forfeiture subject to this Award lapse.</w:t>
      </w:r>
    </w:p>
    <w:p>
      <w:pPr>
        <w:spacing w:after="0" w:line="161" w:lineRule="exact"/>
        <w:rPr>
          <w:rFonts w:ascii="Arial" w:cs="Arial" w:eastAsia="Arial" w:hAnsi="Arial"/>
          <w:sz w:val="19"/>
          <w:szCs w:val="19"/>
          <w:b w:val="1"/>
          <w:bCs w:val="1"/>
          <w:color w:val="auto"/>
        </w:rPr>
      </w:pPr>
    </w:p>
    <w:p>
      <w:pPr>
        <w:jc w:val="both"/>
        <w:ind w:left="652" w:hanging="652"/>
        <w:spacing w:after="0" w:line="285" w:lineRule="auto"/>
        <w:tabs>
          <w:tab w:leader="none" w:pos="652" w:val="left"/>
        </w:tabs>
        <w:numPr>
          <w:ilvl w:val="0"/>
          <w:numId w:val="38"/>
        </w:numPr>
        <w:rPr>
          <w:rFonts w:ascii="Arial" w:cs="Arial" w:eastAsia="Arial" w:hAnsi="Arial"/>
          <w:sz w:val="21"/>
          <w:szCs w:val="21"/>
          <w:b w:val="1"/>
          <w:bCs w:val="1"/>
          <w:color w:val="auto"/>
        </w:rPr>
      </w:pPr>
      <w:r>
        <w:rPr>
          <w:rFonts w:ascii="Arial" w:cs="Arial" w:eastAsia="Arial" w:hAnsi="Arial"/>
          <w:sz w:val="19"/>
          <w:szCs w:val="19"/>
          <w:b w:val="1"/>
          <w:bCs w:val="1"/>
          <w:u w:val="single" w:color="auto"/>
          <w:color w:val="auto"/>
        </w:rPr>
        <w:t>EMPLOYMENT RELATIONSHIP</w:t>
      </w:r>
      <w:r>
        <w:rPr>
          <w:rFonts w:ascii="Arial" w:cs="Arial" w:eastAsia="Arial" w:hAnsi="Arial"/>
          <w:sz w:val="19"/>
          <w:szCs w:val="19"/>
          <w:b w:val="1"/>
          <w:bCs w:val="1"/>
          <w:color w:val="auto"/>
        </w:rPr>
        <w:t xml:space="preserve">. </w:t>
      </w:r>
      <w:r>
        <w:rPr>
          <w:rFonts w:ascii="Arial" w:cs="Arial" w:eastAsia="Arial" w:hAnsi="Arial"/>
          <w:sz w:val="19"/>
          <w:szCs w:val="19"/>
          <w:color w:val="auto"/>
        </w:rPr>
        <w:t>For purposes of the Agreement, you shall be considered to be in the employment of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Group as long as you have an employment relationship with the Company Group. The Committee shall determine any questions as to whether and when there has been a termination of such employment relationship, and the cause of such termination, under the Plan, and the Committee’s determination shall be final and binding on all persons.</w:t>
      </w:r>
    </w:p>
    <w:p>
      <w:pPr>
        <w:spacing w:after="0" w:line="176" w:lineRule="exact"/>
        <w:rPr>
          <w:rFonts w:ascii="Arial" w:cs="Arial" w:eastAsia="Arial" w:hAnsi="Arial"/>
          <w:sz w:val="21"/>
          <w:szCs w:val="21"/>
          <w:b w:val="1"/>
          <w:bCs w:val="1"/>
          <w:color w:val="auto"/>
        </w:rPr>
      </w:pPr>
    </w:p>
    <w:p>
      <w:pPr>
        <w:jc w:val="both"/>
        <w:ind w:left="652" w:hanging="652"/>
        <w:spacing w:after="0" w:line="268" w:lineRule="auto"/>
        <w:tabs>
          <w:tab w:leader="none" w:pos="652" w:val="left"/>
        </w:tabs>
        <w:numPr>
          <w:ilvl w:val="0"/>
          <w:numId w:val="38"/>
        </w:numPr>
        <w:rPr>
          <w:rFonts w:ascii="Arial" w:cs="Arial" w:eastAsia="Arial" w:hAnsi="Arial"/>
          <w:sz w:val="22"/>
          <w:szCs w:val="22"/>
          <w:b w:val="1"/>
          <w:bCs w:val="1"/>
          <w:color w:val="auto"/>
        </w:rPr>
      </w:pPr>
      <w:r>
        <w:rPr>
          <w:rFonts w:ascii="Arial" w:cs="Arial" w:eastAsia="Arial" w:hAnsi="Arial"/>
          <w:sz w:val="20"/>
          <w:szCs w:val="20"/>
          <w:b w:val="1"/>
          <w:bCs w:val="1"/>
          <w:u w:val="single" w:color="auto"/>
          <w:color w:val="auto"/>
        </w:rPr>
        <w:t>NOT AN EMPLOYMENT AGREEMENT</w:t>
      </w:r>
      <w:r>
        <w:rPr>
          <w:rFonts w:ascii="Arial" w:cs="Arial" w:eastAsia="Arial" w:hAnsi="Arial"/>
          <w:sz w:val="20"/>
          <w:szCs w:val="20"/>
          <w:color w:val="auto"/>
        </w:rPr>
        <w:t>. This Agreement is not an employment agreement, and no provision of this Agreement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shall be construed or interpreted to create an employment relationship between you and the Company or any Affiliate or guarantee the right to remain employed by the Company or any Affiliate for any specified term.</w:t>
      </w:r>
    </w:p>
    <w:p>
      <w:pPr>
        <w:spacing w:after="0" w:line="189" w:lineRule="exact"/>
        <w:rPr>
          <w:rFonts w:ascii="Arial" w:cs="Arial" w:eastAsia="Arial" w:hAnsi="Arial"/>
          <w:sz w:val="22"/>
          <w:szCs w:val="22"/>
          <w:b w:val="1"/>
          <w:bCs w:val="1"/>
          <w:color w:val="auto"/>
        </w:rPr>
      </w:pPr>
    </w:p>
    <w:p>
      <w:pPr>
        <w:jc w:val="both"/>
        <w:ind w:left="652" w:hanging="652"/>
        <w:spacing w:after="0" w:line="268" w:lineRule="auto"/>
        <w:tabs>
          <w:tab w:leader="none" w:pos="652" w:val="left"/>
        </w:tabs>
        <w:numPr>
          <w:ilvl w:val="0"/>
          <w:numId w:val="38"/>
        </w:numPr>
        <w:rPr>
          <w:rFonts w:ascii="Arial" w:cs="Arial" w:eastAsia="Arial" w:hAnsi="Arial"/>
          <w:sz w:val="22"/>
          <w:szCs w:val="22"/>
          <w:b w:val="1"/>
          <w:bCs w:val="1"/>
          <w:color w:val="auto"/>
        </w:rPr>
      </w:pPr>
      <w:r>
        <w:rPr>
          <w:rFonts w:ascii="Arial" w:cs="Arial" w:eastAsia="Arial" w:hAnsi="Arial"/>
          <w:sz w:val="20"/>
          <w:szCs w:val="20"/>
          <w:b w:val="1"/>
          <w:bCs w:val="1"/>
          <w:u w:val="single" w:color="auto"/>
          <w:color w:val="auto"/>
        </w:rPr>
        <w:t>SECURITIES ACT LEGEND</w:t>
      </w:r>
      <w:r>
        <w:rPr>
          <w:rFonts w:ascii="Arial" w:cs="Arial" w:eastAsia="Arial" w:hAnsi="Arial"/>
          <w:sz w:val="20"/>
          <w:szCs w:val="20"/>
          <w:b w:val="1"/>
          <w:bCs w:val="1"/>
          <w:color w:val="auto"/>
        </w:rPr>
        <w:t xml:space="preserve">. </w:t>
      </w:r>
      <w:r>
        <w:rPr>
          <w:rFonts w:ascii="Arial" w:cs="Arial" w:eastAsia="Arial" w:hAnsi="Arial"/>
          <w:sz w:val="20"/>
          <w:szCs w:val="20"/>
          <w:color w:val="auto"/>
        </w:rPr>
        <w:t>If you are or become an officer or affiliate of the Company under the Securities Act of 1933, you</w:t>
      </w:r>
      <w:r>
        <w:rPr>
          <w:rFonts w:ascii="Arial" w:cs="Arial" w:eastAsia="Arial" w:hAnsi="Arial"/>
          <w:sz w:val="20"/>
          <w:szCs w:val="20"/>
          <w:b w:val="1"/>
          <w:bCs w:val="1"/>
          <w:color w:val="auto"/>
        </w:rPr>
        <w:t xml:space="preserve"> </w:t>
      </w:r>
      <w:r>
        <w:rPr>
          <w:rFonts w:ascii="Arial" w:cs="Arial" w:eastAsia="Arial" w:hAnsi="Arial"/>
          <w:sz w:val="20"/>
          <w:szCs w:val="20"/>
          <w:color w:val="auto"/>
        </w:rPr>
        <w:t>consent to the placing on any certificate for the shares of Stock of an appropriate legend restricting resale or other transfer of the shares except in accordance with such Act and all applicable rules thereunder.</w:t>
      </w:r>
    </w:p>
    <w:p>
      <w:pPr>
        <w:spacing w:after="0" w:line="189" w:lineRule="exact"/>
        <w:rPr>
          <w:rFonts w:ascii="Arial" w:cs="Arial" w:eastAsia="Arial" w:hAnsi="Arial"/>
          <w:sz w:val="22"/>
          <w:szCs w:val="22"/>
          <w:b w:val="1"/>
          <w:bCs w:val="1"/>
          <w:color w:val="auto"/>
        </w:rPr>
      </w:pPr>
    </w:p>
    <w:p>
      <w:pPr>
        <w:jc w:val="both"/>
        <w:ind w:left="652" w:hanging="652"/>
        <w:spacing w:after="0" w:line="268" w:lineRule="auto"/>
        <w:tabs>
          <w:tab w:leader="none" w:pos="652" w:val="left"/>
        </w:tabs>
        <w:numPr>
          <w:ilvl w:val="0"/>
          <w:numId w:val="38"/>
        </w:numPr>
        <w:rPr>
          <w:rFonts w:ascii="Arial" w:cs="Arial" w:eastAsia="Arial" w:hAnsi="Arial"/>
          <w:sz w:val="22"/>
          <w:szCs w:val="22"/>
          <w:b w:val="1"/>
          <w:bCs w:val="1"/>
          <w:color w:val="auto"/>
        </w:rPr>
      </w:pPr>
      <w:r>
        <w:rPr>
          <w:rFonts w:ascii="Arial" w:cs="Arial" w:eastAsia="Arial" w:hAnsi="Arial"/>
          <w:sz w:val="20"/>
          <w:szCs w:val="20"/>
          <w:b w:val="1"/>
          <w:bCs w:val="1"/>
          <w:u w:val="single" w:color="auto"/>
          <w:color w:val="auto"/>
        </w:rPr>
        <w:t>LIMIT OF LIABILITY</w:t>
      </w:r>
      <w:r>
        <w:rPr>
          <w:rFonts w:ascii="Arial" w:cs="Arial" w:eastAsia="Arial" w:hAnsi="Arial"/>
          <w:sz w:val="20"/>
          <w:szCs w:val="20"/>
          <w:color w:val="auto"/>
        </w:rPr>
        <w:t>. Under no circumstances will the Company or an Affiliate be liable for any indirect, incidental,</w:t>
      </w:r>
      <w:r>
        <w:rPr>
          <w:rFonts w:ascii="Arial" w:cs="Arial" w:eastAsia="Arial" w:hAnsi="Arial"/>
          <w:sz w:val="20"/>
          <w:szCs w:val="20"/>
          <w:b w:val="1"/>
          <w:bCs w:val="1"/>
          <w:color w:val="auto"/>
        </w:rPr>
        <w:t xml:space="preserve"> </w:t>
      </w:r>
      <w:r>
        <w:rPr>
          <w:rFonts w:ascii="Arial" w:cs="Arial" w:eastAsia="Arial" w:hAnsi="Arial"/>
          <w:sz w:val="20"/>
          <w:szCs w:val="20"/>
          <w:color w:val="auto"/>
        </w:rPr>
        <w:t>consequential or special damages (including lost profits) of any form incurred by any person, whether or not foreseeable and regardless of the form of the act in which such a claim may be brought, with respect to the Plan.</w:t>
      </w:r>
    </w:p>
    <w:p>
      <w:pPr>
        <w:spacing w:after="0" w:line="189" w:lineRule="exact"/>
        <w:rPr>
          <w:rFonts w:ascii="Arial" w:cs="Arial" w:eastAsia="Arial" w:hAnsi="Arial"/>
          <w:sz w:val="22"/>
          <w:szCs w:val="22"/>
          <w:b w:val="1"/>
          <w:bCs w:val="1"/>
          <w:color w:val="auto"/>
        </w:rPr>
      </w:pPr>
    </w:p>
    <w:p>
      <w:pPr>
        <w:ind w:left="652" w:hanging="652"/>
        <w:spacing w:after="0" w:line="271" w:lineRule="auto"/>
        <w:tabs>
          <w:tab w:leader="none" w:pos="652" w:val="left"/>
        </w:tabs>
        <w:numPr>
          <w:ilvl w:val="0"/>
          <w:numId w:val="38"/>
        </w:numPr>
        <w:rPr>
          <w:rFonts w:ascii="Arial" w:cs="Arial" w:eastAsia="Arial" w:hAnsi="Arial"/>
          <w:sz w:val="22"/>
          <w:szCs w:val="22"/>
          <w:b w:val="1"/>
          <w:bCs w:val="1"/>
          <w:color w:val="auto"/>
        </w:rPr>
      </w:pPr>
      <w:r>
        <w:rPr>
          <w:rFonts w:ascii="Arial" w:cs="Arial" w:eastAsia="Arial" w:hAnsi="Arial"/>
          <w:sz w:val="20"/>
          <w:szCs w:val="20"/>
          <w:b w:val="1"/>
          <w:bCs w:val="1"/>
          <w:u w:val="single" w:color="auto"/>
          <w:color w:val="auto"/>
        </w:rPr>
        <w:t>REGISTRATION</w:t>
      </w:r>
      <w:r>
        <w:rPr>
          <w:rFonts w:ascii="Arial" w:cs="Arial" w:eastAsia="Arial" w:hAnsi="Arial"/>
          <w:sz w:val="20"/>
          <w:szCs w:val="20"/>
          <w:color w:val="auto"/>
        </w:rPr>
        <w:t>. The shares of Stock that may be issued under the Plan are registered with the Securities and Exchange</w:t>
      </w:r>
      <w:r>
        <w:rPr>
          <w:rFonts w:ascii="Arial" w:cs="Arial" w:eastAsia="Arial" w:hAnsi="Arial"/>
          <w:sz w:val="20"/>
          <w:szCs w:val="20"/>
          <w:b w:val="1"/>
          <w:bCs w:val="1"/>
          <w:color w:val="auto"/>
        </w:rPr>
        <w:t xml:space="preserve"> </w:t>
      </w:r>
      <w:r>
        <w:rPr>
          <w:rFonts w:ascii="Arial" w:cs="Arial" w:eastAsia="Arial" w:hAnsi="Arial"/>
          <w:sz w:val="20"/>
          <w:szCs w:val="20"/>
          <w:color w:val="auto"/>
        </w:rPr>
        <w:t>Commission under a Registration Statement on Form S-8.</w:t>
      </w:r>
    </w:p>
    <w:p>
      <w:pPr>
        <w:spacing w:after="0" w:line="183" w:lineRule="exact"/>
        <w:rPr>
          <w:rFonts w:ascii="Arial" w:cs="Arial" w:eastAsia="Arial" w:hAnsi="Arial"/>
          <w:sz w:val="22"/>
          <w:szCs w:val="22"/>
          <w:b w:val="1"/>
          <w:bCs w:val="1"/>
          <w:color w:val="auto"/>
        </w:rPr>
      </w:pPr>
    </w:p>
    <w:p>
      <w:pPr>
        <w:jc w:val="both"/>
        <w:ind w:left="652" w:hanging="652"/>
        <w:spacing w:after="0" w:line="307" w:lineRule="auto"/>
        <w:tabs>
          <w:tab w:leader="none" w:pos="652" w:val="left"/>
        </w:tabs>
        <w:numPr>
          <w:ilvl w:val="0"/>
          <w:numId w:val="38"/>
        </w:numPr>
        <w:rPr>
          <w:rFonts w:ascii="Arial" w:cs="Arial" w:eastAsia="Arial" w:hAnsi="Arial"/>
          <w:sz w:val="19"/>
          <w:szCs w:val="19"/>
          <w:b w:val="1"/>
          <w:bCs w:val="1"/>
          <w:color w:val="auto"/>
        </w:rPr>
      </w:pPr>
      <w:r>
        <w:rPr>
          <w:rFonts w:ascii="Arial" w:cs="Arial" w:eastAsia="Arial" w:hAnsi="Arial"/>
          <w:sz w:val="18"/>
          <w:szCs w:val="18"/>
          <w:b w:val="1"/>
          <w:bCs w:val="1"/>
          <w:u w:val="single" w:color="auto"/>
          <w:color w:val="auto"/>
        </w:rPr>
        <w:t>SALE OF SECURITIES</w:t>
      </w:r>
      <w:r>
        <w:rPr>
          <w:rFonts w:ascii="Arial" w:cs="Arial" w:eastAsia="Arial" w:hAnsi="Arial"/>
          <w:sz w:val="18"/>
          <w:szCs w:val="18"/>
          <w:color w:val="auto"/>
        </w:rPr>
        <w:t>. The shares of Stock that may be issued under this Agreement may not be sold or otherwise disposed of in</w:t>
      </w:r>
      <w:r>
        <w:rPr>
          <w:rFonts w:ascii="Arial" w:cs="Arial" w:eastAsia="Arial" w:hAnsi="Arial"/>
          <w:sz w:val="18"/>
          <w:szCs w:val="18"/>
          <w:b w:val="1"/>
          <w:bCs w:val="1"/>
          <w:color w:val="auto"/>
        </w:rPr>
        <w:t xml:space="preserve"> </w:t>
      </w:r>
      <w:r>
        <w:rPr>
          <w:rFonts w:ascii="Arial" w:cs="Arial" w:eastAsia="Arial" w:hAnsi="Arial"/>
          <w:sz w:val="18"/>
          <w:szCs w:val="18"/>
          <w:color w:val="auto"/>
        </w:rPr>
        <w:t>any manner that would constitute a violation of any applicable federal or state securities laws. You also agree that (a) the Company may refuse to cause the transfer of the shares to be registered on the stock register of the Company if such proposed transfer would in the opinion of counsel satisfactory to the Company constitute a violation of any applicable federal or state securities law and (b) the Company may give related instructions to the transfer agent, if any, to stop registration of the transfer of the shares.</w:t>
      </w:r>
    </w:p>
    <w:p>
      <w:pPr>
        <w:spacing w:after="0" w:line="159" w:lineRule="exact"/>
        <w:rPr>
          <w:rFonts w:ascii="Arial" w:cs="Arial" w:eastAsia="Arial" w:hAnsi="Arial"/>
          <w:sz w:val="19"/>
          <w:szCs w:val="19"/>
          <w:b w:val="1"/>
          <w:bCs w:val="1"/>
          <w:color w:val="auto"/>
        </w:rPr>
      </w:pPr>
    </w:p>
    <w:p>
      <w:pPr>
        <w:jc w:val="both"/>
        <w:ind w:left="652" w:hanging="652"/>
        <w:spacing w:after="0" w:line="267" w:lineRule="auto"/>
        <w:tabs>
          <w:tab w:leader="none" w:pos="652" w:val="left"/>
        </w:tabs>
        <w:numPr>
          <w:ilvl w:val="0"/>
          <w:numId w:val="38"/>
        </w:numPr>
        <w:rPr>
          <w:rFonts w:ascii="Arial" w:cs="Arial" w:eastAsia="Arial" w:hAnsi="Arial"/>
          <w:sz w:val="22"/>
          <w:szCs w:val="22"/>
          <w:b w:val="1"/>
          <w:bCs w:val="1"/>
          <w:color w:val="auto"/>
        </w:rPr>
      </w:pPr>
      <w:r>
        <w:rPr>
          <w:rFonts w:ascii="Arial" w:cs="Arial" w:eastAsia="Arial" w:hAnsi="Arial"/>
          <w:sz w:val="20"/>
          <w:szCs w:val="20"/>
          <w:b w:val="1"/>
          <w:bCs w:val="1"/>
          <w:u w:val="single" w:color="auto"/>
          <w:color w:val="auto"/>
        </w:rPr>
        <w:t>REIMBURSEMENT OF EXECUTIVE COMPENSATION IN RESTATEMENT SITUATIONS.</w:t>
      </w:r>
      <w:r>
        <w:rPr>
          <w:rFonts w:ascii="Arial" w:cs="Arial" w:eastAsia="Arial" w:hAnsi="Arial"/>
          <w:sz w:val="20"/>
          <w:szCs w:val="20"/>
          <w:b w:val="1"/>
          <w:bCs w:val="1"/>
          <w:color w:val="auto"/>
        </w:rPr>
        <w:t xml:space="preserve"> </w:t>
      </w:r>
      <w:r>
        <w:rPr>
          <w:rFonts w:ascii="Arial" w:cs="Arial" w:eastAsia="Arial" w:hAnsi="Arial"/>
          <w:sz w:val="20"/>
          <w:szCs w:val="20"/>
          <w:color w:val="auto"/>
        </w:rPr>
        <w:t>To the extent permitted by</w:t>
      </w:r>
      <w:r>
        <w:rPr>
          <w:rFonts w:ascii="Arial" w:cs="Arial" w:eastAsia="Arial" w:hAnsi="Arial"/>
          <w:sz w:val="20"/>
          <w:szCs w:val="20"/>
          <w:b w:val="1"/>
          <w:bCs w:val="1"/>
          <w:color w:val="auto"/>
        </w:rPr>
        <w:t xml:space="preserve"> </w:t>
      </w:r>
      <w:r>
        <w:rPr>
          <w:rFonts w:ascii="Arial" w:cs="Arial" w:eastAsia="Arial" w:hAnsi="Arial"/>
          <w:sz w:val="20"/>
          <w:szCs w:val="20"/>
          <w:color w:val="auto"/>
        </w:rPr>
        <w:t>law, and as determined by the Board in its judgment, the Company may require reimbursement of a portion of any payment to you under this Agreement when (a) the award payment was predicated upon the achievement of certain financial results that were subsequently the subject of a material restatement and (b) a lower payment would have been made to you based upon the restated financial results. In each such instance, the Company will, to the extent practicable, seek to recover the amount by which your payment for the relevant period exceeded the lower payment that would have been made based on the restated financial results. No reimbursement shall be required if such material restatement was caused by or resulted from any change in accounting policy or rules.</w:t>
      </w:r>
    </w:p>
    <w:p>
      <w:pPr>
        <w:spacing w:after="0" w:line="195" w:lineRule="exact"/>
        <w:rPr>
          <w:rFonts w:ascii="Arial" w:cs="Arial" w:eastAsia="Arial" w:hAnsi="Arial"/>
          <w:sz w:val="22"/>
          <w:szCs w:val="22"/>
          <w:b w:val="1"/>
          <w:bCs w:val="1"/>
          <w:color w:val="auto"/>
        </w:rPr>
      </w:pPr>
    </w:p>
    <w:p>
      <w:pPr>
        <w:ind w:left="652" w:hanging="652"/>
        <w:spacing w:after="0"/>
        <w:tabs>
          <w:tab w:leader="none" w:pos="652" w:val="left"/>
        </w:tabs>
        <w:numPr>
          <w:ilvl w:val="0"/>
          <w:numId w:val="38"/>
        </w:numPr>
        <w:rPr>
          <w:rFonts w:ascii="Arial" w:cs="Arial" w:eastAsia="Arial" w:hAnsi="Arial"/>
          <w:sz w:val="22"/>
          <w:szCs w:val="22"/>
          <w:b w:val="1"/>
          <w:bCs w:val="1"/>
          <w:color w:val="auto"/>
        </w:rPr>
      </w:pPr>
      <w:r>
        <w:rPr>
          <w:rFonts w:ascii="Arial" w:cs="Arial" w:eastAsia="Arial" w:hAnsi="Arial"/>
          <w:sz w:val="20"/>
          <w:szCs w:val="20"/>
          <w:b w:val="1"/>
          <w:bCs w:val="1"/>
          <w:u w:val="single" w:color="auto"/>
          <w:color w:val="auto"/>
        </w:rPr>
        <w:t>AGREEMENT TO REPAYMENT OF PERFORMANCE BASED INCENTIVE COMPENSATION WHEN PAYMENTS</w:t>
      </w:r>
    </w:p>
    <w:p>
      <w:pPr>
        <w:sectPr>
          <w:pgSz w:w="11900" w:h="16838" w:orient="portrait"/>
          <w:cols w:equalWidth="0" w:num="1">
            <w:col w:w="11232"/>
          </w:cols>
          <w:pgMar w:left="328" w:top="136" w:right="339" w:bottom="0" w:gutter="0" w:footer="0" w:header="0"/>
        </w:sectPr>
      </w:pPr>
    </w:p>
    <w:bookmarkStart w:id="64" w:name="page65"/>
    <w:bookmarkEnd w:id="64"/>
    <w:p>
      <w:pPr>
        <w:jc w:val="both"/>
        <w:ind w:left="660"/>
        <w:spacing w:after="0" w:line="302" w:lineRule="auto"/>
        <w:rPr>
          <w:sz w:val="20"/>
          <w:szCs w:val="20"/>
          <w:color w:val="auto"/>
        </w:rPr>
      </w:pPr>
      <w:r>
        <w:rPr>
          <w:rFonts w:ascii="Arial" w:cs="Arial" w:eastAsia="Arial" w:hAnsi="Arial"/>
          <w:sz w:val="18"/>
          <w:szCs w:val="18"/>
          <w:b w:val="1"/>
          <w:bCs w:val="1"/>
          <w:u w:val="single" w:color="auto"/>
          <w:color w:val="auto"/>
        </w:rPr>
        <w:t>ARE REQUIRED UNDER FEDERAL LAW OR THE RULES OF AN EXCHANGE.</w:t>
      </w:r>
      <w:r>
        <w:rPr>
          <w:rFonts w:ascii="Arial" w:cs="Arial" w:eastAsia="Arial" w:hAnsi="Arial"/>
          <w:sz w:val="18"/>
          <w:szCs w:val="18"/>
          <w:b w:val="1"/>
          <w:bCs w:val="1"/>
          <w:color w:val="auto"/>
        </w:rPr>
        <w:t xml:space="preserve"> </w:t>
      </w:r>
      <w:r>
        <w:rPr>
          <w:rFonts w:ascii="Arial" w:cs="Arial" w:eastAsia="Arial" w:hAnsi="Arial"/>
          <w:sz w:val="18"/>
          <w:szCs w:val="18"/>
          <w:color w:val="auto"/>
        </w:rPr>
        <w:t>You acknowledge that the Company is a</w:t>
      </w:r>
      <w:r>
        <w:rPr>
          <w:rFonts w:ascii="Arial" w:cs="Arial" w:eastAsia="Arial" w:hAnsi="Arial"/>
          <w:sz w:val="18"/>
          <w:szCs w:val="18"/>
          <w:b w:val="1"/>
          <w:bCs w:val="1"/>
          <w:color w:val="auto"/>
        </w:rPr>
        <w:t xml:space="preserve"> </w:t>
      </w:r>
      <w:r>
        <w:rPr>
          <w:rFonts w:ascii="Arial" w:cs="Arial" w:eastAsia="Arial" w:hAnsi="Arial"/>
          <w:sz w:val="18"/>
          <w:szCs w:val="18"/>
          <w:color w:val="auto"/>
        </w:rPr>
        <w:t>publicly-traded entity subject to the laws and regulations of the United States Securities and Exchange Commission, as well as the requirements of the New York Stock Exchange. You further acknowledge that the Company’s approved form agreements for performance-based incentive compensation granted to you contain certain “clawback” terms and provisions. You agree to the terms and conditions of any policy adopted by the Company to comply with, or any decision of the Company to adhere to, any requirement or policy of the New York Stock Exchange (or any other exchange on which the securities of the Company are listed) pursuant to Section 10D of the Securities Exchange Act of 1934 (the “</w:t>
      </w:r>
      <w:r>
        <w:rPr>
          <w:rFonts w:ascii="Arial" w:cs="Arial" w:eastAsia="Arial" w:hAnsi="Arial"/>
          <w:sz w:val="18"/>
          <w:szCs w:val="18"/>
          <w:i w:val="1"/>
          <w:iCs w:val="1"/>
          <w:color w:val="auto"/>
        </w:rPr>
        <w:t>Policy</w:t>
      </w:r>
      <w:r>
        <w:rPr>
          <w:rFonts w:ascii="Arial" w:cs="Arial" w:eastAsia="Arial" w:hAnsi="Arial"/>
          <w:sz w:val="18"/>
          <w:szCs w:val="18"/>
          <w:color w:val="auto"/>
        </w:rPr>
        <w:t>”) from this point forward for any grants made previously or in the future. Section 10D provides for the recovery of incentive-based compensation that has been erroneously granted, earned, vested or paid because of one or more errors that are material in the financial statements of the Company. To the extent such Policy requires the repayment or recovery of incentive-based compensation granted to, or earned or received by you, or in which you vested, whether granted, vested, earned or paid pursuant to any past or future award agreements or any other plan of incentive-based compensation maintained in the past or adopted in the future by the Company, you agree to the forfeiture, recovery or repayment of such amounts to the extent required by such Policy.</w:t>
      </w:r>
    </w:p>
    <w:p>
      <w:pPr>
        <w:spacing w:after="0" w:line="165" w:lineRule="exact"/>
        <w:rPr>
          <w:sz w:val="20"/>
          <w:szCs w:val="20"/>
          <w:color w:val="auto"/>
        </w:rPr>
      </w:pPr>
    </w:p>
    <w:p>
      <w:pPr>
        <w:jc w:val="both"/>
        <w:ind w:left="660" w:hanging="652"/>
        <w:spacing w:after="0" w:line="268" w:lineRule="auto"/>
        <w:tabs>
          <w:tab w:leader="none" w:pos="660" w:val="left"/>
        </w:tabs>
        <w:numPr>
          <w:ilvl w:val="0"/>
          <w:numId w:val="39"/>
        </w:numPr>
        <w:rPr>
          <w:rFonts w:ascii="Arial" w:cs="Arial" w:eastAsia="Arial" w:hAnsi="Arial"/>
          <w:sz w:val="22"/>
          <w:szCs w:val="22"/>
          <w:b w:val="1"/>
          <w:bCs w:val="1"/>
          <w:color w:val="auto"/>
        </w:rPr>
      </w:pPr>
      <w:r>
        <w:rPr>
          <w:rFonts w:ascii="Arial" w:cs="Arial" w:eastAsia="Arial" w:hAnsi="Arial"/>
          <w:sz w:val="20"/>
          <w:szCs w:val="20"/>
          <w:b w:val="1"/>
          <w:bCs w:val="1"/>
          <w:u w:val="single" w:color="auto"/>
          <w:color w:val="auto"/>
        </w:rPr>
        <w:t>EMPLOYER LIABLE FOR PAYMENT</w:t>
      </w:r>
      <w:r>
        <w:rPr>
          <w:rFonts w:ascii="Arial" w:cs="Arial" w:eastAsia="Arial" w:hAnsi="Arial"/>
          <w:sz w:val="20"/>
          <w:szCs w:val="20"/>
          <w:b w:val="1"/>
          <w:bCs w:val="1"/>
          <w:color w:val="auto"/>
        </w:rPr>
        <w:t xml:space="preserve">. </w:t>
      </w:r>
      <w:r>
        <w:rPr>
          <w:rFonts w:ascii="Arial" w:cs="Arial" w:eastAsia="Arial" w:hAnsi="Arial"/>
          <w:sz w:val="20"/>
          <w:szCs w:val="20"/>
          <w:color w:val="auto"/>
        </w:rPr>
        <w:t>Except as the Committee may determine otherwise in connection with a Change in</w:t>
      </w:r>
      <w:r>
        <w:rPr>
          <w:rFonts w:ascii="Arial" w:cs="Arial" w:eastAsia="Arial" w:hAnsi="Arial"/>
          <w:sz w:val="20"/>
          <w:szCs w:val="20"/>
          <w:b w:val="1"/>
          <w:bCs w:val="1"/>
          <w:color w:val="auto"/>
        </w:rPr>
        <w:t xml:space="preserve"> </w:t>
      </w:r>
      <w:r>
        <w:rPr>
          <w:rFonts w:ascii="Arial" w:cs="Arial" w:eastAsia="Arial" w:hAnsi="Arial"/>
          <w:sz w:val="20"/>
          <w:szCs w:val="20"/>
          <w:color w:val="auto"/>
        </w:rPr>
        <w:t>Control, the Employer (or the Company, as applicable) is liable for the payment of any amounts that become due under this Agreement.</w:t>
      </w:r>
    </w:p>
    <w:p>
      <w:pPr>
        <w:spacing w:after="0" w:line="189" w:lineRule="exact"/>
        <w:rPr>
          <w:rFonts w:ascii="Arial" w:cs="Arial" w:eastAsia="Arial" w:hAnsi="Arial"/>
          <w:sz w:val="22"/>
          <w:szCs w:val="22"/>
          <w:b w:val="1"/>
          <w:bCs w:val="1"/>
          <w:color w:val="auto"/>
        </w:rPr>
      </w:pPr>
    </w:p>
    <w:p>
      <w:pPr>
        <w:jc w:val="both"/>
        <w:ind w:left="660" w:hanging="652"/>
        <w:spacing w:after="0" w:line="282" w:lineRule="auto"/>
        <w:tabs>
          <w:tab w:leader="none" w:pos="660" w:val="left"/>
        </w:tabs>
        <w:numPr>
          <w:ilvl w:val="0"/>
          <w:numId w:val="39"/>
        </w:numPr>
        <w:rPr>
          <w:rFonts w:ascii="Arial" w:cs="Arial" w:eastAsia="Arial" w:hAnsi="Arial"/>
          <w:sz w:val="21"/>
          <w:szCs w:val="21"/>
          <w:b w:val="1"/>
          <w:bCs w:val="1"/>
          <w:color w:val="auto"/>
        </w:rPr>
      </w:pPr>
      <w:r>
        <w:rPr>
          <w:rFonts w:ascii="Arial" w:cs="Arial" w:eastAsia="Arial" w:hAnsi="Arial"/>
          <w:sz w:val="19"/>
          <w:szCs w:val="19"/>
          <w:b w:val="1"/>
          <w:bCs w:val="1"/>
          <w:u w:val="single" w:color="auto"/>
          <w:color w:val="auto"/>
        </w:rPr>
        <w:t>SECTION 409A OF THE INTERNAL REVENUE CODE</w:t>
      </w:r>
      <w:r>
        <w:rPr>
          <w:rFonts w:ascii="Arial" w:cs="Arial" w:eastAsia="Arial" w:hAnsi="Arial"/>
          <w:sz w:val="19"/>
          <w:szCs w:val="19"/>
          <w:color w:val="auto"/>
        </w:rPr>
        <w:t>. This Agreement and all payments made hereunder, are intended to</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meet the short-term deferral exception described under section 1.409A-1(b)(4) of the applicable Treasury regulations, or otherwise comply with, Section 409A, and this Agreement shall be interpreted so as to effect that intent. By accepting this award, you acknowledge and agree that (a) you are not relying upon any written or oral statement or oral statement or representation of the Company, its Affiliates, or any of their respective employees, directors, officers, attorneys or agents (collectively, the </w:t>
      </w:r>
      <w:r>
        <w:rPr>
          <w:rFonts w:ascii="Arial" w:cs="Arial" w:eastAsia="Arial" w:hAnsi="Arial"/>
          <w:sz w:val="19"/>
          <w:szCs w:val="19"/>
          <w:b w:val="1"/>
          <w:bCs w:val="1"/>
          <w:color w:val="auto"/>
        </w:rPr>
        <w:t>“</w:t>
      </w:r>
      <w:r>
        <w:rPr>
          <w:rFonts w:ascii="Arial" w:cs="Arial" w:eastAsia="Arial" w:hAnsi="Arial"/>
          <w:sz w:val="19"/>
          <w:szCs w:val="19"/>
          <w:i w:val="1"/>
          <w:iCs w:val="1"/>
          <w:color w:val="auto"/>
        </w:rPr>
        <w:t>Company</w:t>
      </w:r>
      <w:r>
        <w:rPr>
          <w:rFonts w:ascii="Arial" w:cs="Arial" w:eastAsia="Arial" w:hAnsi="Arial"/>
          <w:sz w:val="19"/>
          <w:szCs w:val="19"/>
          <w:color w:val="auto"/>
        </w:rPr>
        <w:t xml:space="preserve"> </w:t>
      </w:r>
      <w:r>
        <w:rPr>
          <w:rFonts w:ascii="Arial" w:cs="Arial" w:eastAsia="Arial" w:hAnsi="Arial"/>
          <w:sz w:val="19"/>
          <w:szCs w:val="19"/>
          <w:i w:val="1"/>
          <w:iCs w:val="1"/>
          <w:color w:val="auto"/>
        </w:rPr>
        <w:t>Parties</w:t>
      </w:r>
      <w:r>
        <w:rPr>
          <w:rFonts w:ascii="Arial" w:cs="Arial" w:eastAsia="Arial" w:hAnsi="Arial"/>
          <w:sz w:val="19"/>
          <w:szCs w:val="19"/>
          <w:b w:val="1"/>
          <w:bCs w:val="1"/>
          <w:color w:val="auto"/>
        </w:rPr>
        <w:t>”</w:t>
      </w:r>
      <w:r>
        <w:rPr>
          <w:rFonts w:ascii="Arial" w:cs="Arial" w:eastAsia="Arial" w:hAnsi="Arial"/>
          <w:sz w:val="19"/>
          <w:szCs w:val="19"/>
          <w:color w:val="auto"/>
        </w:rPr>
        <w:t>) regarding the tax effects associated with execution of this Agreement and the payment made pursuant to the Plan, and (b)</w:t>
      </w:r>
      <w:r>
        <w:rPr>
          <w:rFonts w:ascii="Arial" w:cs="Arial" w:eastAsia="Arial" w:hAnsi="Arial"/>
          <w:sz w:val="19"/>
          <w:szCs w:val="19"/>
          <w:i w:val="1"/>
          <w:iCs w:val="1"/>
          <w:color w:val="auto"/>
        </w:rPr>
        <w:t xml:space="preserve"> </w:t>
      </w:r>
      <w:r>
        <w:rPr>
          <w:rFonts w:ascii="Arial" w:cs="Arial" w:eastAsia="Arial" w:hAnsi="Arial"/>
          <w:sz w:val="19"/>
          <w:szCs w:val="19"/>
          <w:color w:val="auto"/>
        </w:rPr>
        <w:t>in deciding to enter into this Agreement, you are relying on your own judgment and the judgment of the professionals of your choice with whom you have consulted. By accepting this award, you thereby release, acquit and forever discharge the Company Parties from all actions, causes of actions, suits, debts, obligations, liabilities, claims, damages, losses, costs and expenses of any nature whatsoever, known or unknown, on account of, arising out of, or in any way related to the tax effects associated with the award and this Agreement.</w:t>
      </w:r>
    </w:p>
    <w:p>
      <w:pPr>
        <w:spacing w:after="0" w:line="186" w:lineRule="exact"/>
        <w:rPr>
          <w:rFonts w:ascii="Arial" w:cs="Arial" w:eastAsia="Arial" w:hAnsi="Arial"/>
          <w:sz w:val="21"/>
          <w:szCs w:val="21"/>
          <w:b w:val="1"/>
          <w:bCs w:val="1"/>
          <w:color w:val="auto"/>
        </w:rPr>
      </w:pPr>
    </w:p>
    <w:p>
      <w:pPr>
        <w:jc w:val="both"/>
        <w:ind w:left="660" w:hanging="652"/>
        <w:spacing w:after="0" w:line="267" w:lineRule="auto"/>
        <w:tabs>
          <w:tab w:leader="none" w:pos="660" w:val="left"/>
        </w:tabs>
        <w:numPr>
          <w:ilvl w:val="0"/>
          <w:numId w:val="39"/>
        </w:numPr>
        <w:rPr>
          <w:rFonts w:ascii="Arial" w:cs="Arial" w:eastAsia="Arial" w:hAnsi="Arial"/>
          <w:sz w:val="22"/>
          <w:szCs w:val="22"/>
          <w:b w:val="1"/>
          <w:bCs w:val="1"/>
          <w:color w:val="auto"/>
        </w:rPr>
      </w:pPr>
      <w:r>
        <w:rPr>
          <w:rFonts w:ascii="Arial" w:cs="Arial" w:eastAsia="Arial" w:hAnsi="Arial"/>
          <w:sz w:val="20"/>
          <w:szCs w:val="20"/>
          <w:b w:val="1"/>
          <w:bCs w:val="1"/>
          <w:u w:val="single" w:color="auto"/>
          <w:color w:val="auto"/>
        </w:rPr>
        <w:t>DELAYED PAYMENT IN CERTAIN CIRCUMSTANCES</w:t>
      </w:r>
      <w:r>
        <w:rPr>
          <w:rFonts w:ascii="Arial" w:cs="Arial" w:eastAsia="Arial" w:hAnsi="Arial"/>
          <w:sz w:val="20"/>
          <w:szCs w:val="20"/>
          <w:b w:val="1"/>
          <w:bCs w:val="1"/>
          <w:color w:val="auto"/>
        </w:rPr>
        <w:t>. NOTWITHSTANDING ANY OTHER PROVISION OF THIS AGREEMENT, IF YOU ARE A “</w:t>
      </w:r>
      <w:r>
        <w:rPr>
          <w:rFonts w:ascii="Arial" w:cs="Arial" w:eastAsia="Arial" w:hAnsi="Arial"/>
          <w:sz w:val="20"/>
          <w:szCs w:val="20"/>
          <w:b w:val="1"/>
          <w:bCs w:val="1"/>
          <w:i w:val="1"/>
          <w:iCs w:val="1"/>
          <w:color w:val="auto"/>
        </w:rPr>
        <w:t>SPECIFIED EMPLOYEE</w:t>
      </w:r>
      <w:r>
        <w:rPr>
          <w:rFonts w:ascii="Arial" w:cs="Arial" w:eastAsia="Arial" w:hAnsi="Arial"/>
          <w:sz w:val="20"/>
          <w:szCs w:val="20"/>
          <w:b w:val="1"/>
          <w:bCs w:val="1"/>
          <w:color w:val="auto"/>
        </w:rPr>
        <w:t>” (WITHIN THE MEANING OF SECTION 409A) AND THE COMPANY DETERMINES THAT A PAYMENT HEREUNDER IS NOT PERMITTED TO BE PAID ON THE DATE SPECIFIED WITHOUT THE IMPOSITION OF ADDITIONAL TAXES, INTEREST OR PENALTIES UNDER SECTION 409A, THEN NO PAYMENTS SHALL BE MADE TO YOU PURSUANT TO THIS AWARD DUE TO A SEPARATION FROM SERVICE FOR ANY REASON BEFORE THE EARLIER OF THE DATE THAT IS SIX MONTHS AND A DAY AFTER THE DATE ON WHICH YOU INCUR SUCH SEPARATION FROM SERVICE OR FIVE BUSINESS DAYS FOLLOWING THE DATE OF YOUR DEATH.</w:t>
      </w:r>
    </w:p>
    <w:p>
      <w:pPr>
        <w:spacing w:after="0" w:line="195" w:lineRule="exact"/>
        <w:rPr>
          <w:rFonts w:ascii="Arial" w:cs="Arial" w:eastAsia="Arial" w:hAnsi="Arial"/>
          <w:sz w:val="22"/>
          <w:szCs w:val="22"/>
          <w:b w:val="1"/>
          <w:bCs w:val="1"/>
          <w:color w:val="auto"/>
        </w:rPr>
      </w:pPr>
    </w:p>
    <w:p>
      <w:pPr>
        <w:ind w:left="660" w:hanging="652"/>
        <w:spacing w:after="0" w:line="271" w:lineRule="auto"/>
        <w:tabs>
          <w:tab w:leader="none" w:pos="660" w:val="left"/>
        </w:tabs>
        <w:numPr>
          <w:ilvl w:val="0"/>
          <w:numId w:val="39"/>
        </w:numPr>
        <w:rPr>
          <w:rFonts w:ascii="Arial" w:cs="Arial" w:eastAsia="Arial" w:hAnsi="Arial"/>
          <w:sz w:val="22"/>
          <w:szCs w:val="22"/>
          <w:b w:val="1"/>
          <w:bCs w:val="1"/>
          <w:color w:val="auto"/>
        </w:rPr>
      </w:pPr>
      <w:r>
        <w:rPr>
          <w:rFonts w:ascii="Arial" w:cs="Arial" w:eastAsia="Arial" w:hAnsi="Arial"/>
          <w:sz w:val="20"/>
          <w:szCs w:val="20"/>
          <w:b w:val="1"/>
          <w:bCs w:val="1"/>
          <w:u w:val="single" w:color="auto"/>
          <w:color w:val="auto"/>
        </w:rPr>
        <w:t>FRACTIONAL SHARES PAID IN CASH.</w:t>
      </w:r>
      <w:r>
        <w:rPr>
          <w:rFonts w:ascii="Arial" w:cs="Arial" w:eastAsia="Arial" w:hAnsi="Arial"/>
          <w:sz w:val="20"/>
          <w:szCs w:val="20"/>
          <w:b w:val="1"/>
          <w:bCs w:val="1"/>
          <w:color w:val="auto"/>
        </w:rPr>
        <w:t xml:space="preserve"> </w:t>
      </w:r>
      <w:r>
        <w:rPr>
          <w:rFonts w:ascii="Arial" w:cs="Arial" w:eastAsia="Arial" w:hAnsi="Arial"/>
          <w:sz w:val="20"/>
          <w:szCs w:val="20"/>
          <w:color w:val="auto"/>
        </w:rPr>
        <w:t>In the event any share of Stock due hereunder is a fractional share, the Company shall</w:t>
      </w:r>
      <w:r>
        <w:rPr>
          <w:rFonts w:ascii="Arial" w:cs="Arial" w:eastAsia="Arial" w:hAnsi="Arial"/>
          <w:sz w:val="20"/>
          <w:szCs w:val="20"/>
          <w:b w:val="1"/>
          <w:bCs w:val="1"/>
          <w:color w:val="auto"/>
        </w:rPr>
        <w:t xml:space="preserve"> </w:t>
      </w:r>
      <w:r>
        <w:rPr>
          <w:rFonts w:ascii="Arial" w:cs="Arial" w:eastAsia="Arial" w:hAnsi="Arial"/>
          <w:sz w:val="20"/>
          <w:szCs w:val="20"/>
          <w:color w:val="auto"/>
        </w:rPr>
        <w:t>pay the value of such fractional share in cash.</w:t>
      </w:r>
    </w:p>
    <w:p>
      <w:pPr>
        <w:spacing w:after="0" w:line="183" w:lineRule="exact"/>
        <w:rPr>
          <w:rFonts w:ascii="Arial" w:cs="Arial" w:eastAsia="Arial" w:hAnsi="Arial"/>
          <w:sz w:val="22"/>
          <w:szCs w:val="22"/>
          <w:b w:val="1"/>
          <w:bCs w:val="1"/>
          <w:color w:val="auto"/>
        </w:rPr>
      </w:pPr>
    </w:p>
    <w:p>
      <w:pPr>
        <w:jc w:val="both"/>
        <w:ind w:left="660" w:hanging="652"/>
        <w:spacing w:after="0" w:line="310" w:lineRule="auto"/>
        <w:tabs>
          <w:tab w:leader="none" w:pos="660" w:val="left"/>
        </w:tabs>
        <w:numPr>
          <w:ilvl w:val="0"/>
          <w:numId w:val="39"/>
        </w:numPr>
        <w:rPr>
          <w:rFonts w:ascii="Arial" w:cs="Arial" w:eastAsia="Arial" w:hAnsi="Arial"/>
          <w:sz w:val="19"/>
          <w:szCs w:val="19"/>
          <w:b w:val="1"/>
          <w:bCs w:val="1"/>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color w:val="auto"/>
        </w:rPr>
        <w:t>. This Agreement is awarded pursuant to and is subject to all of the provisions of the Plan,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amendments to the Plan, if any. In the event of a conflict between this Agreement and the Plan provisions, the Plan provisions will control. The term “</w:t>
      </w:r>
      <w:r>
        <w:rPr>
          <w:rFonts w:ascii="Arial" w:cs="Arial" w:eastAsia="Arial" w:hAnsi="Arial"/>
          <w:sz w:val="18"/>
          <w:szCs w:val="18"/>
          <w:i w:val="1"/>
          <w:iCs w:val="1"/>
          <w:color w:val="auto"/>
        </w:rPr>
        <w:t>you</w:t>
      </w:r>
      <w:r>
        <w:rPr>
          <w:rFonts w:ascii="Arial" w:cs="Arial" w:eastAsia="Arial" w:hAnsi="Arial"/>
          <w:sz w:val="18"/>
          <w:szCs w:val="18"/>
          <w:color w:val="auto"/>
        </w:rPr>
        <w:t>” and “</w:t>
      </w:r>
      <w:r>
        <w:rPr>
          <w:rFonts w:ascii="Arial" w:cs="Arial" w:eastAsia="Arial" w:hAnsi="Arial"/>
          <w:sz w:val="18"/>
          <w:szCs w:val="18"/>
          <w:i w:val="1"/>
          <w:iCs w:val="1"/>
          <w:color w:val="auto"/>
        </w:rPr>
        <w:t>your</w:t>
      </w:r>
      <w:r>
        <w:rPr>
          <w:rFonts w:ascii="Arial" w:cs="Arial" w:eastAsia="Arial" w:hAnsi="Arial"/>
          <w:sz w:val="18"/>
          <w:szCs w:val="18"/>
          <w:color w:val="auto"/>
        </w:rPr>
        <w:t>” refer to the Grantee named in this Agreement. Capitalized terms that are not defined herein shall have the meanings ascribed to such terms in the Plan. This Agreement shall be binding on all successors and assigns of the Company.</w:t>
      </w:r>
    </w:p>
    <w:p>
      <w:pPr>
        <w:spacing w:after="0" w:line="159" w:lineRule="exact"/>
        <w:rPr>
          <w:sz w:val="20"/>
          <w:szCs w:val="20"/>
          <w:color w:val="auto"/>
        </w:rPr>
      </w:pPr>
    </w:p>
    <w:p>
      <w:pPr>
        <w:spacing w:after="0"/>
        <w:rPr>
          <w:sz w:val="20"/>
          <w:szCs w:val="20"/>
          <w:color w:val="auto"/>
        </w:rPr>
      </w:pPr>
      <w:r>
        <w:rPr>
          <w:rFonts w:ascii="Arial" w:cs="Arial" w:eastAsia="Arial" w:hAnsi="Arial"/>
          <w:sz w:val="19"/>
          <w:szCs w:val="19"/>
          <w:color w:val="auto"/>
        </w:rPr>
        <w:t>In accepting this award of PRSU</w:t>
      </w:r>
      <w:r>
        <w:rPr>
          <w:rFonts w:ascii="Arial" w:cs="Arial" w:eastAsia="Arial" w:hAnsi="Arial"/>
          <w:sz w:val="20"/>
          <w:szCs w:val="20"/>
          <w:color w:val="auto"/>
        </w:rPr>
        <w:t>s</w:t>
      </w:r>
      <w:r>
        <w:rPr>
          <w:rFonts w:ascii="Arial" w:cs="Arial" w:eastAsia="Arial" w:hAnsi="Arial"/>
          <w:sz w:val="19"/>
          <w:szCs w:val="19"/>
          <w:color w:val="auto"/>
        </w:rPr>
        <w:t xml:space="preserve"> you accept and agree to be bound by all the terms and conditions of the Plan and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QUANEX BUILDING PRODUCTS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571500</wp:posOffset>
            </wp:positionV>
            <wp:extent cx="75374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7537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[Name]</w:t>
      </w:r>
    </w:p>
    <w:p>
      <w:pPr>
        <w:spacing w:after="0" w:line="16"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[Title]</w:t>
      </w:r>
    </w:p>
    <w:p>
      <w:pPr>
        <w:sectPr>
          <w:pgSz w:w="11900" w:h="16838" w:orient="portrait"/>
          <w:cols w:equalWidth="0" w:num="1">
            <w:col w:w="11240"/>
          </w:cols>
          <w:pgMar w:left="320" w:top="130" w:right="339" w:bottom="964" w:gutter="0" w:footer="0" w:header="0"/>
        </w:sectPr>
      </w:pPr>
    </w:p>
    <w:p>
      <w:pPr>
        <w:spacing w:after="0" w:line="200" w:lineRule="exact"/>
        <w:rPr>
          <w:sz w:val="20"/>
          <w:szCs w:val="20"/>
          <w:color w:val="auto"/>
        </w:rPr>
      </w:pPr>
    </w:p>
    <w:p>
      <w:pPr>
        <w:spacing w:after="0" w:line="232" w:lineRule="exact"/>
        <w:rPr>
          <w:sz w:val="20"/>
          <w:szCs w:val="20"/>
          <w:color w:val="auto"/>
        </w:rPr>
      </w:pPr>
    </w:p>
    <w:p>
      <w:pPr>
        <w:ind w:left="8960"/>
        <w:spacing w:after="0"/>
        <w:rPr>
          <w:sz w:val="20"/>
          <w:szCs w:val="20"/>
          <w:color w:val="auto"/>
        </w:rPr>
      </w:pPr>
      <w:r>
        <w:rPr>
          <w:rFonts w:ascii="Arial" w:cs="Arial" w:eastAsia="Arial" w:hAnsi="Arial"/>
          <w:sz w:val="15"/>
          <w:szCs w:val="15"/>
          <w:i w:val="1"/>
          <w:iCs w:val="1"/>
          <w:color w:val="auto"/>
        </w:rPr>
        <w:t>Stock Settled Performance RSU</w:t>
      </w:r>
    </w:p>
    <w:p>
      <w:pPr>
        <w:sectPr>
          <w:pgSz w:w="11900" w:h="16838" w:orient="portrait"/>
          <w:cols w:equalWidth="0" w:num="1">
            <w:col w:w="11240"/>
          </w:cols>
          <w:pgMar w:left="320" w:top="130" w:right="339" w:bottom="964" w:gutter="0" w:footer="0" w:header="0"/>
          <w:type w:val="continuous"/>
        </w:sectPr>
      </w:pPr>
    </w:p>
    <w:bookmarkStart w:id="65" w:name="page66"/>
    <w:bookmarkEnd w:id="65"/>
    <w:p>
      <w:pPr>
        <w:spacing w:after="0" w:line="115"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QUANEX BUILDING PRODUCTS CORPORATION</w:t>
      </w:r>
    </w:p>
    <w:p>
      <w:pPr>
        <w:spacing w:after="0" w:line="127"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DIRECTOR CASH-SETTLED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UNIT AWARD AGREEMENT</w:t>
      </w:r>
    </w:p>
    <w:p>
      <w:pPr>
        <w:spacing w:after="0" w:line="209"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[_______________]</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Grantee</w:t>
      </w:r>
    </w:p>
    <w:p>
      <w:pPr>
        <w:sectPr>
          <w:pgSz w:w="11900" w:h="16954" w:orient="portrait"/>
          <w:cols w:equalWidth="0" w:num="1">
            <w:col w:w="11240"/>
          </w:cols>
          <w:pgMar w:left="320" w:top="333" w:right="339" w:bottom="0" w:gutter="0" w:footer="0" w:header="0"/>
        </w:sectPr>
      </w:pPr>
    </w:p>
    <w:p>
      <w:pPr>
        <w:spacing w:after="0" w:line="364" w:lineRule="exact"/>
        <w:rPr>
          <w:sz w:val="20"/>
          <w:szCs w:val="20"/>
          <w:color w:val="auto"/>
        </w:rPr>
      </w:pPr>
    </w:p>
    <w:p>
      <w:pPr>
        <w:ind w:left="300"/>
        <w:spacing w:after="0"/>
        <w:rPr>
          <w:sz w:val="20"/>
          <w:szCs w:val="20"/>
          <w:color w:val="auto"/>
        </w:rPr>
      </w:pPr>
      <w:r>
        <w:rPr>
          <w:rFonts w:ascii="Arial" w:cs="Arial" w:eastAsia="Arial" w:hAnsi="Arial"/>
          <w:sz w:val="19"/>
          <w:szCs w:val="19"/>
          <w:color w:val="auto"/>
        </w:rPr>
        <w:t>Date of Award:</w:t>
      </w:r>
    </w:p>
    <w:p>
      <w:pPr>
        <w:spacing w:after="0" w:line="20" w:lineRule="exact"/>
        <w:rPr>
          <w:sz w:val="20"/>
          <w:szCs w:val="20"/>
          <w:color w:val="auto"/>
        </w:rPr>
      </w:pPr>
      <w:r>
        <w:rPr>
          <w:sz w:val="20"/>
          <w:szCs w:val="20"/>
          <w:color w:val="auto"/>
        </w:rPr>
        <w:br w:type="column"/>
      </w:r>
    </w:p>
    <w:p>
      <w:pPr>
        <w:spacing w:after="0" w:line="33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[__________________]</w:t>
      </w:r>
    </w:p>
    <w:p>
      <w:pPr>
        <w:spacing w:after="0" w:line="205" w:lineRule="exact"/>
        <w:rPr>
          <w:sz w:val="20"/>
          <w:szCs w:val="20"/>
          <w:color w:val="auto"/>
        </w:rPr>
      </w:pPr>
    </w:p>
    <w:p>
      <w:pPr>
        <w:sectPr>
          <w:pgSz w:w="11900" w:h="16954" w:orient="portrait"/>
          <w:cols w:equalWidth="0" w:num="2">
            <w:col w:w="4980" w:space="720"/>
            <w:col w:w="5540"/>
          </w:cols>
          <w:pgMar w:left="320" w:top="333" w:right="339" w:bottom="0" w:gutter="0" w:footer="0" w:header="0"/>
          <w:type w:val="continuous"/>
        </w:sectPr>
      </w:pPr>
    </w:p>
    <w:p>
      <w:pPr>
        <w:spacing w:after="0" w:line="68" w:lineRule="exact"/>
        <w:rPr>
          <w:sz w:val="20"/>
          <w:szCs w:val="20"/>
          <w:color w:val="auto"/>
        </w:rPr>
      </w:pPr>
    </w:p>
    <w:p>
      <w:pPr>
        <w:ind w:left="300"/>
        <w:spacing w:after="0"/>
        <w:rPr>
          <w:sz w:val="20"/>
          <w:szCs w:val="20"/>
          <w:color w:val="auto"/>
        </w:rPr>
      </w:pPr>
      <w:r>
        <w:rPr>
          <w:rFonts w:ascii="Arial" w:cs="Arial" w:eastAsia="Arial" w:hAnsi="Arial"/>
          <w:sz w:val="19"/>
          <w:szCs w:val="19"/>
          <w:color w:val="auto"/>
        </w:rPr>
        <w:t>Number of Restricted Stock Units:</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[______]</w:t>
      </w:r>
    </w:p>
    <w:p>
      <w:pPr>
        <w:spacing w:after="0" w:line="205" w:lineRule="exact"/>
        <w:rPr>
          <w:sz w:val="20"/>
          <w:szCs w:val="20"/>
          <w:color w:val="auto"/>
        </w:rPr>
      </w:pPr>
    </w:p>
    <w:p>
      <w:pPr>
        <w:sectPr>
          <w:pgSz w:w="11900" w:h="16954" w:orient="portrait"/>
          <w:cols w:equalWidth="0" w:num="2">
            <w:col w:w="4980" w:space="720"/>
            <w:col w:w="5540"/>
          </w:cols>
          <w:pgMar w:left="320" w:top="333" w:right="339" w:bottom="0" w:gutter="0" w:footer="0" w:header="0"/>
          <w:type w:val="continuous"/>
        </w:sectPr>
      </w:pPr>
    </w:p>
    <w:p>
      <w:pPr>
        <w:spacing w:after="0" w:line="68" w:lineRule="exact"/>
        <w:rPr>
          <w:sz w:val="20"/>
          <w:szCs w:val="20"/>
          <w:color w:val="auto"/>
        </w:rPr>
      </w:pPr>
    </w:p>
    <w:p>
      <w:pPr>
        <w:ind w:left="300"/>
        <w:spacing w:after="0"/>
        <w:rPr>
          <w:sz w:val="20"/>
          <w:szCs w:val="20"/>
          <w:color w:val="auto"/>
        </w:rPr>
      </w:pPr>
      <w:r>
        <w:rPr>
          <w:rFonts w:ascii="Arial" w:cs="Arial" w:eastAsia="Arial" w:hAnsi="Arial"/>
          <w:sz w:val="19"/>
          <w:szCs w:val="19"/>
          <w:color w:val="auto"/>
        </w:rPr>
        <w:t>General Vesting Schedule/Restricted Period:</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rPr>
          <w:sz w:val="20"/>
          <w:szCs w:val="20"/>
          <w:color w:val="auto"/>
        </w:rPr>
      </w:pPr>
      <w:r>
        <w:rPr>
          <w:rFonts w:ascii="Arial" w:cs="Arial" w:eastAsia="Arial" w:hAnsi="Arial"/>
          <w:sz w:val="19"/>
          <w:szCs w:val="19"/>
          <w:color w:val="auto"/>
        </w:rPr>
        <w:t>100% vested on the Date of Award</w:t>
      </w:r>
    </w:p>
    <w:p>
      <w:pPr>
        <w:spacing w:after="0" w:line="200" w:lineRule="exact"/>
        <w:rPr>
          <w:sz w:val="20"/>
          <w:szCs w:val="20"/>
          <w:color w:val="auto"/>
        </w:rPr>
      </w:pPr>
    </w:p>
    <w:p>
      <w:pPr>
        <w:sectPr>
          <w:pgSz w:w="11900" w:h="16954" w:orient="portrait"/>
          <w:cols w:equalWidth="0" w:num="2">
            <w:col w:w="4980" w:space="720"/>
            <w:col w:w="5540"/>
          </w:cols>
          <w:pgMar w:left="320" w:top="333" w:right="339" w:bottom="0" w:gutter="0" w:footer="0" w:header="0"/>
          <w:type w:val="continuous"/>
        </w:sect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AWARD OF RESTRICTED STOCK UNITS</w:t>
      </w:r>
    </w:p>
    <w:p>
      <w:pPr>
        <w:spacing w:after="0" w:line="211" w:lineRule="exact"/>
        <w:rPr>
          <w:sz w:val="20"/>
          <w:szCs w:val="20"/>
          <w:color w:val="auto"/>
        </w:rPr>
      </w:pPr>
    </w:p>
    <w:p>
      <w:pPr>
        <w:jc w:val="both"/>
        <w:ind w:firstLine="8"/>
        <w:spacing w:after="0" w:line="246" w:lineRule="auto"/>
        <w:tabs>
          <w:tab w:leader="none" w:pos="625" w:val="left"/>
        </w:tabs>
        <w:numPr>
          <w:ilvl w:val="0"/>
          <w:numId w:val="40"/>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GRANT OF RESTRICTED STOCK UNIT AWARD</w:t>
      </w:r>
      <w:r>
        <w:rPr>
          <w:rFonts w:ascii="Arial" w:cs="Arial" w:eastAsia="Arial" w:hAnsi="Arial"/>
          <w:sz w:val="20"/>
          <w:szCs w:val="20"/>
          <w:color w:val="auto"/>
        </w:rPr>
        <w:t>. The Board of Directors (the “</w:t>
      </w:r>
      <w:r>
        <w:rPr>
          <w:rFonts w:ascii="Arial" w:cs="Arial" w:eastAsia="Arial" w:hAnsi="Arial"/>
          <w:sz w:val="20"/>
          <w:szCs w:val="20"/>
          <w:i w:val="1"/>
          <w:iCs w:val="1"/>
          <w:color w:val="auto"/>
        </w:rPr>
        <w:t>Board</w:t>
      </w:r>
      <w:r>
        <w:rPr>
          <w:rFonts w:ascii="Arial" w:cs="Arial" w:eastAsia="Arial" w:hAnsi="Arial"/>
          <w:sz w:val="20"/>
          <w:szCs w:val="20"/>
          <w:color w:val="auto"/>
        </w:rPr>
        <w:t>”) of Quanex Building Products</w:t>
      </w:r>
      <w:r>
        <w:rPr>
          <w:rFonts w:ascii="Arial" w:cs="Arial" w:eastAsia="Arial" w:hAnsi="Arial"/>
          <w:sz w:val="20"/>
          <w:szCs w:val="20"/>
          <w:b w:val="1"/>
          <w:bCs w:val="1"/>
          <w:color w:val="auto"/>
        </w:rPr>
        <w:t xml:space="preserve"> </w:t>
      </w:r>
      <w:r>
        <w:rPr>
          <w:rFonts w:ascii="Arial" w:cs="Arial" w:eastAsia="Arial" w:hAnsi="Arial"/>
          <w:sz w:val="20"/>
          <w:szCs w:val="20"/>
          <w:color w:val="auto"/>
        </w:rPr>
        <w:t>Corporation, a Delaware corporation (the “</w:t>
      </w:r>
      <w:r>
        <w:rPr>
          <w:rFonts w:ascii="Arial" w:cs="Arial" w:eastAsia="Arial" w:hAnsi="Arial"/>
          <w:sz w:val="20"/>
          <w:szCs w:val="20"/>
          <w:i w:val="1"/>
          <w:iCs w:val="1"/>
          <w:color w:val="auto"/>
        </w:rPr>
        <w:t>Company</w:t>
      </w:r>
      <w:r>
        <w:rPr>
          <w:rFonts w:ascii="Arial" w:cs="Arial" w:eastAsia="Arial" w:hAnsi="Arial"/>
          <w:sz w:val="20"/>
          <w:szCs w:val="20"/>
          <w:color w:val="auto"/>
        </w:rPr>
        <w:t>”), subject to the terms and provisions of the Quanex Building Products Corporation 2020 Omnibus Incentive Plan (the “</w:t>
      </w:r>
      <w:r>
        <w:rPr>
          <w:rFonts w:ascii="Arial" w:cs="Arial" w:eastAsia="Arial" w:hAnsi="Arial"/>
          <w:sz w:val="20"/>
          <w:szCs w:val="20"/>
          <w:i w:val="1"/>
          <w:iCs w:val="1"/>
          <w:color w:val="auto"/>
        </w:rPr>
        <w:t>Plan</w:t>
      </w:r>
      <w:r>
        <w:rPr>
          <w:rFonts w:ascii="Arial" w:cs="Arial" w:eastAsia="Arial" w:hAnsi="Arial"/>
          <w:sz w:val="20"/>
          <w:szCs w:val="20"/>
          <w:color w:val="auto"/>
        </w:rPr>
        <w:t>”), hereby awards to you, the above-named Grantee, effective as of the Date of Award set forth above (the “</w:t>
      </w:r>
      <w:r>
        <w:rPr>
          <w:rFonts w:ascii="Arial" w:cs="Arial" w:eastAsia="Arial" w:hAnsi="Arial"/>
          <w:sz w:val="20"/>
          <w:szCs w:val="20"/>
          <w:i w:val="1"/>
          <w:iCs w:val="1"/>
          <w:color w:val="auto"/>
        </w:rPr>
        <w:t>Date of Award</w:t>
      </w:r>
      <w:r>
        <w:rPr>
          <w:rFonts w:ascii="Arial" w:cs="Arial" w:eastAsia="Arial" w:hAnsi="Arial"/>
          <w:sz w:val="20"/>
          <w:szCs w:val="20"/>
          <w:color w:val="auto"/>
        </w:rPr>
        <w:t>”), that number of restricted stock units set forth above (the “</w:t>
      </w:r>
      <w:r>
        <w:rPr>
          <w:rFonts w:ascii="Arial" w:cs="Arial" w:eastAsia="Arial" w:hAnsi="Arial"/>
          <w:sz w:val="20"/>
          <w:szCs w:val="20"/>
          <w:i w:val="1"/>
          <w:iCs w:val="1"/>
          <w:color w:val="auto"/>
        </w:rPr>
        <w:t>RSUs</w:t>
      </w:r>
      <w:r>
        <w:rPr>
          <w:rFonts w:ascii="Arial" w:cs="Arial" w:eastAsia="Arial" w:hAnsi="Arial"/>
          <w:sz w:val="20"/>
          <w:szCs w:val="20"/>
          <w:color w:val="auto"/>
        </w:rPr>
        <w:t>”), on the terms and conditions set forth in this Restricted Stock Unit Award Agreement (this “</w:t>
      </w:r>
      <w:r>
        <w:rPr>
          <w:rFonts w:ascii="Arial" w:cs="Arial" w:eastAsia="Arial" w:hAnsi="Arial"/>
          <w:sz w:val="20"/>
          <w:szCs w:val="20"/>
          <w:i w:val="1"/>
          <w:iCs w:val="1"/>
          <w:color w:val="auto"/>
        </w:rPr>
        <w:t>Agreement</w:t>
      </w:r>
      <w:r>
        <w:rPr>
          <w:rFonts w:ascii="Arial" w:cs="Arial" w:eastAsia="Arial" w:hAnsi="Arial"/>
          <w:sz w:val="20"/>
          <w:szCs w:val="20"/>
          <w:color w:val="auto"/>
        </w:rPr>
        <w:t>”).</w:t>
      </w:r>
    </w:p>
    <w:p>
      <w:pPr>
        <w:spacing w:after="0" w:line="19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RSUs will be evidenced by entries in a bookkeeping ledger account which reflect the number of RSUs credited under the Plan for your benefit.</w:t>
      </w:r>
    </w:p>
    <w:p>
      <w:pPr>
        <w:spacing w:after="0" w:line="177"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Upon the earlier of (1) the date on which you cease to be a member of the Board of Directors of the Company for any reason or (2) the date on which there occurs a “change in the ownership or effective control of the corporation” or a “change in the ownership of a substantial portion of the assets of the corporation” (within the meaning of section 409A of the Internal Revenue Code of 1986, as amended (the “</w:t>
      </w:r>
      <w:r>
        <w:rPr>
          <w:rFonts w:ascii="Arial" w:cs="Arial" w:eastAsia="Arial" w:hAnsi="Arial"/>
          <w:sz w:val="18"/>
          <w:szCs w:val="18"/>
          <w:i w:val="1"/>
          <w:iCs w:val="1"/>
          <w:color w:val="auto"/>
        </w:rPr>
        <w:t>Code</w:t>
      </w:r>
      <w:r>
        <w:rPr>
          <w:rFonts w:ascii="Arial" w:cs="Arial" w:eastAsia="Arial" w:hAnsi="Arial"/>
          <w:sz w:val="18"/>
          <w:szCs w:val="18"/>
          <w:color w:val="auto"/>
        </w:rPr>
        <w:t>”)) with respect to the Company, the Company shall issue to you (or to your legal representative or heir) cash in an amount equal to the fair market value of one share of the Company’s common stock, $0.01 par value per share (the “</w:t>
      </w:r>
      <w:r>
        <w:rPr>
          <w:rFonts w:ascii="Arial" w:cs="Arial" w:eastAsia="Arial" w:hAnsi="Arial"/>
          <w:sz w:val="18"/>
          <w:szCs w:val="18"/>
          <w:i w:val="1"/>
          <w:iCs w:val="1"/>
          <w:color w:val="auto"/>
        </w:rPr>
        <w:t>Common Stock</w:t>
      </w:r>
      <w:r>
        <w:rPr>
          <w:rFonts w:ascii="Arial" w:cs="Arial" w:eastAsia="Arial" w:hAnsi="Arial"/>
          <w:sz w:val="18"/>
          <w:szCs w:val="18"/>
          <w:color w:val="auto"/>
        </w:rPr>
        <w:t>”), in exchange for each RSU that is awarded to you hereby and thereafter you shall have no further rights with respect to such RSU.</w:t>
      </w:r>
    </w:p>
    <w:p>
      <w:pPr>
        <w:spacing w:after="0" w:line="159" w:lineRule="exact"/>
        <w:rPr>
          <w:sz w:val="20"/>
          <w:szCs w:val="20"/>
          <w:color w:val="auto"/>
        </w:rPr>
      </w:pPr>
    </w:p>
    <w:p>
      <w:pPr>
        <w:ind w:firstLine="8"/>
        <w:spacing w:after="0" w:line="267" w:lineRule="auto"/>
        <w:tabs>
          <w:tab w:leader="none" w:pos="571" w:val="left"/>
        </w:tabs>
        <w:numPr>
          <w:ilvl w:val="0"/>
          <w:numId w:val="4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NONTRANSFERABILITY</w:t>
      </w:r>
      <w:r>
        <w:rPr>
          <w:rFonts w:ascii="Arial" w:cs="Arial" w:eastAsia="Arial" w:hAnsi="Arial"/>
          <w:sz w:val="20"/>
          <w:szCs w:val="20"/>
          <w:color w:val="auto"/>
        </w:rPr>
        <w:t>. Notwithstanding anything in this Agreement to the contrary, the RSUs awarded to you under this</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shall not be transferable or assignable by you other than by will or the laws of descent and distribution.</w:t>
      </w:r>
    </w:p>
    <w:p>
      <w:pPr>
        <w:spacing w:after="0" w:line="163" w:lineRule="exact"/>
        <w:rPr>
          <w:rFonts w:ascii="Arial" w:cs="Arial" w:eastAsia="Arial" w:hAnsi="Arial"/>
          <w:sz w:val="20"/>
          <w:szCs w:val="20"/>
          <w:b w:val="1"/>
          <w:bCs w:val="1"/>
          <w:color w:val="auto"/>
        </w:rPr>
      </w:pPr>
    </w:p>
    <w:p>
      <w:pPr>
        <w:jc w:val="both"/>
        <w:ind w:firstLine="8"/>
        <w:spacing w:after="0" w:line="246" w:lineRule="auto"/>
        <w:tabs>
          <w:tab w:leader="none" w:pos="423" w:val="left"/>
        </w:tabs>
        <w:numPr>
          <w:ilvl w:val="0"/>
          <w:numId w:val="41"/>
        </w:numPr>
        <w:rPr>
          <w:rFonts w:ascii="Arial" w:cs="Arial" w:eastAsia="Arial" w:hAnsi="Arial"/>
          <w:sz w:val="20"/>
          <w:szCs w:val="20"/>
          <w:b w:val="1"/>
          <w:bCs w:val="1"/>
          <w:color w:val="auto"/>
        </w:rPr>
      </w:pPr>
      <w:r>
        <w:rPr>
          <w:rFonts w:ascii="Arial" w:cs="Arial" w:eastAsia="Arial" w:hAnsi="Arial"/>
          <w:sz w:val="20"/>
          <w:szCs w:val="20"/>
          <w:u w:val="single" w:color="auto"/>
          <w:color w:val="auto"/>
        </w:rPr>
        <w:t>C</w:t>
      </w:r>
      <w:r>
        <w:rPr>
          <w:rFonts w:ascii="Arial" w:cs="Arial" w:eastAsia="Arial" w:hAnsi="Arial"/>
          <w:sz w:val="20"/>
          <w:szCs w:val="20"/>
          <w:b w:val="1"/>
          <w:bCs w:val="1"/>
          <w:u w:val="single" w:color="auto"/>
          <w:color w:val="auto"/>
        </w:rPr>
        <w:t>APITAL ADJUSTMENTS AND REORGANIZATIONS</w:t>
      </w:r>
      <w:r>
        <w:rPr>
          <w:rFonts w:ascii="Arial" w:cs="Arial" w:eastAsia="Arial" w:hAnsi="Arial"/>
          <w:sz w:val="20"/>
          <w:szCs w:val="20"/>
          <w:color w:val="auto"/>
        </w:rPr>
        <w:t>. The existence of the RSUs shall not affect in any way the right or power of the Company or any company the stock of which is awarded pursuant to this Agreement to make or authorize any adjustment, recapitalization, reorganization or other change in its capital structure or its business, engage in any merger or consolidation, issue any debt or equity securities, dissolve or liquidate, or sell, lease, exchange or otherwise dispose of all or any part of its assets or business, or engage in any other corporate act or proceeding.</w:t>
      </w:r>
    </w:p>
    <w:p>
      <w:pPr>
        <w:spacing w:after="0" w:line="184" w:lineRule="exact"/>
        <w:rPr>
          <w:rFonts w:ascii="Arial" w:cs="Arial" w:eastAsia="Arial" w:hAnsi="Arial"/>
          <w:sz w:val="20"/>
          <w:szCs w:val="20"/>
          <w:b w:val="1"/>
          <w:bCs w:val="1"/>
          <w:color w:val="auto"/>
        </w:rPr>
      </w:pPr>
    </w:p>
    <w:p>
      <w:pPr>
        <w:ind w:firstLine="8"/>
        <w:spacing w:after="0" w:line="267" w:lineRule="auto"/>
        <w:tabs>
          <w:tab w:leader="none" w:pos="463" w:val="left"/>
        </w:tabs>
        <w:numPr>
          <w:ilvl w:val="0"/>
          <w:numId w:val="4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RSUs DO NOT AWARD ANY RIGHTS OF A SHAREHOLDER</w:t>
      </w:r>
      <w:r>
        <w:rPr>
          <w:rFonts w:ascii="Arial" w:cs="Arial" w:eastAsia="Arial" w:hAnsi="Arial"/>
          <w:sz w:val="20"/>
          <w:szCs w:val="20"/>
          <w:color w:val="auto"/>
        </w:rPr>
        <w:t>. You shall not have the voting rights or any of the other rights,</w:t>
      </w:r>
      <w:r>
        <w:rPr>
          <w:rFonts w:ascii="Arial" w:cs="Arial" w:eastAsia="Arial" w:hAnsi="Arial"/>
          <w:sz w:val="20"/>
          <w:szCs w:val="20"/>
          <w:b w:val="1"/>
          <w:bCs w:val="1"/>
          <w:color w:val="auto"/>
        </w:rPr>
        <w:t xml:space="preserve"> </w:t>
      </w:r>
      <w:r>
        <w:rPr>
          <w:rFonts w:ascii="Arial" w:cs="Arial" w:eastAsia="Arial" w:hAnsi="Arial"/>
          <w:sz w:val="20"/>
          <w:szCs w:val="20"/>
          <w:color w:val="auto"/>
        </w:rPr>
        <w:t>powers or privileges of a holder of the Common Stock with respect to the RSUs that are awarded hereby.</w:t>
      </w:r>
    </w:p>
    <w:p>
      <w:pPr>
        <w:spacing w:after="0" w:line="163" w:lineRule="exact"/>
        <w:rPr>
          <w:rFonts w:ascii="Arial" w:cs="Arial" w:eastAsia="Arial" w:hAnsi="Arial"/>
          <w:sz w:val="20"/>
          <w:szCs w:val="20"/>
          <w:b w:val="1"/>
          <w:bCs w:val="1"/>
          <w:color w:val="auto"/>
        </w:rPr>
      </w:pPr>
    </w:p>
    <w:p>
      <w:pPr>
        <w:jc w:val="both"/>
        <w:ind w:firstLine="8"/>
        <w:spacing w:after="0" w:line="264" w:lineRule="auto"/>
        <w:tabs>
          <w:tab w:leader="none" w:pos="409"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PAYMENT OF DIVIDEND EQUIVALENTS</w:t>
      </w:r>
      <w:r>
        <w:rPr>
          <w:rFonts w:ascii="Arial" w:cs="Arial" w:eastAsia="Arial" w:hAnsi="Arial"/>
          <w:sz w:val="18"/>
          <w:szCs w:val="18"/>
          <w:color w:val="auto"/>
        </w:rPr>
        <w:t>. If during the period you hold any RSUs awarded hereby the Company pays a dividend</w:t>
      </w:r>
      <w:r>
        <w:rPr>
          <w:rFonts w:ascii="Arial" w:cs="Arial" w:eastAsia="Arial" w:hAnsi="Arial"/>
          <w:sz w:val="18"/>
          <w:szCs w:val="18"/>
          <w:b w:val="1"/>
          <w:bCs w:val="1"/>
          <w:color w:val="auto"/>
        </w:rPr>
        <w:t xml:space="preserve"> </w:t>
      </w:r>
      <w:r>
        <w:rPr>
          <w:rFonts w:ascii="Arial" w:cs="Arial" w:eastAsia="Arial" w:hAnsi="Arial"/>
          <w:sz w:val="18"/>
          <w:szCs w:val="18"/>
          <w:color w:val="auto"/>
        </w:rPr>
        <w:t>in cash with respect to the outstanding shares of the Common Stock (a “</w:t>
      </w:r>
      <w:r>
        <w:rPr>
          <w:rFonts w:ascii="Arial" w:cs="Arial" w:eastAsia="Arial" w:hAnsi="Arial"/>
          <w:sz w:val="18"/>
          <w:szCs w:val="18"/>
          <w:i w:val="1"/>
          <w:iCs w:val="1"/>
          <w:color w:val="auto"/>
        </w:rPr>
        <w:t>Cash Dividend</w:t>
      </w:r>
      <w:r>
        <w:rPr>
          <w:rFonts w:ascii="Arial" w:cs="Arial" w:eastAsia="Arial" w:hAnsi="Arial"/>
          <w:sz w:val="18"/>
          <w:szCs w:val="18"/>
          <w:color w:val="auto"/>
        </w:rPr>
        <w:t>”), then the Company will pay to you in cash, an amount equal to the product of (a) the RSUs awarded hereby that have not been exchanged by the Company for cash and (b) the amount of the Cash Dividend paid per share of the Common Stock (the “</w:t>
      </w:r>
      <w:r>
        <w:rPr>
          <w:rFonts w:ascii="Arial" w:cs="Arial" w:eastAsia="Arial" w:hAnsi="Arial"/>
          <w:sz w:val="18"/>
          <w:szCs w:val="18"/>
          <w:i w:val="1"/>
          <w:iCs w:val="1"/>
          <w:color w:val="auto"/>
        </w:rPr>
        <w:t>Dividend Equivalent</w:t>
      </w:r>
      <w:r>
        <w:rPr>
          <w:rFonts w:ascii="Arial" w:cs="Arial" w:eastAsia="Arial" w:hAnsi="Arial"/>
          <w:sz w:val="18"/>
          <w:szCs w:val="18"/>
          <w:color w:val="auto"/>
        </w:rPr>
        <w:t>”). The Company shall pay to you currently (and in no case later than the end of the calendar year in which the dividends are paid to the holders of the Common Stock, or if later, the 15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of the third month following the date the dividends are paid to the holders of the Common Stock) an amount equal to such Dividend Equivalents.</w:t>
      </w:r>
    </w:p>
    <w:p>
      <w:pPr>
        <w:spacing w:after="0" w:line="170"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If during the period you hold any RSUs awarded hereby the Company pays a dividend in shares of the Common Stock with respect to the outstanding shares of the Common Stock, then the Company will increase the RSUs awarded hereby that have not then been exchanged by the Company for shares of the Common Stock by an amount equal to the product of (a) the RSUs awarded hereby that have not been exchanged by the Company for cash and (b) the number of shares of the Common Stock paid by the Company per share of the Common Stock (collectively, the “</w:t>
      </w:r>
      <w:r>
        <w:rPr>
          <w:rFonts w:ascii="Arial" w:cs="Arial" w:eastAsia="Arial" w:hAnsi="Arial"/>
          <w:sz w:val="20"/>
          <w:szCs w:val="20"/>
          <w:i w:val="1"/>
          <w:iCs w:val="1"/>
          <w:color w:val="auto"/>
        </w:rPr>
        <w:t>Stock Dividend RSUs</w:t>
      </w:r>
      <w:r>
        <w:rPr>
          <w:rFonts w:ascii="Arial" w:cs="Arial" w:eastAsia="Arial" w:hAnsi="Arial"/>
          <w:sz w:val="20"/>
          <w:szCs w:val="20"/>
          <w:color w:val="auto"/>
        </w:rPr>
        <w:t>”). Each Stock Dividend RSU will be paid in cash at the same time and on the same basis as such RSU.</w:t>
      </w:r>
    </w:p>
    <w:p>
      <w:pPr>
        <w:spacing w:after="0" w:line="190" w:lineRule="exact"/>
        <w:rPr>
          <w:sz w:val="20"/>
          <w:szCs w:val="20"/>
          <w:color w:val="auto"/>
        </w:rPr>
      </w:pPr>
    </w:p>
    <w:p>
      <w:pPr>
        <w:jc w:val="both"/>
        <w:ind w:firstLine="8"/>
        <w:spacing w:after="0" w:line="294" w:lineRule="auto"/>
        <w:tabs>
          <w:tab w:leader="none" w:pos="558"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 A SERVICE OR EMPLOYMENT AGREEMENT</w:t>
      </w:r>
      <w:r>
        <w:rPr>
          <w:rFonts w:ascii="Arial" w:cs="Arial" w:eastAsia="Arial" w:hAnsi="Arial"/>
          <w:sz w:val="18"/>
          <w:szCs w:val="18"/>
          <w:color w:val="auto"/>
        </w:rPr>
        <w:t>. This Agreement is not a service or employment agreement, and no</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 of this Agreement shall be construed or interpreted to create a service or employment relationship between you and the Company or any Affiliate or guarantee the right to remain as a director of or employed by the Company or any Affiliate for any specified term.</w:t>
      </w:r>
    </w:p>
    <w:p>
      <w:pPr>
        <w:spacing w:after="0" w:line="143" w:lineRule="exact"/>
        <w:rPr>
          <w:rFonts w:ascii="Arial" w:cs="Arial" w:eastAsia="Arial" w:hAnsi="Arial"/>
          <w:sz w:val="18"/>
          <w:szCs w:val="18"/>
          <w:b w:val="1"/>
          <w:bCs w:val="1"/>
          <w:color w:val="auto"/>
        </w:rPr>
      </w:pPr>
    </w:p>
    <w:p>
      <w:pPr>
        <w:jc w:val="both"/>
        <w:ind w:firstLine="8"/>
        <w:spacing w:after="0" w:line="253" w:lineRule="auto"/>
        <w:tabs>
          <w:tab w:leader="none" w:pos="409" w:val="left"/>
        </w:tabs>
        <w:numPr>
          <w:ilvl w:val="0"/>
          <w:numId w:val="42"/>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LIMIT OF LIABILITY</w:t>
      </w:r>
      <w:r>
        <w:rPr>
          <w:rFonts w:ascii="Arial" w:cs="Arial" w:eastAsia="Arial" w:hAnsi="Arial"/>
          <w:sz w:val="20"/>
          <w:szCs w:val="20"/>
          <w:color w:val="auto"/>
        </w:rPr>
        <w:t>. Under no circumstances will the Company or an Affiliate be liable for any indirect, incidental, consequential</w:t>
      </w:r>
      <w:r>
        <w:rPr>
          <w:rFonts w:ascii="Arial" w:cs="Arial" w:eastAsia="Arial" w:hAnsi="Arial"/>
          <w:sz w:val="20"/>
          <w:szCs w:val="20"/>
          <w:b w:val="1"/>
          <w:bCs w:val="1"/>
          <w:color w:val="auto"/>
        </w:rPr>
        <w:t xml:space="preserve"> </w:t>
      </w:r>
      <w:r>
        <w:rPr>
          <w:rFonts w:ascii="Arial" w:cs="Arial" w:eastAsia="Arial" w:hAnsi="Arial"/>
          <w:sz w:val="20"/>
          <w:szCs w:val="20"/>
          <w:color w:val="auto"/>
        </w:rPr>
        <w:t>or special damages (including lost profits) of any form incurred by any person, whether or not foreseeable and regardless of the form of the act in which such a claim may be brought, with respect to the Plan.</w:t>
      </w:r>
    </w:p>
    <w:p>
      <w:pPr>
        <w:spacing w:after="0" w:line="177" w:lineRule="exact"/>
        <w:rPr>
          <w:rFonts w:ascii="Arial" w:cs="Arial" w:eastAsia="Arial" w:hAnsi="Arial"/>
          <w:sz w:val="20"/>
          <w:szCs w:val="20"/>
          <w:b w:val="1"/>
          <w:bCs w:val="1"/>
          <w:color w:val="auto"/>
        </w:rPr>
      </w:pPr>
    </w:p>
    <w:p>
      <w:pPr>
        <w:jc w:val="both"/>
        <w:ind w:firstLine="8"/>
        <w:spacing w:after="0" w:line="294" w:lineRule="auto"/>
        <w:tabs>
          <w:tab w:leader="none" w:pos="463"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SECTION 409A OF THE CODE</w:t>
      </w:r>
      <w:r>
        <w:rPr>
          <w:rFonts w:ascii="Arial" w:cs="Arial" w:eastAsia="Arial" w:hAnsi="Arial"/>
          <w:sz w:val="18"/>
          <w:szCs w:val="18"/>
          <w:color w:val="auto"/>
        </w:rPr>
        <w:t>. This Agreement and all payments made hereunder are intended to be exempt from or compliant</w:t>
      </w:r>
      <w:r>
        <w:rPr>
          <w:rFonts w:ascii="Arial" w:cs="Arial" w:eastAsia="Arial" w:hAnsi="Arial"/>
          <w:sz w:val="18"/>
          <w:szCs w:val="18"/>
          <w:b w:val="1"/>
          <w:bCs w:val="1"/>
          <w:color w:val="auto"/>
        </w:rPr>
        <w:t xml:space="preserve"> </w:t>
      </w:r>
      <w:r>
        <w:rPr>
          <w:rFonts w:ascii="Arial" w:cs="Arial" w:eastAsia="Arial" w:hAnsi="Arial"/>
          <w:sz w:val="18"/>
          <w:szCs w:val="18"/>
          <w:color w:val="auto"/>
        </w:rPr>
        <w:t>with Section 409A of the Code and be “Permissible under Section 409A” as defined in the Plan. Specifically, payments of this RSU Award are intended to meet the short-term deferral exception described in 26 C.F.R. 1.409A-1(b)(4) or to comply with Section 409A of the Code by</w:t>
      </w:r>
    </w:p>
    <w:p>
      <w:pPr>
        <w:sectPr>
          <w:pgSz w:w="11900" w:h="16954" w:orient="portrait"/>
          <w:cols w:equalWidth="0" w:num="1">
            <w:col w:w="11240"/>
          </w:cols>
          <w:pgMar w:left="320" w:top="333" w:right="339" w:bottom="0" w:gutter="0" w:footer="0" w:header="0"/>
          <w:type w:val="continuous"/>
        </w:sectPr>
      </w:pPr>
    </w:p>
    <w:bookmarkStart w:id="66" w:name="page67"/>
    <w:bookmarkEnd w:id="66"/>
    <w:p>
      <w:pPr>
        <w:jc w:val="both"/>
        <w:spacing w:after="0" w:line="270" w:lineRule="auto"/>
        <w:rPr>
          <w:sz w:val="20"/>
          <w:szCs w:val="20"/>
          <w:color w:val="auto"/>
        </w:rPr>
      </w:pPr>
      <w:r>
        <w:rPr>
          <w:rFonts w:ascii="Arial" w:cs="Arial" w:eastAsia="Arial" w:hAnsi="Arial"/>
          <w:sz w:val="18"/>
          <w:szCs w:val="18"/>
          <w:color w:val="auto"/>
        </w:rPr>
        <w:t>reason of being paid upon your separation from service pursuant to 26 C.F.R. Section 1.409A-3(a)(1) or pursuant to change in control event pursuant to 26 C.F.R. Section 1.409A-3(a)(5), and the provisions of this Agreement will be administered, interpreted and construed accordingly. Notwithstanding the foregoing, the Company does not guarantee the tax treatment of any payment hereunder and shall have no liability to you or any other person if any provisions of this Agreement are determined to constitute deferred compensation subject to Section 409A of the Code and do not satisfy an exemption from, or comply with, Section 409A of the Code. By accepting this Award, you acknowledge and agree that (a) you are not relying upon any written or oral statement or oral statement or representation of the Company, its Affiliates, or any of their respective employees, directors, officers, attorneys or agents (collectively, the “</w:t>
      </w:r>
      <w:r>
        <w:rPr>
          <w:rFonts w:ascii="Arial" w:cs="Arial" w:eastAsia="Arial" w:hAnsi="Arial"/>
          <w:sz w:val="18"/>
          <w:szCs w:val="18"/>
          <w:i w:val="1"/>
          <w:iCs w:val="1"/>
          <w:color w:val="auto"/>
        </w:rPr>
        <w:t>Company Parties</w:t>
      </w:r>
      <w:r>
        <w:rPr>
          <w:rFonts w:ascii="Arial" w:cs="Arial" w:eastAsia="Arial" w:hAnsi="Arial"/>
          <w:sz w:val="18"/>
          <w:szCs w:val="18"/>
          <w:color w:val="auto"/>
        </w:rPr>
        <w:t>”) regarding the tax effects associated with execution of this Agreement and the payment made pursuant to the Plan, and (b) in deciding to enter into this Agreement, you are relying on your own judgment and the judgment of the professionals of your choice with whom you have consulted. By accepting this Award, you thereby release, acquit and forever discharge the Company Parties from all actions, causes of actions, suits, debts, obligations, liabilities, claims, damages, losses, costs and expenses of any nature whatsoever, known or unknown, on account of, arising out of, or in any way related to the tax effects associated with the Award and this Agreement.</w:t>
      </w:r>
    </w:p>
    <w:p>
      <w:pPr>
        <w:spacing w:after="0" w:line="177" w:lineRule="exact"/>
        <w:rPr>
          <w:sz w:val="20"/>
          <w:szCs w:val="20"/>
          <w:color w:val="auto"/>
        </w:rPr>
      </w:pPr>
    </w:p>
    <w:p>
      <w:pPr>
        <w:jc w:val="both"/>
        <w:ind w:right="20"/>
        <w:spacing w:after="0" w:line="316" w:lineRule="auto"/>
        <w:rPr>
          <w:sz w:val="20"/>
          <w:szCs w:val="20"/>
          <w:color w:val="auto"/>
        </w:rPr>
      </w:pPr>
      <w:r>
        <w:rPr>
          <w:rFonts w:ascii="Arial" w:cs="Arial" w:eastAsia="Arial" w:hAnsi="Arial"/>
          <w:sz w:val="18"/>
          <w:szCs w:val="18"/>
          <w:color w:val="auto"/>
        </w:rPr>
        <w:t>For all purposes of this Agreement, you shall be considered to have ceased to be a member of the Board when you incur a “separation from service” with the Company within the meaning of Section 409A(a)(2)(A)(i) of the Code and 26 C.F.R. Section 1.409A-1(h).</w:t>
      </w:r>
    </w:p>
    <w:p>
      <w:pPr>
        <w:spacing w:after="0" w:line="137" w:lineRule="exact"/>
        <w:rPr>
          <w:sz w:val="20"/>
          <w:szCs w:val="20"/>
          <w:color w:val="auto"/>
        </w:rPr>
      </w:pPr>
    </w:p>
    <w:p>
      <w:pPr>
        <w:jc w:val="both"/>
        <w:ind w:firstLine="8"/>
        <w:spacing w:after="0" w:line="265" w:lineRule="auto"/>
        <w:tabs>
          <w:tab w:leader="none" w:pos="409" w:val="left"/>
        </w:tabs>
        <w:numPr>
          <w:ilvl w:val="0"/>
          <w:numId w:val="43"/>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MISCELLANEOUS</w:t>
      </w:r>
      <w:r>
        <w:rPr>
          <w:rFonts w:ascii="Arial" w:cs="Arial" w:eastAsia="Arial" w:hAnsi="Arial"/>
          <w:sz w:val="19"/>
          <w:szCs w:val="19"/>
          <w:color w:val="auto"/>
        </w:rPr>
        <w:t>. This Agreement is awarded pursuant to and is subject to all of the provisions of the Plan, including amendments</w:t>
      </w:r>
      <w:r>
        <w:rPr>
          <w:rFonts w:ascii="Arial" w:cs="Arial" w:eastAsia="Arial" w:hAnsi="Arial"/>
          <w:sz w:val="19"/>
          <w:szCs w:val="19"/>
          <w:b w:val="1"/>
          <w:bCs w:val="1"/>
          <w:color w:val="auto"/>
        </w:rPr>
        <w:t xml:space="preserve"> </w:t>
      </w:r>
      <w:r>
        <w:rPr>
          <w:rFonts w:ascii="Arial" w:cs="Arial" w:eastAsia="Arial" w:hAnsi="Arial"/>
          <w:sz w:val="19"/>
          <w:szCs w:val="19"/>
          <w:color w:val="auto"/>
        </w:rPr>
        <w:t>to the Plan, if any. In the event of a conflict between this Agreement and the Plan provisions, the Plan provisions will control. The term “you” and “your” refer to the Grantee named in this Agreement. Capitalized terms that are not defined herein shall have the meanings ascribed to such terms in the Plan. This Agreement shall be binding on the Company’s successors and assigns.</w:t>
      </w:r>
    </w:p>
    <w:p>
      <w:pPr>
        <w:spacing w:after="0" w:line="175"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In accepting the award of RSUs set forth in this Agreement you accept and agree to be bound by all the terms and conditions of the Plan and this Agreement.</w:t>
      </w:r>
    </w:p>
    <w:p>
      <w:pPr>
        <w:spacing w:after="0" w:line="396"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QUANEX BUILDING PRODUCTS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636905</wp:posOffset>
            </wp:positionV>
            <wp:extent cx="8229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[Name]</w:t>
      </w:r>
    </w:p>
    <w:p>
      <w:pPr>
        <w:spacing w:after="0" w:line="16"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8920"/>
        <w:spacing w:after="0"/>
        <w:rPr>
          <w:sz w:val="20"/>
          <w:szCs w:val="20"/>
          <w:color w:val="auto"/>
        </w:rPr>
      </w:pPr>
      <w:r>
        <w:rPr>
          <w:rFonts w:ascii="Arial" w:cs="Arial" w:eastAsia="Arial" w:hAnsi="Arial"/>
          <w:sz w:val="16"/>
          <w:szCs w:val="16"/>
          <w:color w:val="auto"/>
        </w:rPr>
        <w:t>Non-Employee Director</w:t>
      </w:r>
    </w:p>
    <w:p>
      <w:pPr>
        <w:spacing w:after="0" w:line="244"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Cash Settled</w:t>
      </w:r>
    </w:p>
    <w:p>
      <w:pPr>
        <w:sectPr>
          <w:pgSz w:w="11900" w:h="16838" w:orient="portrait"/>
          <w:cols w:equalWidth="0" w:num="1">
            <w:col w:w="11240"/>
          </w:cols>
          <w:pgMar w:left="320" w:top="122" w:right="3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31.1</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 CERTIFICATION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I, George L. Wilson, certify that:</w:t>
      </w:r>
    </w:p>
    <w:p>
      <w:pPr>
        <w:spacing w:after="0" w:line="144" w:lineRule="exact"/>
        <w:rPr>
          <w:sz w:val="20"/>
          <w:szCs w:val="20"/>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Quanex Building Products Corporation (the “Registrant”);</w:t>
      </w:r>
    </w:p>
    <w:p>
      <w:pPr>
        <w:spacing w:after="0" w:line="144"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2"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5"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2" w:lineRule="exact"/>
        <w:rPr>
          <w:rFonts w:ascii="Arial" w:cs="Arial" w:eastAsia="Arial" w:hAnsi="Arial"/>
          <w:sz w:val="18"/>
          <w:szCs w:val="18"/>
          <w:color w:val="auto"/>
        </w:rPr>
      </w:pPr>
    </w:p>
    <w:p>
      <w:pPr>
        <w:jc w:val="both"/>
        <w:ind w:left="1620" w:hanging="316"/>
        <w:spacing w:after="0" w:line="286" w:lineRule="auto"/>
        <w:tabs>
          <w:tab w:leader="none" w:pos="1620" w:val="left"/>
        </w:tabs>
        <w:numPr>
          <w:ilvl w:val="1"/>
          <w:numId w:val="4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4" w:lineRule="exact"/>
        <w:rPr>
          <w:rFonts w:ascii="Arial" w:cs="Arial" w:eastAsia="Arial" w:hAnsi="Arial"/>
          <w:sz w:val="17"/>
          <w:szCs w:val="17"/>
          <w:color w:val="auto"/>
        </w:rPr>
      </w:pPr>
    </w:p>
    <w:p>
      <w:pPr>
        <w:jc w:val="both"/>
        <w:ind w:left="1620" w:hanging="316"/>
        <w:spacing w:after="0" w:line="263" w:lineRule="auto"/>
        <w:tabs>
          <w:tab w:leader="none" w:pos="16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2" w:lineRule="exact"/>
        <w:rPr>
          <w:rFonts w:ascii="Arial" w:cs="Arial" w:eastAsia="Arial" w:hAnsi="Arial"/>
          <w:sz w:val="18"/>
          <w:szCs w:val="18"/>
          <w:color w:val="auto"/>
        </w:rPr>
      </w:pPr>
    </w:p>
    <w:p>
      <w:pPr>
        <w:jc w:val="both"/>
        <w:ind w:left="1620" w:hanging="316"/>
        <w:spacing w:after="0" w:line="263" w:lineRule="auto"/>
        <w:tabs>
          <w:tab w:leader="none" w:pos="16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2" w:lineRule="exact"/>
        <w:rPr>
          <w:rFonts w:ascii="Arial" w:cs="Arial" w:eastAsia="Arial" w:hAnsi="Arial"/>
          <w:sz w:val="18"/>
          <w:szCs w:val="18"/>
          <w:color w:val="auto"/>
        </w:rPr>
      </w:pPr>
    </w:p>
    <w:p>
      <w:pPr>
        <w:jc w:val="both"/>
        <w:ind w:left="1620" w:hanging="316"/>
        <w:spacing w:after="0" w:line="286" w:lineRule="auto"/>
        <w:tabs>
          <w:tab w:leader="none" w:pos="1620" w:val="left"/>
        </w:tabs>
        <w:numPr>
          <w:ilvl w:val="1"/>
          <w:numId w:val="4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4" w:lineRule="exact"/>
        <w:rPr>
          <w:rFonts w:ascii="Arial" w:cs="Arial" w:eastAsia="Arial" w:hAnsi="Arial"/>
          <w:sz w:val="17"/>
          <w:szCs w:val="17"/>
          <w:color w:val="auto"/>
        </w:rPr>
      </w:pPr>
    </w:p>
    <w:p>
      <w:pPr>
        <w:ind w:left="980" w:hanging="324"/>
        <w:spacing w:after="0" w:line="342" w:lineRule="auto"/>
        <w:tabs>
          <w:tab w:leader="none" w:pos="9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2" w:lineRule="exact"/>
        <w:rPr>
          <w:rFonts w:ascii="Arial" w:cs="Arial" w:eastAsia="Arial" w:hAnsi="Arial"/>
          <w:sz w:val="16"/>
          <w:szCs w:val="16"/>
          <w:color w:val="auto"/>
        </w:rPr>
      </w:pPr>
    </w:p>
    <w:p>
      <w:pPr>
        <w:ind w:left="1620" w:hanging="316"/>
        <w:spacing w:after="0" w:line="342" w:lineRule="auto"/>
        <w:tabs>
          <w:tab w:leader="none" w:pos="1620" w:val="left"/>
        </w:tabs>
        <w:numPr>
          <w:ilvl w:val="1"/>
          <w:numId w:val="4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2" w:lineRule="exact"/>
        <w:rPr>
          <w:rFonts w:ascii="Arial" w:cs="Arial" w:eastAsia="Arial" w:hAnsi="Arial"/>
          <w:sz w:val="16"/>
          <w:szCs w:val="16"/>
          <w:color w:val="auto"/>
        </w:rPr>
      </w:pPr>
    </w:p>
    <w:p>
      <w:pPr>
        <w:ind w:left="1620" w:hanging="316"/>
        <w:spacing w:after="0" w:line="277" w:lineRule="auto"/>
        <w:tabs>
          <w:tab w:leader="none" w:pos="16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June 5, 2020</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George L.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450024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450024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George L. Wilson</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553" w:right="3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31.2</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 CERTIFICATION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I, Scott M. Zuehlke, certify that:</w:t>
      </w:r>
    </w:p>
    <w:p>
      <w:pPr>
        <w:spacing w:after="0" w:line="144" w:lineRule="exact"/>
        <w:rPr>
          <w:sz w:val="20"/>
          <w:szCs w:val="20"/>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Quanex Building Products Corporation (the “Registrant”);</w:t>
      </w:r>
    </w:p>
    <w:p>
      <w:pPr>
        <w:spacing w:after="0" w:line="144"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2"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5"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2" w:lineRule="exact"/>
        <w:rPr>
          <w:rFonts w:ascii="Arial" w:cs="Arial" w:eastAsia="Arial" w:hAnsi="Arial"/>
          <w:sz w:val="18"/>
          <w:szCs w:val="18"/>
          <w:color w:val="auto"/>
        </w:rPr>
      </w:pPr>
    </w:p>
    <w:p>
      <w:pPr>
        <w:jc w:val="both"/>
        <w:ind w:left="1620" w:hanging="316"/>
        <w:spacing w:after="0" w:line="286" w:lineRule="auto"/>
        <w:tabs>
          <w:tab w:leader="none" w:pos="1620" w:val="left"/>
        </w:tabs>
        <w:numPr>
          <w:ilvl w:val="1"/>
          <w:numId w:val="4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4" w:lineRule="exact"/>
        <w:rPr>
          <w:rFonts w:ascii="Arial" w:cs="Arial" w:eastAsia="Arial" w:hAnsi="Arial"/>
          <w:sz w:val="17"/>
          <w:szCs w:val="17"/>
          <w:color w:val="auto"/>
        </w:rPr>
      </w:pPr>
    </w:p>
    <w:p>
      <w:pPr>
        <w:jc w:val="both"/>
        <w:ind w:left="1620" w:hanging="316"/>
        <w:spacing w:after="0" w:line="263" w:lineRule="auto"/>
        <w:tabs>
          <w:tab w:leader="none" w:pos="162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2" w:lineRule="exact"/>
        <w:rPr>
          <w:rFonts w:ascii="Arial" w:cs="Arial" w:eastAsia="Arial" w:hAnsi="Arial"/>
          <w:sz w:val="18"/>
          <w:szCs w:val="18"/>
          <w:color w:val="auto"/>
        </w:rPr>
      </w:pPr>
    </w:p>
    <w:p>
      <w:pPr>
        <w:jc w:val="both"/>
        <w:ind w:left="1620" w:hanging="316"/>
        <w:spacing w:after="0" w:line="263" w:lineRule="auto"/>
        <w:tabs>
          <w:tab w:leader="none" w:pos="1620" w:val="left"/>
        </w:tabs>
        <w:numPr>
          <w:ilvl w:val="1"/>
          <w:numId w:val="4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2" w:lineRule="exact"/>
        <w:rPr>
          <w:rFonts w:ascii="Arial" w:cs="Arial" w:eastAsia="Arial" w:hAnsi="Arial"/>
          <w:sz w:val="18"/>
          <w:szCs w:val="18"/>
          <w:color w:val="auto"/>
        </w:rPr>
      </w:pPr>
    </w:p>
    <w:p>
      <w:pPr>
        <w:jc w:val="both"/>
        <w:ind w:left="1620" w:hanging="316"/>
        <w:spacing w:after="0" w:line="286" w:lineRule="auto"/>
        <w:tabs>
          <w:tab w:leader="none" w:pos="1620" w:val="left"/>
        </w:tabs>
        <w:numPr>
          <w:ilvl w:val="1"/>
          <w:numId w:val="4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4" w:lineRule="exact"/>
        <w:rPr>
          <w:rFonts w:ascii="Arial" w:cs="Arial" w:eastAsia="Arial" w:hAnsi="Arial"/>
          <w:sz w:val="17"/>
          <w:szCs w:val="17"/>
          <w:color w:val="auto"/>
        </w:rPr>
      </w:pPr>
    </w:p>
    <w:p>
      <w:pPr>
        <w:ind w:left="980" w:hanging="324"/>
        <w:spacing w:after="0" w:line="342" w:lineRule="auto"/>
        <w:tabs>
          <w:tab w:leader="none" w:pos="9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2" w:lineRule="exact"/>
        <w:rPr>
          <w:rFonts w:ascii="Arial" w:cs="Arial" w:eastAsia="Arial" w:hAnsi="Arial"/>
          <w:sz w:val="16"/>
          <w:szCs w:val="16"/>
          <w:color w:val="auto"/>
        </w:rPr>
      </w:pPr>
    </w:p>
    <w:p>
      <w:pPr>
        <w:ind w:left="1620" w:hanging="316"/>
        <w:spacing w:after="0" w:line="342" w:lineRule="auto"/>
        <w:tabs>
          <w:tab w:leader="none" w:pos="1620" w:val="left"/>
        </w:tabs>
        <w:numPr>
          <w:ilvl w:val="1"/>
          <w:numId w:val="4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2" w:lineRule="exact"/>
        <w:rPr>
          <w:rFonts w:ascii="Arial" w:cs="Arial" w:eastAsia="Arial" w:hAnsi="Arial"/>
          <w:sz w:val="16"/>
          <w:szCs w:val="16"/>
          <w:color w:val="auto"/>
        </w:rPr>
      </w:pPr>
    </w:p>
    <w:p>
      <w:pPr>
        <w:ind w:left="1620" w:hanging="316"/>
        <w:spacing w:after="0" w:line="277" w:lineRule="auto"/>
        <w:tabs>
          <w:tab w:leader="none" w:pos="162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June 5, 2020</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Scott M. Zuehlke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450024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450024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Scott M. Zuehlke</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Senior Vice President - Chief Financial Officer and Treasurer</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553" w:right="3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32.1</w:t>
      </w:r>
    </w:p>
    <w:p>
      <w:pPr>
        <w:spacing w:after="0" w:line="144"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Certification Pursuant To Section 906 of the Sarbanes-Oxley Act of 2002</w:t>
      </w:r>
    </w:p>
    <w:p>
      <w:pPr>
        <w:spacing w:after="0" w:line="148"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We hereby certify that the accompanying Quarterly Report on Form 10-Q of Quanex Building Products Corporation for the quarter ended April 30, 2020 fully complies with the requirements of Section 13(a) or 15(d) of the Securities Exchange Act of 1934 and that information contained in such Report fairly presents, in all material respects, the financial condition and results of operations of Quanex Building Products Corporation.</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June 5, 2020</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60" w:type="dxa"/>
            <w:vAlign w:val="bottom"/>
            <w:gridSpan w:val="2"/>
          </w:tcPr>
          <w:p>
            <w:pPr>
              <w:jc w:val="center"/>
              <w:ind w:right="440"/>
              <w:spacing w:after="0"/>
              <w:rPr>
                <w:sz w:val="20"/>
                <w:szCs w:val="20"/>
                <w:color w:val="auto"/>
              </w:rPr>
            </w:pPr>
            <w:r>
              <w:rPr>
                <w:rFonts w:ascii="Arial" w:cs="Arial" w:eastAsia="Arial" w:hAnsi="Arial"/>
                <w:sz w:val="18"/>
                <w:szCs w:val="18"/>
                <w:color w:val="auto"/>
                <w:w w:val="91"/>
              </w:rPr>
              <w:t>/s/ George L. Wilson</w:t>
            </w:r>
          </w:p>
        </w:tc>
        <w:tc>
          <w:tcPr>
            <w:tcW w:w="5380" w:type="dxa"/>
            <w:vAlign w:val="bottom"/>
          </w:tcPr>
          <w:p>
            <w:pPr>
              <w:jc w:val="center"/>
              <w:spacing w:after="0"/>
              <w:rPr>
                <w:sz w:val="20"/>
                <w:szCs w:val="20"/>
                <w:color w:val="auto"/>
              </w:rPr>
            </w:pPr>
            <w:r>
              <w:rPr>
                <w:rFonts w:ascii="Arial" w:cs="Arial" w:eastAsia="Arial" w:hAnsi="Arial"/>
                <w:sz w:val="18"/>
                <w:szCs w:val="18"/>
                <w:color w:val="auto"/>
                <w:w w:val="91"/>
              </w:rPr>
              <w:t>/s/ Scott M. Zuehlke</w:t>
            </w:r>
          </w:p>
        </w:tc>
      </w:tr>
      <w:tr>
        <w:trPr>
          <w:trHeight w:val="27"/>
        </w:trPr>
        <w:tc>
          <w:tcPr>
            <w:tcW w:w="540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5380" w:type="dxa"/>
            <w:vAlign w:val="bottom"/>
            <w:tcBorders>
              <w:bottom w:val="single" w:sz="8" w:color="auto"/>
            </w:tcBorders>
          </w:tcPr>
          <w:p>
            <w:pPr>
              <w:spacing w:after="0"/>
              <w:rPr>
                <w:sz w:val="2"/>
                <w:szCs w:val="2"/>
                <w:color w:val="auto"/>
              </w:rPr>
            </w:pPr>
          </w:p>
        </w:tc>
      </w:tr>
      <w:tr>
        <w:trPr>
          <w:trHeight w:val="222"/>
        </w:trPr>
        <w:tc>
          <w:tcPr>
            <w:tcW w:w="5860" w:type="dxa"/>
            <w:vAlign w:val="bottom"/>
            <w:gridSpan w:val="2"/>
          </w:tcPr>
          <w:p>
            <w:pPr>
              <w:jc w:val="center"/>
              <w:ind w:right="460"/>
              <w:spacing w:after="0"/>
              <w:rPr>
                <w:sz w:val="20"/>
                <w:szCs w:val="20"/>
                <w:color w:val="auto"/>
              </w:rPr>
            </w:pPr>
            <w:r>
              <w:rPr>
                <w:rFonts w:ascii="Arial" w:cs="Arial" w:eastAsia="Arial" w:hAnsi="Arial"/>
                <w:sz w:val="18"/>
                <w:szCs w:val="18"/>
                <w:color w:val="auto"/>
                <w:w w:val="92"/>
              </w:rPr>
              <w:t>George L. Wilson</w:t>
            </w:r>
          </w:p>
        </w:tc>
        <w:tc>
          <w:tcPr>
            <w:tcW w:w="5380" w:type="dxa"/>
            <w:vAlign w:val="bottom"/>
          </w:tcPr>
          <w:p>
            <w:pPr>
              <w:jc w:val="center"/>
              <w:spacing w:after="0"/>
              <w:rPr>
                <w:sz w:val="20"/>
                <w:szCs w:val="20"/>
                <w:color w:val="auto"/>
              </w:rPr>
            </w:pPr>
            <w:r>
              <w:rPr>
                <w:rFonts w:ascii="Arial" w:cs="Arial" w:eastAsia="Arial" w:hAnsi="Arial"/>
                <w:sz w:val="18"/>
                <w:szCs w:val="18"/>
                <w:color w:val="auto"/>
                <w:w w:val="93"/>
              </w:rPr>
              <w:t>Scott M. Zuehlke</w:t>
            </w:r>
          </w:p>
        </w:tc>
      </w:tr>
      <w:tr>
        <w:trPr>
          <w:trHeight w:val="216"/>
        </w:trPr>
        <w:tc>
          <w:tcPr>
            <w:tcW w:w="5860" w:type="dxa"/>
            <w:vAlign w:val="bottom"/>
            <w:gridSpan w:val="2"/>
          </w:tcPr>
          <w:p>
            <w:pPr>
              <w:jc w:val="center"/>
              <w:ind w:right="440"/>
              <w:spacing w:after="0"/>
              <w:rPr>
                <w:sz w:val="20"/>
                <w:szCs w:val="20"/>
                <w:color w:val="auto"/>
              </w:rPr>
            </w:pPr>
            <w:r>
              <w:rPr>
                <w:rFonts w:ascii="Arial" w:cs="Arial" w:eastAsia="Arial" w:hAnsi="Arial"/>
                <w:sz w:val="18"/>
                <w:szCs w:val="18"/>
                <w:i w:val="1"/>
                <w:iCs w:val="1"/>
                <w:color w:val="auto"/>
                <w:w w:val="91"/>
              </w:rPr>
              <w:t>President and Chief Executive Officer</w:t>
            </w:r>
          </w:p>
        </w:tc>
        <w:tc>
          <w:tcPr>
            <w:tcW w:w="5380" w:type="dxa"/>
            <w:vAlign w:val="bottom"/>
          </w:tcPr>
          <w:p>
            <w:pPr>
              <w:jc w:val="center"/>
              <w:spacing w:after="0"/>
              <w:rPr>
                <w:sz w:val="20"/>
                <w:szCs w:val="20"/>
                <w:color w:val="auto"/>
              </w:rPr>
            </w:pPr>
            <w:r>
              <w:rPr>
                <w:rFonts w:ascii="Arial" w:cs="Arial" w:eastAsia="Arial" w:hAnsi="Arial"/>
                <w:sz w:val="18"/>
                <w:szCs w:val="18"/>
                <w:i w:val="1"/>
                <w:iCs w:val="1"/>
                <w:color w:val="auto"/>
                <w:w w:val="91"/>
              </w:rPr>
              <w:t>Senior Vice President—Chief Financial Officer and Treasurer</w:t>
            </w:r>
          </w:p>
        </w:tc>
      </w:tr>
      <w:tr>
        <w:trPr>
          <w:trHeight w:val="230"/>
        </w:trPr>
        <w:tc>
          <w:tcPr>
            <w:tcW w:w="5860" w:type="dxa"/>
            <w:vAlign w:val="bottom"/>
            <w:gridSpan w:val="2"/>
          </w:tcPr>
          <w:p>
            <w:pPr>
              <w:jc w:val="center"/>
              <w:ind w:right="440"/>
              <w:spacing w:after="0"/>
              <w:rPr>
                <w:sz w:val="20"/>
                <w:szCs w:val="20"/>
                <w:color w:val="auto"/>
              </w:rPr>
            </w:pPr>
            <w:r>
              <w:rPr>
                <w:rFonts w:ascii="Arial" w:cs="Arial" w:eastAsia="Arial" w:hAnsi="Arial"/>
                <w:sz w:val="18"/>
                <w:szCs w:val="18"/>
                <w:i w:val="1"/>
                <w:iCs w:val="1"/>
                <w:color w:val="auto"/>
                <w:w w:val="94"/>
              </w:rPr>
              <w:t>(Principal Executive Officer)</w:t>
            </w:r>
          </w:p>
        </w:tc>
        <w:tc>
          <w:tcPr>
            <w:tcW w:w="5380" w:type="dxa"/>
            <w:vAlign w:val="bottom"/>
          </w:tcPr>
          <w:p>
            <w:pPr>
              <w:jc w:val="center"/>
              <w:spacing w:after="0"/>
              <w:rPr>
                <w:sz w:val="20"/>
                <w:szCs w:val="20"/>
                <w:color w:val="auto"/>
              </w:rPr>
            </w:pPr>
            <w:r>
              <w:rPr>
                <w:rFonts w:ascii="Arial" w:cs="Arial" w:eastAsia="Arial" w:hAnsi="Arial"/>
                <w:sz w:val="18"/>
                <w:szCs w:val="18"/>
                <w:i w:val="1"/>
                <w:iCs w:val="1"/>
                <w:color w:val="auto"/>
                <w:w w:val="97"/>
              </w:rPr>
              <w:t>(Principal Financial Officer)</w:t>
            </w:r>
          </w:p>
        </w:tc>
      </w:tr>
    </w:tbl>
    <w:p>
      <w:pPr>
        <w:spacing w:after="0" w:line="1" w:lineRule="exact"/>
        <w:rPr>
          <w:sz w:val="20"/>
          <w:szCs w:val="20"/>
          <w:color w:val="auto"/>
        </w:rPr>
      </w:pPr>
    </w:p>
    <w:sectPr>
      <w:pgSz w:w="11900" w:h="16838" w:orient="portrait"/>
      <w:cols w:equalWidth="0" w:num="1">
        <w:col w:w="11240"/>
      </w:cols>
      <w:pgMar w:left="320" w:top="55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
      <w:numFmt w:val="bullet"/>
      <w:start w:val="1"/>
    </w:lvl>
  </w:abstractNum>
  <w:abstractNum w:abstractNumId="3">
    <w:nsid w:val="8EDBDAB"/>
    <w:multiLevelType w:val="hybridMultilevel"/>
    <w:lvl w:ilvl="0">
      <w:lvlJc w:val="left"/>
      <w:lvlText w:val="(%1)"/>
      <w:numFmt w:val="decimal"/>
      <w:start w:val="1"/>
    </w:lvl>
  </w:abstractNum>
  <w:abstractNum w:abstractNumId="4">
    <w:nsid w:val="79838CB2"/>
    <w:multiLevelType w:val="hybridMultilevel"/>
    <w:lvl w:ilvl="0">
      <w:lvlJc w:val="left"/>
      <w:lvlText w:val="•"/>
      <w:numFmt w:val="bullet"/>
      <w:start w:val="1"/>
    </w:lvl>
  </w:abstractNum>
  <w:abstractNum w:abstractNumId="5">
    <w:nsid w:val="4353D0CD"/>
    <w:multiLevelType w:val="hybridMultilevel"/>
    <w:lvl w:ilvl="0">
      <w:lvlJc w:val="left"/>
      <w:lvlText w:val="•"/>
      <w:numFmt w:val="bullet"/>
      <w:start w:val="1"/>
    </w:lvl>
  </w:abstractNum>
  <w:abstractNum w:abstractNumId="6">
    <w:nsid w:val="B03E0C6"/>
    <w:multiLevelType w:val="hybridMultilevel"/>
    <w:lvl w:ilvl="0">
      <w:lvlJc w:val="left"/>
      <w:lvlText w:val="•"/>
      <w:numFmt w:val="bullet"/>
      <w:start w:val="1"/>
    </w:lvl>
  </w:abstractNum>
  <w:abstractNum w:abstractNumId="7">
    <w:nsid w:val="189A769B"/>
    <w:multiLevelType w:val="hybridMultilevel"/>
    <w:lvl w:ilvl="0">
      <w:lvlJc w:val="left"/>
      <w:lvlText w:val="•"/>
      <w:numFmt w:val="bullet"/>
      <w:start w:val="1"/>
    </w:lvl>
  </w:abstractNum>
  <w:abstractNum w:abstractNumId="8">
    <w:nsid w:val="54E49EB4"/>
    <w:multiLevelType w:val="hybridMultilevel"/>
    <w:lvl w:ilvl="0">
      <w:lvlJc w:val="left"/>
      <w:lvlText w:val="(%1)"/>
      <w:numFmt w:val="lowerLetter"/>
      <w:start w:val="3"/>
    </w:lvl>
  </w:abstractNum>
  <w:abstractNum w:abstractNumId="9">
    <w:nsid w:val="71F32454"/>
    <w:multiLevelType w:val="hybridMultilevel"/>
    <w:lvl w:ilvl="0">
      <w:lvlJc w:val="left"/>
      <w:lvlText w:val="(%1)"/>
      <w:numFmt w:val="decimal"/>
      <w:start w:val="1"/>
    </w:lvl>
  </w:abstractNum>
  <w:abstractNum w:abstractNumId="10">
    <w:nsid w:val="2CA88611"/>
    <w:multiLevelType w:val="hybridMultilevel"/>
    <w:lvl w:ilvl="0">
      <w:lvlJc w:val="left"/>
      <w:lvlText w:val="•"/>
      <w:numFmt w:val="bullet"/>
      <w:start w:val="1"/>
    </w:lvl>
  </w:abstractNum>
  <w:abstractNum w:abstractNumId="11">
    <w:nsid w:val="836C40E"/>
    <w:multiLevelType w:val="hybridMultilevel"/>
    <w:lvl w:ilvl="0">
      <w:lvlJc w:val="left"/>
      <w:lvlText w:val="%1."/>
      <w:numFmt w:val="decimal"/>
      <w:start w:val="1"/>
    </w:lvl>
  </w:abstractNum>
  <w:abstractNum w:abstractNumId="12">
    <w:nsid w:val="2901D82"/>
    <w:multiLevelType w:val="hybridMultilevel"/>
    <w:lvl w:ilvl="0">
      <w:lvlJc w:val="left"/>
      <w:lvlText w:val="%1."/>
      <w:numFmt w:val="decimal"/>
      <w:start w:val="2"/>
    </w:lvl>
  </w:abstractNum>
  <w:abstractNum w:abstractNumId="13">
    <w:nsid w:val="3A95F874"/>
    <w:multiLevelType w:val="hybridMultilevel"/>
    <w:lvl w:ilvl="0">
      <w:lvlJc w:val="left"/>
      <w:lvlText w:val="%1."/>
      <w:numFmt w:val="decimal"/>
      <w:start w:val="3"/>
    </w:lvl>
  </w:abstractNum>
  <w:abstractNum w:abstractNumId="14">
    <w:nsid w:val="8138641"/>
    <w:multiLevelType w:val="hybridMultilevel"/>
    <w:lvl w:ilvl="0">
      <w:lvlJc w:val="left"/>
      <w:lvlText w:val="(%1)"/>
      <w:numFmt w:val="decimal"/>
      <w:start w:val="2"/>
    </w:lvl>
  </w:abstractNum>
  <w:abstractNum w:abstractNumId="15">
    <w:nsid w:val="1E7FF521"/>
    <w:multiLevelType w:val="hybridMultilevel"/>
    <w:lvl w:ilvl="0">
      <w:lvlJc w:val="left"/>
      <w:lvlText w:val="(%1)"/>
      <w:numFmt w:val="decimal"/>
      <w:start w:val="2"/>
    </w:lvl>
  </w:abstractNum>
  <w:abstractNum w:abstractNumId="16">
    <w:nsid w:val="7C3DBD3D"/>
    <w:multiLevelType w:val="hybridMultilevel"/>
    <w:lvl w:ilvl="0">
      <w:lvlJc w:val="left"/>
      <w:lvlText w:val="%1."/>
      <w:numFmt w:val="decimal"/>
      <w:start w:val="5"/>
    </w:lvl>
  </w:abstractNum>
  <w:abstractNum w:abstractNumId="17">
    <w:nsid w:val="737B8DDC"/>
    <w:multiLevelType w:val="hybridMultilevel"/>
    <w:lvl w:ilvl="0">
      <w:lvlJc w:val="left"/>
      <w:lvlText w:val="%1."/>
      <w:numFmt w:val="decimal"/>
      <w:start w:val="14"/>
    </w:lvl>
  </w:abstractNum>
  <w:abstractNum w:abstractNumId="18">
    <w:nsid w:val="6CEAF087"/>
    <w:multiLevelType w:val="hybridMultilevel"/>
    <w:lvl w:ilvl="0">
      <w:lvlJc w:val="left"/>
      <w:lvlText w:val="%1."/>
      <w:numFmt w:val="decimal"/>
      <w:start w:val="1"/>
    </w:lvl>
  </w:abstractNum>
  <w:abstractNum w:abstractNumId="19">
    <w:nsid w:val="22221A70"/>
    <w:multiLevelType w:val="hybridMultilevel"/>
    <w:lvl w:ilvl="0">
      <w:lvlJc w:val="left"/>
      <w:lvlText w:val="%1."/>
      <w:numFmt w:val="decimal"/>
      <w:start w:val="3"/>
    </w:lvl>
  </w:abstractNum>
  <w:abstractNum w:abstractNumId="20">
    <w:nsid w:val="4516DDE9"/>
    <w:multiLevelType w:val="hybridMultilevel"/>
    <w:lvl w:ilvl="0">
      <w:lvlJc w:val="left"/>
      <w:lvlText w:val="%1."/>
      <w:numFmt w:val="decimal"/>
      <w:start w:val="8"/>
    </w:lvl>
  </w:abstractNum>
  <w:abstractNum w:abstractNumId="21">
    <w:nsid w:val="3006C83E"/>
    <w:multiLevelType w:val="hybridMultilevel"/>
    <w:lvl w:ilvl="0">
      <w:lvlJc w:val="left"/>
      <w:lvlText w:val="%1."/>
      <w:numFmt w:val="decimal"/>
      <w:start w:val="1"/>
    </w:lvl>
  </w:abstractNum>
  <w:abstractNum w:abstractNumId="22">
    <w:nsid w:val="614FD4A1"/>
    <w:multiLevelType w:val="hybridMultilevel"/>
    <w:lvl w:ilvl="0">
      <w:lvlJc w:val="left"/>
      <w:lvlText w:val="%1."/>
      <w:numFmt w:val="decimal"/>
      <w:start w:val="3"/>
    </w:lvl>
  </w:abstractNum>
  <w:abstractNum w:abstractNumId="23">
    <w:nsid w:val="419AC241"/>
    <w:multiLevelType w:val="hybridMultilevel"/>
    <w:lvl w:ilvl="0">
      <w:lvlJc w:val="left"/>
      <w:lvlText w:val="%1."/>
      <w:numFmt w:val="decimal"/>
      <w:start w:val="8"/>
    </w:lvl>
  </w:abstractNum>
  <w:abstractNum w:abstractNumId="24">
    <w:nsid w:val="5577F8E1"/>
    <w:multiLevelType w:val="hybridMultilevel"/>
    <w:lvl w:ilvl="0">
      <w:lvlJc w:val="left"/>
      <w:lvlText w:val="%1."/>
      <w:numFmt w:val="decimal"/>
      <w:start w:val="1"/>
    </w:lvl>
  </w:abstractNum>
  <w:abstractNum w:abstractNumId="25">
    <w:nsid w:val="440BADFC"/>
    <w:multiLevelType w:val="hybridMultilevel"/>
    <w:lvl w:ilvl="0">
      <w:lvlJc w:val="left"/>
      <w:lvlText w:val="%1."/>
      <w:numFmt w:val="decimal"/>
      <w:start w:val="2"/>
    </w:lvl>
  </w:abstractNum>
  <w:abstractNum w:abstractNumId="26">
    <w:nsid w:val="5072367"/>
    <w:multiLevelType w:val="hybridMultilevel"/>
    <w:lvl w:ilvl="0">
      <w:lvlJc w:val="left"/>
      <w:lvlText w:val="%1."/>
      <w:numFmt w:val="decimal"/>
      <w:start w:val="4"/>
    </w:lvl>
    <w:lvl w:ilvl="1">
      <w:lvlJc w:val="left"/>
      <w:lvlText w:val="•"/>
      <w:numFmt w:val="bullet"/>
      <w:start w:val="1"/>
    </w:lvl>
  </w:abstractNum>
  <w:abstractNum w:abstractNumId="27">
    <w:nsid w:val="3804823E"/>
    <w:multiLevelType w:val="hybridMultilevel"/>
    <w:lvl w:ilvl="0">
      <w:lvlJc w:val="left"/>
      <w:lvlText w:val="%1."/>
      <w:numFmt w:val="decimal"/>
      <w:start w:val="5"/>
    </w:lvl>
  </w:abstractNum>
  <w:abstractNum w:abstractNumId="28">
    <w:nsid w:val="77465F01"/>
    <w:multiLevelType w:val="hybridMultilevel"/>
    <w:lvl w:ilvl="0">
      <w:lvlJc w:val="left"/>
      <w:lvlText w:val="(%1)"/>
      <w:numFmt w:val="decimal"/>
      <w:start w:val="24"/>
    </w:lvl>
  </w:abstractNum>
  <w:abstractNum w:abstractNumId="29">
    <w:nsid w:val="7724C67E"/>
    <w:multiLevelType w:val="hybridMultilevel"/>
    <w:lvl w:ilvl="0">
      <w:lvlJc w:val="left"/>
      <w:lvlText w:val="%1."/>
      <w:numFmt w:val="decimal"/>
      <w:start w:val="6"/>
    </w:lvl>
  </w:abstractNum>
  <w:abstractNum w:abstractNumId="30">
    <w:nsid w:val="5C482A97"/>
    <w:multiLevelType w:val="hybridMultilevel"/>
    <w:lvl w:ilvl="0">
      <w:lvlJc w:val="left"/>
      <w:lvlText w:val="%1."/>
      <w:numFmt w:val="decimal"/>
      <w:start w:val="11"/>
    </w:lvl>
    <w:lvl w:ilvl="1">
      <w:lvlJc w:val="left"/>
      <w:lvlText w:val="(%2)"/>
      <w:numFmt w:val="lowerLetter"/>
      <w:start w:val="2"/>
    </w:lvl>
  </w:abstractNum>
  <w:abstractNum w:abstractNumId="31">
    <w:nsid w:val="2463B9EA"/>
    <w:multiLevelType w:val="hybridMultilevel"/>
    <w:lvl w:ilvl="0">
      <w:lvlJc w:val="left"/>
      <w:lvlText w:val="%1."/>
      <w:numFmt w:val="decimal"/>
      <w:start w:val="19"/>
    </w:lvl>
  </w:abstractNum>
  <w:abstractNum w:abstractNumId="32">
    <w:nsid w:val="5E884ADC"/>
    <w:multiLevelType w:val="hybridMultilevel"/>
    <w:lvl w:ilvl="0">
      <w:lvlJc w:val="left"/>
      <w:lvlText w:val="%1."/>
      <w:numFmt w:val="decimal"/>
      <w:start w:val="1"/>
    </w:lvl>
  </w:abstractNum>
  <w:abstractNum w:abstractNumId="33">
    <w:nsid w:val="51EAD36B"/>
    <w:multiLevelType w:val="hybridMultilevel"/>
    <w:lvl w:ilvl="0">
      <w:lvlJc w:val="left"/>
      <w:lvlText w:val="%1."/>
      <w:numFmt w:val="decimal"/>
      <w:start w:val="3"/>
    </w:lvl>
    <w:lvl w:ilvl="1">
      <w:lvlJc w:val="left"/>
      <w:lvlText w:val="•"/>
      <w:numFmt w:val="bullet"/>
      <w:start w:val="1"/>
    </w:lvl>
  </w:abstractNum>
  <w:abstractNum w:abstractNumId="34">
    <w:nsid w:val="2D517796"/>
    <w:multiLevelType w:val="hybridMultilevel"/>
    <w:lvl w:ilvl="0">
      <w:lvlJc w:val="left"/>
      <w:lvlText w:val="%1."/>
      <w:numFmt w:val="decimal"/>
      <w:start w:val="5"/>
    </w:lvl>
  </w:abstractNum>
  <w:abstractNum w:abstractNumId="35">
    <w:nsid w:val="580BD78F"/>
    <w:multiLevelType w:val="hybridMultilevel"/>
    <w:lvl w:ilvl="0">
      <w:lvlJc w:val="left"/>
      <w:lvlText w:val="(%1)"/>
      <w:numFmt w:val="decimal"/>
      <w:start w:val="24"/>
    </w:lvl>
  </w:abstractNum>
  <w:abstractNum w:abstractNumId="36">
    <w:nsid w:val="153EA438"/>
    <w:multiLevelType w:val="hybridMultilevel"/>
    <w:lvl w:ilvl="0">
      <w:lvlJc w:val="left"/>
      <w:lvlText w:val="%1."/>
      <w:numFmt w:val="decimal"/>
      <w:start w:val="6"/>
    </w:lvl>
  </w:abstractNum>
  <w:abstractNum w:abstractNumId="37">
    <w:nsid w:val="3855585C"/>
    <w:multiLevelType w:val="hybridMultilevel"/>
    <w:lvl w:ilvl="0">
      <w:lvlJc w:val="left"/>
      <w:lvlText w:val="%1."/>
      <w:numFmt w:val="decimal"/>
      <w:start w:val="7"/>
    </w:lvl>
  </w:abstractNum>
  <w:abstractNum w:abstractNumId="38">
    <w:nsid w:val="70A64E2A"/>
    <w:multiLevelType w:val="hybridMultilevel"/>
    <w:lvl w:ilvl="0">
      <w:lvlJc w:val="left"/>
      <w:lvlText w:val="%1."/>
      <w:numFmt w:val="decimal"/>
      <w:start w:val="19"/>
    </w:lvl>
  </w:abstractNum>
  <w:abstractNum w:abstractNumId="39">
    <w:nsid w:val="6A2342EC"/>
    <w:multiLevelType w:val="hybridMultilevel"/>
    <w:lvl w:ilvl="0">
      <w:lvlJc w:val="left"/>
      <w:lvlText w:val="%1."/>
      <w:numFmt w:val="decimal"/>
      <w:start w:val="1"/>
    </w:lvl>
  </w:abstractNum>
  <w:abstractNum w:abstractNumId="40">
    <w:nsid w:val="2A487CB0"/>
    <w:multiLevelType w:val="hybridMultilevel"/>
    <w:lvl w:ilvl="0">
      <w:lvlJc w:val="left"/>
      <w:lvlText w:val="%1."/>
      <w:numFmt w:val="decimal"/>
      <w:start w:val="2"/>
    </w:lvl>
  </w:abstractNum>
  <w:abstractNum w:abstractNumId="41">
    <w:nsid w:val="1D4ED43B"/>
    <w:multiLevelType w:val="hybridMultilevel"/>
    <w:lvl w:ilvl="0">
      <w:lvlJc w:val="left"/>
      <w:lvlText w:val="%1."/>
      <w:numFmt w:val="decimal"/>
      <w:start w:val="6"/>
    </w:lvl>
  </w:abstractNum>
  <w:abstractNum w:abstractNumId="42">
    <w:nsid w:val="725A06FB"/>
    <w:multiLevelType w:val="hybridMultilevel"/>
    <w:lvl w:ilvl="0">
      <w:lvlJc w:val="left"/>
      <w:lvlText w:val="%1."/>
      <w:numFmt w:val="decimal"/>
      <w:start w:val="9"/>
    </w:lvl>
  </w:abstractNum>
  <w:abstractNum w:abstractNumId="43">
    <w:nsid w:val="2CD89A32"/>
    <w:multiLevelType w:val="hybridMultilevel"/>
    <w:lvl w:ilvl="0">
      <w:lvlJc w:val="left"/>
      <w:lvlText w:val="%1."/>
      <w:numFmt w:val="decimal"/>
      <w:start w:val="1"/>
    </w:lvl>
    <w:lvl w:ilvl="1">
      <w:lvlJc w:val="left"/>
      <w:lvlText w:val="%2."/>
      <w:numFmt w:val="lowerLetter"/>
      <w:start w:val="1"/>
    </w:lvl>
  </w:abstractNum>
  <w:abstractNum w:abstractNumId="44">
    <w:nsid w:val="57E4CCAF"/>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14" Type="http://schemas.openxmlformats.org/officeDocument/2006/relationships/hyperlink" Target="http://www.sec.gov/Archives/edgar/data/1423221/000119312516495257/d156158dex31.htm" TargetMode="External"/><Relationship Id="rId15" Type="http://schemas.openxmlformats.org/officeDocument/2006/relationships/hyperlink" Target="http://www.sec.gov/Archives/edgar/data/1423221/000142322120000005/nx01312020ex32.htm" TargetMode="External"/><Relationship Id="rId16" Type="http://schemas.openxmlformats.org/officeDocument/2006/relationships/hyperlink" Target="http://www.sec.gov/Archives/edgar/data/1423221/000095012908000988/h52992a1exv4w1.htm" TargetMode="External"/><Relationship Id="rId17" Type="http://schemas.openxmlformats.org/officeDocument/2006/relationships/hyperlink" Target="http://www.sec.gov/Archives/edgar/data/1423221/000119312518302063/d637291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2020-06-05T15:18:09Z</dcterms:created>
  <dcterms:modified xsi:type="dcterms:W3CDTF">2020-06-05T15:18:09Z</dcterms:modified>
</cp:coreProperties>
</file>