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215265</wp:posOffset>
            </wp:positionH>
            <wp:positionV relativeFrom="page">
              <wp:posOffset>441960</wp:posOffset>
            </wp:positionV>
            <wp:extent cx="7118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350" cy="8255"/>
                    </a:xfrm>
                    <a:prstGeom prst="rect">
                      <a:avLst/>
                    </a:prstGeom>
                    <a:noFill/>
                  </pic:spPr>
                </pic:pic>
              </a:graphicData>
            </a:graphic>
          </wp:anchor>
        </w:drawing>
        <w:drawing>
          <wp:anchor simplePos="0" relativeHeight="251657728" behindDoc="1" locked="0" layoutInCell="0" allowOverlap="1">
            <wp:simplePos x="0" y="0"/>
            <wp:positionH relativeFrom="page">
              <wp:posOffset>215265</wp:posOffset>
            </wp:positionH>
            <wp:positionV relativeFrom="page">
              <wp:posOffset>408305</wp:posOffset>
            </wp:positionV>
            <wp:extent cx="7118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0" cy="8255"/>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2025</w:t>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8"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29" w:lineRule="exact"/>
        <w:rPr>
          <w:sz w:val="24"/>
          <w:szCs w:val="24"/>
          <w:color w:val="auto"/>
        </w:rPr>
      </w:pPr>
    </w:p>
    <w:p>
      <w:pPr>
        <w:ind w:left="38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1-33913</w:t>
      </w:r>
    </w:p>
    <w:p>
      <w:pPr>
        <w:spacing w:after="0" w:line="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09" w:lineRule="exact"/>
        <w:rPr>
          <w:sz w:val="24"/>
          <w:szCs w:val="24"/>
          <w:color w:val="auto"/>
        </w:rPr>
      </w:pPr>
    </w:p>
    <w:tbl>
      <w:tblPr>
        <w:tblLayout w:type="fixed"/>
        <w:tblInd w:w="1880" w:type="dxa"/>
        <w:tblCellMar>
          <w:top w:w="0" w:type="dxa"/>
          <w:left w:w="0" w:type="dxa"/>
          <w:bottom w:w="0" w:type="dxa"/>
          <w:right w:w="0" w:type="dxa"/>
        </w:tblCellMar>
      </w:tblPr>
      <w:tr>
        <w:trPr>
          <w:trHeight w:val="203"/>
        </w:trPr>
        <w:tc>
          <w:tcPr>
            <w:tcW w:w="3920" w:type="dxa"/>
            <w:vAlign w:val="bottom"/>
          </w:tcPr>
          <w:p>
            <w:pPr>
              <w:jc w:val="center"/>
              <w:ind w:right="200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00" w:type="dxa"/>
            <w:vAlign w:val="bottom"/>
          </w:tcPr>
          <w:p>
            <w:pPr>
              <w:jc w:val="center"/>
              <w:ind w:left="2027"/>
              <w:spacing w:after="0"/>
              <w:rPr>
                <w:sz w:val="20"/>
                <w:szCs w:val="20"/>
                <w:color w:val="auto"/>
              </w:rPr>
            </w:pPr>
            <w:r>
              <w:rPr>
                <w:rFonts w:ascii="Times New Roman" w:cs="Times New Roman" w:eastAsia="Times New Roman" w:hAnsi="Times New Roman"/>
                <w:sz w:val="16"/>
                <w:szCs w:val="16"/>
                <w:b w:val="1"/>
                <w:bCs w:val="1"/>
                <w:color w:val="auto"/>
              </w:rPr>
              <w:t>26-1561397</w:t>
            </w:r>
          </w:p>
        </w:tc>
      </w:tr>
      <w:tr>
        <w:trPr>
          <w:trHeight w:val="146"/>
        </w:trPr>
        <w:tc>
          <w:tcPr>
            <w:tcW w:w="3920" w:type="dxa"/>
            <w:vAlign w:val="bottom"/>
          </w:tcPr>
          <w:p>
            <w:pPr>
              <w:jc w:val="center"/>
              <w:ind w:right="2007"/>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2027"/>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3920" w:type="dxa"/>
            <w:vAlign w:val="bottom"/>
          </w:tcPr>
          <w:p>
            <w:pPr>
              <w:jc w:val="center"/>
              <w:ind w:right="200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202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1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6" w:lineRule="exact"/>
        <w:rPr>
          <w:sz w:val="24"/>
          <w:szCs w:val="24"/>
          <w:color w:val="auto"/>
        </w:rPr>
      </w:pPr>
    </w:p>
    <w:tbl>
      <w:tblPr>
        <w:tblLayout w:type="fixed"/>
        <w:tblInd w:w="60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90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57"/>
        </w:trPr>
        <w:tc>
          <w:tcPr>
            <w:tcW w:w="38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7"/>
              </w:rPr>
              <w:t>Common Stock, par value $0.01 per share</w:t>
            </w:r>
          </w:p>
        </w:tc>
        <w:tc>
          <w:tcPr>
            <w:tcW w:w="880" w:type="dxa"/>
            <w:vAlign w:val="bottom"/>
          </w:tcPr>
          <w:p>
            <w:pPr>
              <w:spacing w:after="0"/>
              <w:rPr>
                <w:sz w:val="22"/>
                <w:szCs w:val="22"/>
                <w:color w:val="auto"/>
              </w:rPr>
            </w:pPr>
          </w:p>
        </w:tc>
        <w:tc>
          <w:tcPr>
            <w:tcW w:w="280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color w:val="auto"/>
                <w:w w:val="92"/>
              </w:rPr>
              <w:t>NX</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128"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0"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67" w:right="339" w:bottom="1440" w:gutter="0" w:footer="0" w:header="0"/>
        </w:sectPr>
      </w:pPr>
    </w:p>
    <w:p>
      <w:pPr>
        <w:spacing w:after="0" w:line="62" w:lineRule="exact"/>
        <w:rPr>
          <w:sz w:val="24"/>
          <w:szCs w:val="24"/>
          <w:color w:val="auto"/>
        </w:rPr>
      </w:pPr>
    </w:p>
    <w:p>
      <w:pPr>
        <w:ind w:left="40"/>
        <w:spacing w:after="0" w:line="207" w:lineRule="exact"/>
        <w:tabs>
          <w:tab w:leader="none" w:pos="2660" w:val="left"/>
          <w:tab w:leader="none" w:pos="81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0" w:lineRule="exact"/>
        <w:rPr>
          <w:sz w:val="24"/>
          <w:szCs w:val="24"/>
          <w:color w:val="auto"/>
        </w:rPr>
      </w:pPr>
    </w:p>
    <w:p>
      <w:pPr>
        <w:ind w:left="40"/>
        <w:spacing w:after="0" w:line="207" w:lineRule="exact"/>
        <w:tabs>
          <w:tab w:leader="none" w:pos="2660" w:val="left"/>
          <w:tab w:leader="none" w:pos="818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25"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ind w:left="40"/>
        <w:spacing w:after="0" w:line="23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50" w:lineRule="exact"/>
        <w:rPr>
          <w:sz w:val="24"/>
          <w:szCs w:val="24"/>
          <w:color w:val="auto"/>
        </w:rPr>
      </w:pPr>
    </w:p>
    <w:p>
      <w:pPr>
        <w:spacing w:after="0" w:line="207" w:lineRule="exact"/>
        <w:tabs>
          <w:tab w:leader="none" w:pos="8160" w:val="left"/>
          <w:tab w:leader="none" w:pos="88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7"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75"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16"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630" w:lineRule="exact"/>
        <w:rPr>
          <w:sz w:val="24"/>
          <w:szCs w:val="24"/>
          <w:color w:val="auto"/>
        </w:rPr>
      </w:pPr>
    </w:p>
    <w:p>
      <w:pPr>
        <w:sectPr>
          <w:pgSz w:w="11900" w:h="16838" w:orient="portrait"/>
          <w:cols w:equalWidth="0" w:num="2">
            <w:col w:w="10740" w:space="140"/>
            <w:col w:w="360"/>
          </w:cols>
          <w:pgMar w:left="320" w:top="767" w:right="339" w:bottom="1440" w:gutter="0" w:footer="0" w:header="0"/>
          <w:type w:val="continuous"/>
        </w:sectPr>
      </w:pPr>
    </w:p>
    <w:p>
      <w:pPr>
        <w:spacing w:after="0" w:line="234"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5" w:lineRule="exact"/>
        <w:rPr>
          <w:sz w:val="24"/>
          <w:szCs w:val="24"/>
          <w:color w:val="auto"/>
        </w:rPr>
      </w:pPr>
    </w:p>
    <w:p>
      <w:pPr>
        <w:ind w:right="100"/>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March 5, 2025 was 47,230,263.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447675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123825</wp:posOffset>
            </wp:positionV>
            <wp:extent cx="7118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35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90170</wp:posOffset>
            </wp:positionV>
            <wp:extent cx="7118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140" w:type="dxa"/>
            <w:vAlign w:val="bottom"/>
          </w:tcPr>
          <w:p>
            <w:pPr>
              <w:spacing w:after="0"/>
              <w:rPr>
                <w:sz w:val="20"/>
                <w:szCs w:val="20"/>
                <w:color w:val="auto"/>
              </w:rPr>
            </w:pPr>
          </w:p>
        </w:tc>
        <w:tc>
          <w:tcPr>
            <w:tcW w:w="9900" w:type="dxa"/>
            <w:vAlign w:val="bottom"/>
            <w:gridSpan w:val="9"/>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7"/>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360" w:type="dxa"/>
            <w:vAlign w:val="bottom"/>
            <w:gridSpan w:val="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1:</w:t>
            </w:r>
          </w:p>
        </w:tc>
        <w:tc>
          <w:tcPr>
            <w:tcW w:w="99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40" w:type="dxa"/>
            <w:vAlign w:val="bottom"/>
            <w:vMerge w:val="continue"/>
          </w:tcPr>
          <w:p>
            <w:pPr>
              <w:spacing w:after="0"/>
              <w:rPr>
                <w:sz w:val="24"/>
                <w:szCs w:val="24"/>
                <w:color w:val="auto"/>
              </w:rPr>
            </w:pPr>
          </w:p>
        </w:tc>
        <w:tc>
          <w:tcPr>
            <w:tcW w:w="9900" w:type="dxa"/>
            <w:vAlign w:val="bottom"/>
            <w:gridSpan w:val="9"/>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E32E1"/>
              </w:rPr>
              <w:t>Condensed Consolidated Balance Sheets – January 31, 2025 and October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2"/>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Months Ended January 31, 2025 and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Comprehensive Income </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color w:val="0000FF"/>
              </w:rPr>
              <w:t xml:space="preserve"> Three Months Ended January 31, 2025 and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E32E1"/>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January 31, 2025 and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Borders>
              <w:right w:val="single" w:sz="8" w:color="0000FF"/>
            </w:tcBorders>
            <w:gridSpan w:val="3"/>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 of Stockholders’ Equity – Three Months Ended January 31, 2025 and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Borders>
              <w:right w:val="single" w:sz="8" w:color="0000FF"/>
            </w:tcBorders>
            <w:gridSpan w:val="3"/>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04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Borders>
              <w:right w:val="single" w:sz="8" w:color="0000FF"/>
            </w:tcBorders>
            <w:gridSpan w:val="3"/>
            <w:shd w:val="clear" w:color="auto" w:fill="0000FF"/>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2:</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3:</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4:</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Item 1A:</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2:</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5:</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6:</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8"/>
        </w:trPr>
        <w:tc>
          <w:tcPr>
            <w:tcW w:w="11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3"/>
                <w:szCs w:val="13"/>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1"/>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3"/>
        </w:trPr>
        <w:tc>
          <w:tcPr>
            <w:tcW w:w="2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80" w:type="dxa"/>
            <w:vAlign w:val="bottom"/>
            <w:gridSpan w:val="4"/>
          </w:tcPr>
          <w:p>
            <w:pPr>
              <w:jc w:val="right"/>
              <w:ind w:right="613"/>
              <w:spacing w:after="0" w:line="133"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1"/>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40" w:type="dxa"/>
            <w:vAlign w:val="bottom"/>
          </w:tcPr>
          <w:p>
            <w:pPr>
              <w:spacing w:after="0"/>
              <w:rPr>
                <w:sz w:val="16"/>
                <w:szCs w:val="16"/>
                <w:color w:val="auto"/>
              </w:rPr>
            </w:pPr>
          </w:p>
        </w:tc>
      </w:tr>
      <w:tr>
        <w:trPr>
          <w:trHeight w:val="230"/>
        </w:trPr>
        <w:tc>
          <w:tcPr>
            <w:tcW w:w="2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160" w:type="dxa"/>
            <w:vAlign w:val="bottom"/>
            <w:gridSpan w:val="6"/>
            <w:shd w:val="clear" w:color="auto" w:fill="CCEEFF"/>
          </w:tcPr>
          <w:p>
            <w:pPr>
              <w:jc w:val="center"/>
              <w:ind w:right="2972"/>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97,744</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w:t>
            </w:r>
          </w:p>
        </w:tc>
      </w:tr>
      <w:tr>
        <w:trPr>
          <w:trHeight w:val="225"/>
        </w:trPr>
        <w:tc>
          <w:tcPr>
            <w:tcW w:w="44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Accounts receivable, net of allowance for credit losses of</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shd w:val="clear" w:color="auto" w:fill="CCEEFF"/>
              </w:rPr>
              <w:t>$948</w:t>
            </w:r>
          </w:p>
        </w:tc>
        <w:tc>
          <w:tcPr>
            <w:tcW w:w="3460" w:type="dxa"/>
            <w:vAlign w:val="bottom"/>
            <w:gridSpan w:val="4"/>
            <w:shd w:val="clear" w:color="auto" w:fill="CCEEFF"/>
          </w:tcPr>
          <w:p>
            <w:pPr>
              <w:jc w:val="right"/>
              <w:ind w:right="2672"/>
              <w:spacing w:after="0"/>
              <w:rPr>
                <w:sz w:val="20"/>
                <w:szCs w:val="20"/>
                <w:color w:val="auto"/>
              </w:rPr>
            </w:pPr>
            <w:r>
              <w:rPr>
                <w:rFonts w:ascii="Times New Roman" w:cs="Times New Roman" w:eastAsia="Times New Roman" w:hAnsi="Times New Roman"/>
                <w:sz w:val="18"/>
                <w:szCs w:val="18"/>
                <w:color w:val="auto"/>
              </w:rPr>
              <w:t>and $254</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197,689</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275,550</w:t>
            </w: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25"/>
        </w:trPr>
        <w:tc>
          <w:tcPr>
            <w:tcW w:w="8240" w:type="dxa"/>
            <w:vAlign w:val="bottom"/>
            <w:tcBorders>
              <w:bottom w:val="single" w:sz="8" w:color="CCEEFF"/>
            </w:tcBorders>
            <w:gridSpan w:val="10"/>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29,097</w:t>
            </w:r>
          </w:p>
        </w:tc>
      </w:tr>
      <w:tr>
        <w:trPr>
          <w:trHeight w:val="218"/>
        </w:trPr>
        <w:tc>
          <w:tcPr>
            <w:tcW w:w="8240" w:type="dxa"/>
            <w:vAlign w:val="bottom"/>
            <w:gridSpan w:val="10"/>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611,268</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$363,201 and $391,851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402,466</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126,715</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569,688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574,711</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580,081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597,909</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18"/>
        </w:trPr>
        <w:tc>
          <w:tcPr>
            <w:tcW w:w="824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2,220,489</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2,319,788</w:t>
            </w: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1"/>
        </w:trPr>
        <w:tc>
          <w:tcPr>
            <w:tcW w:w="2140" w:type="dxa"/>
            <w:vAlign w:val="bottom"/>
            <w:shd w:val="clear" w:color="auto" w:fill="CCEEFF"/>
          </w:tcPr>
          <w:p>
            <w:pPr>
              <w:spacing w:after="0"/>
              <w:rPr>
                <w:sz w:val="16"/>
                <w:szCs w:val="16"/>
                <w:color w:val="auto"/>
              </w:rPr>
            </w:pPr>
          </w:p>
        </w:tc>
        <w:tc>
          <w:tcPr>
            <w:tcW w:w="6100" w:type="dxa"/>
            <w:vAlign w:val="bottom"/>
            <w:gridSpan w:val="9"/>
            <w:shd w:val="clear" w:color="auto" w:fill="CCEEFF"/>
          </w:tcPr>
          <w:p>
            <w:pPr>
              <w:jc w:val="center"/>
              <w:ind w:right="2052"/>
              <w:spacing w:after="0" w:line="191" w:lineRule="exact"/>
              <w:rPr>
                <w:sz w:val="20"/>
                <w:szCs w:val="20"/>
                <w:color w:val="auto"/>
              </w:rPr>
            </w:pPr>
            <w:r>
              <w:rPr>
                <w:rFonts w:ascii="Times New Roman" w:cs="Times New Roman" w:eastAsia="Times New Roman" w:hAnsi="Times New Roman"/>
                <w:sz w:val="18"/>
                <w:szCs w:val="18"/>
                <w:b w:val="1"/>
                <w:bCs w:val="1"/>
                <w:color w:val="auto"/>
                <w:w w:val="98"/>
              </w:rPr>
              <w:t>LIABILITIES AND STOCKHOLDERS' EQUITY</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124,404</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103,623</w:t>
            </w: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25,745</w:t>
            </w: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w:t>
            </w:r>
          </w:p>
        </w:tc>
      </w:tr>
      <w:tr>
        <w:trPr>
          <w:trHeight w:val="218"/>
        </w:trPr>
        <w:tc>
          <w:tcPr>
            <w:tcW w:w="824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228,778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272,867</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725,231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737,198</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117,560</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162,304</w:t>
            </w:r>
          </w:p>
        </w:tc>
      </w:tr>
      <w:tr>
        <w:trPr>
          <w:trHeight w:val="225"/>
        </w:trPr>
        <w:tc>
          <w:tcPr>
            <w:tcW w:w="8240" w:type="dxa"/>
            <w:vAlign w:val="bottom"/>
            <w:tcBorders>
              <w:bottom w:val="single" w:sz="8" w:color="CCEEFF"/>
            </w:tcBorders>
            <w:gridSpan w:val="10"/>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19,113</w:t>
            </w:r>
          </w:p>
        </w:tc>
      </w:tr>
      <w:tr>
        <w:trPr>
          <w:trHeight w:val="218"/>
        </w:trPr>
        <w:tc>
          <w:tcPr>
            <w:tcW w:w="8240" w:type="dxa"/>
            <w:vAlign w:val="bottom"/>
            <w:gridSpan w:val="10"/>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1,248,373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1,309,042</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shares authorized 1,000,000; issued and outstanding - none</w:t>
            </w:r>
          </w:p>
        </w:tc>
        <w:tc>
          <w:tcPr>
            <w:tcW w:w="2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5"/>
        </w:trPr>
        <w:tc>
          <w:tcPr>
            <w:tcW w:w="5280" w:type="dxa"/>
            <w:vAlign w:val="bottom"/>
            <w:gridSpan w:val="7"/>
            <w:shd w:val="clear" w:color="auto" w:fill="CCEEFF"/>
          </w:tcPr>
          <w:p>
            <w:pPr>
              <w:ind w:left="340"/>
              <w:spacing w:after="0" w:line="185" w:lineRule="exact"/>
              <w:rPr>
                <w:sz w:val="20"/>
                <w:szCs w:val="20"/>
                <w:color w:val="auto"/>
              </w:rPr>
            </w:pPr>
            <w:r>
              <w:rPr>
                <w:rFonts w:ascii="Times New Roman" w:cs="Times New Roman" w:eastAsia="Times New Roman" w:hAnsi="Times New Roman"/>
                <w:sz w:val="18"/>
                <w:szCs w:val="18"/>
                <w:color w:val="auto"/>
                <w:w w:val="95"/>
              </w:rPr>
              <w:t>Common stock, $0.01 par value, shares authorized 125,000,000; issued</w:t>
            </w:r>
          </w:p>
        </w:tc>
        <w:tc>
          <w:tcPr>
            <w:tcW w:w="98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shd w:val="clear" w:color="auto" w:fill="CCEEFF"/>
              </w:rPr>
              <w:t>51,213,869</w:t>
            </w:r>
          </w:p>
        </w:tc>
        <w:tc>
          <w:tcPr>
            <w:tcW w:w="3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and</w:t>
            </w:r>
          </w:p>
        </w:tc>
        <w:tc>
          <w:tcPr>
            <w:tcW w:w="1680" w:type="dxa"/>
            <w:vAlign w:val="bottom"/>
            <w:shd w:val="clear" w:color="auto" w:fill="CCEEFF"/>
          </w:tcPr>
          <w:p>
            <w:pPr>
              <w:jc w:val="right"/>
              <w:ind w:right="792"/>
              <w:spacing w:after="0" w:line="185" w:lineRule="exact"/>
              <w:rPr>
                <w:sz w:val="20"/>
                <w:szCs w:val="20"/>
                <w:color w:val="auto"/>
              </w:rPr>
            </w:pPr>
            <w:r>
              <w:rPr>
                <w:rFonts w:ascii="Times New Roman" w:cs="Times New Roman" w:eastAsia="Times New Roman" w:hAnsi="Times New Roman"/>
                <w:sz w:val="18"/>
                <w:szCs w:val="18"/>
                <w:color w:val="auto"/>
                <w:w w:val="91"/>
                <w:shd w:val="clear" w:color="auto" w:fill="CCEEFF"/>
              </w:rPr>
              <w:t>51,266,501,</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5"/>
        </w:trPr>
        <w:tc>
          <w:tcPr>
            <w:tcW w:w="2140" w:type="dxa"/>
            <w:vAlign w:val="bottom"/>
            <w:tcBorders>
              <w:bottom w:val="single" w:sz="8" w:color="CCEEFF"/>
            </w:tcBorders>
            <w:shd w:val="clear" w:color="auto" w:fill="CCEEFF"/>
          </w:tcPr>
          <w:p>
            <w:pPr>
              <w:ind w:left="340"/>
              <w:spacing w:after="0" w:line="199" w:lineRule="exact"/>
              <w:rPr>
                <w:sz w:val="20"/>
                <w:szCs w:val="20"/>
                <w:color w:val="auto"/>
              </w:rPr>
            </w:pPr>
            <w:r>
              <w:rPr>
                <w:rFonts w:ascii="Times New Roman" w:cs="Times New Roman" w:eastAsia="Times New Roman" w:hAnsi="Times New Roman"/>
                <w:sz w:val="18"/>
                <w:szCs w:val="18"/>
                <w:color w:val="auto"/>
                <w:w w:val="98"/>
              </w:rPr>
              <w:t>respectively; outstanding</w:t>
            </w:r>
          </w:p>
        </w:tc>
        <w:tc>
          <w:tcPr>
            <w:tcW w:w="800" w:type="dxa"/>
            <w:vAlign w:val="bottom"/>
            <w:tcBorders>
              <w:bottom w:val="single" w:sz="8" w:color="CCEEFF"/>
            </w:tcBorders>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96"/>
                <w:shd w:val="clear" w:color="auto" w:fill="CCEEFF"/>
              </w:rPr>
              <w:t>47,230,263</w:t>
            </w:r>
          </w:p>
        </w:tc>
        <w:tc>
          <w:tcPr>
            <w:tcW w:w="2340" w:type="dxa"/>
            <w:vAlign w:val="bottom"/>
            <w:tcBorders>
              <w:bottom w:val="single" w:sz="8" w:color="CCEEFF"/>
            </w:tcBorders>
            <w:gridSpan w:val="4"/>
            <w:shd w:val="clear" w:color="auto" w:fill="CCEEFF"/>
          </w:tcPr>
          <w:p>
            <w:pPr>
              <w:ind w:left="60"/>
              <w:spacing w:after="0" w:line="199" w:lineRule="exact"/>
              <w:rPr>
                <w:sz w:val="20"/>
                <w:szCs w:val="20"/>
                <w:color w:val="auto"/>
              </w:rPr>
            </w:pPr>
            <w:r>
              <w:rPr>
                <w:rFonts w:ascii="Times New Roman" w:cs="Times New Roman" w:eastAsia="Times New Roman" w:hAnsi="Times New Roman"/>
                <w:sz w:val="18"/>
                <w:szCs w:val="18"/>
                <w:color w:val="auto"/>
              </w:rPr>
              <w:t>and 47,252,070, respectively</w:t>
            </w:r>
          </w:p>
        </w:tc>
        <w:tc>
          <w:tcPr>
            <w:tcW w:w="9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512</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513</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697,358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701,008</w:t>
            </w: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430,405</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(46,428)</w:t>
            </w:r>
          </w:p>
        </w:tc>
      </w:tr>
      <w:tr>
        <w:trPr>
          <w:trHeight w:val="22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Less: Treasury stock at cost,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shd w:val="clear" w:color="auto" w:fill="CCEEFF"/>
              </w:rPr>
              <w:t>3,983,606</w:t>
            </w:r>
          </w:p>
        </w:tc>
        <w:tc>
          <w:tcPr>
            <w:tcW w:w="5160" w:type="dxa"/>
            <w:vAlign w:val="bottom"/>
            <w:gridSpan w:val="6"/>
            <w:shd w:val="clear" w:color="auto" w:fill="CCEEFF"/>
          </w:tcPr>
          <w:p>
            <w:pPr>
              <w:jc w:val="right"/>
              <w:ind w:right="2592"/>
              <w:spacing w:after="0"/>
              <w:rPr>
                <w:sz w:val="20"/>
                <w:szCs w:val="20"/>
                <w:color w:val="auto"/>
              </w:rPr>
            </w:pPr>
            <w:r>
              <w:rPr>
                <w:rFonts w:ascii="Times New Roman" w:cs="Times New Roman" w:eastAsia="Times New Roman" w:hAnsi="Times New Roman"/>
                <w:sz w:val="18"/>
                <w:szCs w:val="18"/>
                <w:color w:val="auto"/>
                <w:w w:val="99"/>
              </w:rPr>
              <w:t>and 4,014,431 shares,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r>
      <w:tr>
        <w:trPr>
          <w:trHeight w:val="218"/>
        </w:trPr>
        <w:tc>
          <w:tcPr>
            <w:tcW w:w="8240" w:type="dxa"/>
            <w:vAlign w:val="bottom"/>
            <w:tcBorders>
              <w:bottom w:val="single" w:sz="8" w:color="CCEEFF"/>
            </w:tcBorders>
            <w:gridSpan w:val="10"/>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972,116</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1,010,746</w:t>
            </w:r>
          </w:p>
        </w:tc>
      </w:tr>
      <w:tr>
        <w:trPr>
          <w:trHeight w:val="243"/>
        </w:trPr>
        <w:tc>
          <w:tcPr>
            <w:tcW w:w="8240" w:type="dxa"/>
            <w:vAlign w:val="bottom"/>
            <w:tcBorders>
              <w:bottom w:val="single" w:sz="8" w:color="CCEEFF"/>
            </w:tcBorders>
            <w:gridSpan w:val="10"/>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2,220,489</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2,319,788</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199"/>
        </w:trPr>
        <w:tc>
          <w:tcPr>
            <w:tcW w:w="7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1100" w:type="dxa"/>
            <w:vAlign w:val="bottom"/>
          </w:tcPr>
          <w:p>
            <w:pPr>
              <w:spacing w:after="0"/>
              <w:rPr>
                <w:sz w:val="17"/>
                <w:szCs w:val="17"/>
                <w:color w:val="auto"/>
              </w:rPr>
            </w:pPr>
          </w:p>
        </w:tc>
      </w:tr>
      <w:tr>
        <w:trPr>
          <w:trHeight w:val="24"/>
        </w:trPr>
        <w:tc>
          <w:tcPr>
            <w:tcW w:w="76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620" w:type="dxa"/>
            <w:vAlign w:val="bottom"/>
          </w:tcPr>
          <w:p>
            <w:pPr>
              <w:spacing w:after="0"/>
              <w:rPr>
                <w:sz w:val="16"/>
                <w:szCs w:val="16"/>
                <w:color w:val="auto"/>
              </w:rPr>
            </w:pPr>
          </w:p>
        </w:tc>
        <w:tc>
          <w:tcPr>
            <w:tcW w:w="3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23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400,044</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239,155</w:t>
            </w: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307,728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187,723</w:t>
            </w:r>
          </w:p>
        </w:tc>
      </w:tr>
      <w:tr>
        <w:trPr>
          <w:trHeight w:val="225"/>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32,363</w:t>
            </w: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5"/>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r>
      <w:tr>
        <w:trPr>
          <w:trHeight w:val="22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7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65"/>
        </w:trPr>
        <w:tc>
          <w:tcPr>
            <w:tcW w:w="7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65"/>
        </w:trPr>
        <w:tc>
          <w:tcPr>
            <w:tcW w:w="7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7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32,825</w:t>
            </w:r>
          </w:p>
        </w:tc>
      </w:tr>
      <w:tr>
        <w:trPr>
          <w:trHeight w:val="225"/>
        </w:trPr>
        <w:tc>
          <w:tcPr>
            <w:tcW w:w="7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r>
      <w:tr>
        <w:trPr>
          <w:trHeight w:val="265"/>
        </w:trPr>
        <w:tc>
          <w:tcPr>
            <w:tcW w:w="7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dividends per share</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ind w:left="440" w:right="2260"/>
        <w:spacing w:after="0" w:line="266"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COMPREHENSIVE INCOME (Unaudited)</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r>
      <w:tr>
        <w:trPr>
          <w:trHeight w:val="199"/>
        </w:trPr>
        <w:tc>
          <w:tcPr>
            <w:tcW w:w="7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0" w:type="dxa"/>
            <w:vAlign w:val="bottom"/>
          </w:tcPr>
          <w:p>
            <w:pPr>
              <w:spacing w:after="0"/>
              <w:rPr>
                <w:sz w:val="17"/>
                <w:szCs w:val="17"/>
                <w:color w:val="auto"/>
              </w:rPr>
            </w:pPr>
          </w:p>
        </w:tc>
      </w:tr>
      <w:tr>
        <w:trPr>
          <w:trHeight w:val="24"/>
        </w:trPr>
        <w:tc>
          <w:tcPr>
            <w:tcW w:w="7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6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r>
      <w:tr>
        <w:trPr>
          <w:trHeight w:val="231"/>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(14,885)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r>
      <w:tr>
        <w:trPr>
          <w:trHeight w:val="225"/>
        </w:trPr>
        <w:tc>
          <w:tcPr>
            <w:tcW w:w="7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 gain, net of tax</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(15,951)</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18"/>
        </w:trPr>
        <w:tc>
          <w:tcPr>
            <w:tcW w:w="7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(15,951)</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43"/>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(30,836)</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199"/>
        </w:trPr>
        <w:tc>
          <w:tcPr>
            <w:tcW w:w="7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1100" w:type="dxa"/>
            <w:vAlign w:val="bottom"/>
          </w:tcPr>
          <w:p>
            <w:pPr>
              <w:spacing w:after="0"/>
              <w:rPr>
                <w:sz w:val="17"/>
                <w:szCs w:val="17"/>
                <w:color w:val="auto"/>
              </w:rPr>
            </w:pPr>
          </w:p>
        </w:tc>
      </w:tr>
      <w:tr>
        <w:trPr>
          <w:trHeight w:val="24"/>
        </w:trPr>
        <w:tc>
          <w:tcPr>
            <w:tcW w:w="76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100" w:type="dxa"/>
            <w:vAlign w:val="bottom"/>
          </w:tcPr>
          <w:p>
            <w:pPr>
              <w:spacing w:after="0"/>
              <w:rPr>
                <w:sz w:val="16"/>
                <w:szCs w:val="16"/>
                <w:color w:val="auto"/>
              </w:rPr>
            </w:pPr>
          </w:p>
        </w:tc>
      </w:tr>
      <w:tr>
        <w:trPr>
          <w:trHeight w:val="23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r>
      <w:tr>
        <w:trPr>
          <w:trHeight w:val="225"/>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25"/>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5"/>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5"/>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25"/>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18,147</w:t>
            </w:r>
          </w:p>
        </w:tc>
      </w:tr>
      <w:tr>
        <w:trPr>
          <w:trHeight w:val="225"/>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inventory</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r>
      <w:tr>
        <w:trPr>
          <w:trHeight w:val="225"/>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25"/>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w:t>
            </w:r>
          </w:p>
        </w:tc>
      </w:tr>
      <w:tr>
        <w:trPr>
          <w:trHeight w:val="225"/>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accrued liabilities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r>
      <w:tr>
        <w:trPr>
          <w:trHeight w:val="225"/>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income taxes payable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5"/>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other long-term liabilities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5"/>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operating activities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r>
      <w:tr>
        <w:trPr>
          <w:trHeight w:val="225"/>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5"/>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dividends paid</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5"/>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Payroll tax paid to settle shares forfeited upon vesting of stock</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1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w:t>
            </w: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58,474</w:t>
            </w:r>
          </w:p>
        </w:tc>
      </w:tr>
      <w:tr>
        <w:trPr>
          <w:trHeight w:val="21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55,468</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44,422</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6"/>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59"/>
        </w:trPr>
        <w:tc>
          <w:tcPr>
            <w:tcW w:w="43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4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980" w:type="dxa"/>
            <w:vAlign w:val="bottom"/>
          </w:tcPr>
          <w:p>
            <w:pPr>
              <w:jc w:val="center"/>
              <w:ind w:right="36"/>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1,010,746</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192"/>
        </w:trPr>
        <w:tc>
          <w:tcPr>
            <w:tcW w:w="4340" w:type="dxa"/>
            <w:vAlign w:val="bottom"/>
            <w:gridSpan w:val="3"/>
          </w:tcPr>
          <w:p>
            <w:pPr>
              <w:ind w:left="20"/>
              <w:spacing w:after="0" w:line="192" w:lineRule="exact"/>
              <w:rPr>
                <w:sz w:val="20"/>
                <w:szCs w:val="20"/>
                <w:color w:val="auto"/>
              </w:rPr>
            </w:pPr>
            <w:r>
              <w:rPr>
                <w:rFonts w:ascii="Times New Roman" w:cs="Times New Roman" w:eastAsia="Times New Roman" w:hAnsi="Times New Roman"/>
                <w:sz w:val="18"/>
                <w:szCs w:val="18"/>
                <w:color w:val="auto"/>
              </w:rPr>
              <w:t>Balance at January 31, 2025</w:t>
            </w:r>
          </w:p>
        </w:tc>
        <w:tc>
          <w:tcPr>
            <w:tcW w:w="1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697,358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411,708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(62,379)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(75,083)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972,116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 2024</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6"/>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59"/>
        </w:trPr>
        <w:tc>
          <w:tcPr>
            <w:tcW w:w="43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4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980" w:type="dxa"/>
            <w:vAlign w:val="bottom"/>
          </w:tcPr>
          <w:p>
            <w:pPr>
              <w:jc w:val="center"/>
              <w:ind w:right="36"/>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545,554</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43"/>
        </w:trPr>
        <w:tc>
          <w:tcPr>
            <w:tcW w:w="4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13"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Quanex Building Products Corporation is a leading manufacturer and component supplier to original equipment manufacturers (OEMs) in various industries, including window, door, solar, refrigeration, custom mixing, building access, and cabinetry markets. These components can be categorized as window and door (fenestration) components and kitchen and bath cabinet components. Examples of fenestration components include: (1) energy-efficient flexible insulating glass spacers, (2) extruded vinyl profiles, (3) window and door screens, (4) window and door hardware, and (5)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water retention barriers, conservatory roof components, and building access solutions. We have organized our business into four reportable business segments: (1) North American Fenestration (NA Fenestration), (2) European Fenestration (EU Fenestration), (3) North American Cabinet Components (NA Cabinet Components), and (4) Tyman, which was acquired on August 1, 2024. For additional discussion of our reportable business segments, see Note 14, “Segment Information.” We leverage efficient production and distribution processes and engineering expertise to provide our customers with specialized products for their specific hardware, extrusion, and custom applications. We believe these capabilities enhance our ability to provide value to our customers. We serve a primary customer base in North America and the United Kingdom (U.K.), and also serve customers in international markets through our operating locations in the U.K., Germany, Mexico, Canada, and Italy, as well as through sales and marketing efforts in other countries.</w:t>
      </w:r>
    </w:p>
    <w:p>
      <w:pPr>
        <w:spacing w:after="0" w:line="140"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8"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 the accounts of Quanex Building Products Corporation. All intercompany accounts and transactions have been eliminated in consolidation. These unaudited financial statements have been prepared by us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2024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2024.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6"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6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27"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66"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66"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66"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manufacture and distribute a diverse portfolio of products for OEMs operating in hardware, extrusion, and custom markets worldwide. Our broad geographic reach exposes us to diverse economic conditions, which can impact demand, currency fluctuations, and supply chain dynamics.</w:t>
      </w:r>
    </w:p>
    <w:p>
      <w:pPr>
        <w:spacing w:after="0" w:line="6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months ended January 31, 2025 and 2024, categorized by segment, to depict how the nature, amount, timing and uncertainty of our revenues and cash flows are affected by economic factors. For further details regarding our results by segment, refer to Note 14,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r>
      <w:tr>
        <w:trPr>
          <w:trHeight w:val="199"/>
        </w:trPr>
        <w:tc>
          <w:tcPr>
            <w:tcW w:w="7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1000" w:type="dxa"/>
            <w:vAlign w:val="bottom"/>
          </w:tcPr>
          <w:p>
            <w:pPr>
              <w:spacing w:after="0"/>
              <w:rPr>
                <w:sz w:val="17"/>
                <w:szCs w:val="17"/>
                <w:color w:val="auto"/>
              </w:rPr>
            </w:pPr>
          </w:p>
        </w:tc>
      </w:tr>
      <w:tr>
        <w:trPr>
          <w:trHeight w:val="24"/>
        </w:trPr>
        <w:tc>
          <w:tcPr>
            <w:tcW w:w="7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6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0" w:type="dxa"/>
            <w:vAlign w:val="bottom"/>
          </w:tcPr>
          <w:p>
            <w:pPr>
              <w:spacing w:after="0"/>
              <w:rPr>
                <w:sz w:val="16"/>
                <w:szCs w:val="16"/>
                <w:color w:val="auto"/>
              </w:rPr>
            </w:pPr>
          </w:p>
        </w:tc>
      </w:tr>
      <w:tr>
        <w:trPr>
          <w:trHeight w:val="231"/>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 Fenestration:</w:t>
            </w: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5"/>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100,429</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111,634</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r>
      <w:tr>
        <w:trPr>
          <w:trHeight w:val="225"/>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25,791</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r>
      <w:tr>
        <w:trPr>
          <w:trHeight w:val="218"/>
        </w:trPr>
        <w:tc>
          <w:tcPr>
            <w:tcW w:w="7600" w:type="dxa"/>
            <w:vAlign w:val="bottom"/>
          </w:tcPr>
          <w:p>
            <w:pPr>
              <w:spacing w:after="0"/>
              <w:rPr>
                <w:sz w:val="18"/>
                <w:szCs w:val="18"/>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134,333</w:t>
            </w:r>
          </w:p>
        </w:tc>
        <w:tc>
          <w:tcPr>
            <w:tcW w:w="100" w:type="dxa"/>
            <w:vAlign w:val="bottom"/>
          </w:tcPr>
          <w:p>
            <w:pPr>
              <w:spacing w:after="0"/>
              <w:rPr>
                <w:sz w:val="18"/>
                <w:szCs w:val="18"/>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147,995</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 Fenestration: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41,751</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r>
      <w:tr>
        <w:trPr>
          <w:trHeight w:val="218"/>
        </w:trPr>
        <w:tc>
          <w:tcPr>
            <w:tcW w:w="7600" w:type="dxa"/>
            <w:vAlign w:val="bottom"/>
          </w:tcPr>
          <w:p>
            <w:pPr>
              <w:spacing w:after="0"/>
              <w:rPr>
                <w:sz w:val="18"/>
                <w:szCs w:val="18"/>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48,471</w:t>
            </w:r>
          </w:p>
        </w:tc>
        <w:tc>
          <w:tcPr>
            <w:tcW w:w="100" w:type="dxa"/>
            <w:vAlign w:val="bottom"/>
          </w:tcPr>
          <w:p>
            <w:pPr>
              <w:spacing w:after="0"/>
              <w:rPr>
                <w:sz w:val="18"/>
                <w:szCs w:val="18"/>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49,437</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 Cabinet Components: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39,179</w:t>
            </w:r>
          </w:p>
        </w:tc>
      </w:tr>
      <w:tr>
        <w:trPr>
          <w:trHeight w:val="225"/>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8"/>
        </w:trPr>
        <w:tc>
          <w:tcPr>
            <w:tcW w:w="7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43,137</w:t>
            </w:r>
          </w:p>
        </w:tc>
      </w:tr>
      <w:tr>
        <w:trPr>
          <w:trHeight w:val="225"/>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Tyman:</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105,591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175,676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18"/>
        </w:trPr>
        <w:tc>
          <w:tcPr>
            <w:tcW w:w="76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43"/>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400,044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8"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68"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Net sales include transactions with a customer which is a related party with one of our non-employee directors for the three months ended January 31, 2025 was $0.5 million and $0.2 million for the comparable prior year period. Purchases from a customer which is a related party with one of our non-employee directors for the three months ended January 31, 2025 was $0.2 million and zero for the comparable prior year period. We performed a review of these transactions, of which no single transaction or series of related transactions exceeded $120,000 in amount, and determined that these transactions were enacted independently of each other. We are not aware of any other related party transactions with any of our current non-employee directors or officers outside of their normal business functions or expected contractual duties.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68"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formally notified and the severance arrangement is legally enforceable, with no realistic possibility of withdrawal.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8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In November 2024, we announced a reorganization of our business to integrate the acquisition of Tyman plc with our legacy Quanex operations. For additional discussion of our acquisition of Tyman plc, see Note 2, “Acquisition.”</w:t>
      </w:r>
    </w:p>
    <w:p>
      <w:pPr>
        <w:spacing w:after="0" w:line="62"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During the three months ended January 31, 2025, we incurred $7.9 million in restructuring charges as a result of the reorganization, including $4.0 million related to workforce alignment costs, primarily severance and employee-related expenses. As of January 31, 2025, we have paid $2.0 million in workforce alignment costs, with a remaining accrual of $2.0 million. Additionally, we recognized $3.9 million related to the disposal of software which no longer supports our reorganized business. As we continue to implement our restructuring plan, we may incur additional restructuring charges in future periods as we assess and finalize our integration efforts. The nature and amount of any such charges will depend on further developments in the reorganization process.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1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(the “Tyman Acquisition”), a company incorporated in England and Wales (“Tyman”). The aggregate consideration due pursuant to the Tyman Acquisition at closing comprised 14,139,477 newly issued Quanex common shares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8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w:t>
      </w:r>
    </w:p>
    <w:p>
      <w:pPr>
        <w:spacing w:after="0" w:line="8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provided for a senior secured term loan A facility in an aggregate principal amount of $500 million (the “Term Loan A Facility” and together with the Revolving Credit Facility, the “Facilities”). The Revolving Credit Facility includes alternative currency, letter of credit, and swing-line sub-facilities of $100 million, $30 million, and $15 million, respectively. The maturity date of the Facilities is five years after the acquisition effective date, maturing on August 1, 2029.</w:t>
      </w:r>
    </w:p>
    <w:p>
      <w:pPr>
        <w:spacing w:after="0" w:line="13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of January 31, 2025, we are still determining the purchase price allocation for the Tyman Acquisition. A preliminary purchase price allocation of the fair value of the assets acquired and liabilities assumed is included in the table below. These estimates are subject to change and will likely result in an increase or decrease in goodwill, particularly with regard to third-party valuations and our estimates of fixed assets, intangible assets, inventory, and deferred income taxes, during the measurement period, which may extend up to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As of Date of</w:t>
            </w:r>
          </w:p>
        </w:tc>
        <w:tc>
          <w:tcPr>
            <w:tcW w:w="0" w:type="dxa"/>
            <w:vAlign w:val="bottom"/>
          </w:tcPr>
          <w:p>
            <w:pPr>
              <w:spacing w:after="0"/>
              <w:rPr>
                <w:sz w:val="1"/>
                <w:szCs w:val="1"/>
                <w:color w:val="auto"/>
              </w:rPr>
            </w:pPr>
          </w:p>
        </w:tc>
      </w:tr>
      <w:tr>
        <w:trPr>
          <w:trHeight w:val="191"/>
        </w:trPr>
        <w:tc>
          <w:tcPr>
            <w:tcW w:w="9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Opening Balance Sheet</w:t>
            </w:r>
          </w:p>
        </w:tc>
        <w:tc>
          <w:tcPr>
            <w:tcW w:w="0" w:type="dxa"/>
            <w:vAlign w:val="bottom"/>
          </w:tcPr>
          <w:p>
            <w:pPr>
              <w:spacing w:after="0"/>
              <w:rPr>
                <w:sz w:val="1"/>
                <w:szCs w:val="1"/>
                <w:color w:val="auto"/>
              </w:rPr>
            </w:pPr>
          </w:p>
        </w:tc>
      </w:tr>
      <w:tr>
        <w:trPr>
          <w:trHeight w:val="191"/>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0" w:type="dxa"/>
            <w:vAlign w:val="bottom"/>
          </w:tcPr>
          <w:p>
            <w:pPr>
              <w:spacing w:after="0"/>
              <w:rPr>
                <w:sz w:val="1"/>
                <w:szCs w:val="1"/>
                <w:color w:val="auto"/>
              </w:rPr>
            </w:pPr>
          </w:p>
        </w:tc>
      </w:tr>
      <w:tr>
        <w:trPr>
          <w:trHeight w:val="23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99,574</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211,617</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157,981</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65,414</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385,045</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539,285</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(66,769)</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(300,684)</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(66,228)</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(145,677)</w:t>
            </w:r>
          </w:p>
        </w:tc>
        <w:tc>
          <w:tcPr>
            <w:tcW w:w="0" w:type="dxa"/>
            <w:vAlign w:val="bottom"/>
          </w:tcPr>
          <w:p>
            <w:pPr>
              <w:spacing w:after="0"/>
              <w:rPr>
                <w:sz w:val="1"/>
                <w:szCs w:val="1"/>
                <w:color w:val="auto"/>
              </w:rPr>
            </w:pPr>
          </w:p>
        </w:tc>
      </w:tr>
      <w:tr>
        <w:trPr>
          <w:trHeight w:val="225"/>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0" w:type="dxa"/>
            <w:vAlign w:val="bottom"/>
          </w:tcPr>
          <w:p>
            <w:pPr>
              <w:spacing w:after="0"/>
              <w:rPr>
                <w:sz w:val="1"/>
                <w:szCs w:val="1"/>
                <w:color w:val="auto"/>
              </w:rPr>
            </w:pPr>
          </w:p>
        </w:tc>
      </w:tr>
      <w:tr>
        <w:trPr>
          <w:trHeight w:val="243"/>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0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 net of cash and cash equivalents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left="20" w:firstLine="397"/>
        <w:spacing w:after="0" w:line="254" w:lineRule="auto"/>
        <w:rPr>
          <w:sz w:val="20"/>
          <w:szCs w:val="20"/>
          <w:color w:val="auto"/>
        </w:rPr>
      </w:pPr>
      <w:r>
        <w:rPr>
          <w:rFonts w:ascii="Times New Roman" w:cs="Times New Roman" w:eastAsia="Times New Roman" w:hAnsi="Times New Roman"/>
          <w:sz w:val="18"/>
          <w:szCs w:val="18"/>
          <w:color w:val="auto"/>
        </w:rPr>
        <w:t>We used recognized valuation techniques to determine the preliminary fair value of the assets and liabilities, including the multi period excess earnings method for customer relationships and relief from royalty method for trade names and other technology with a discount rate that reflects the risk of the expected future cash flows. Tyman is allocated entirely to our Tyman reportable operating segment. For additional discussion of our reportable business segments, see Note 14, “Segment Information.”</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 Forma Results</w:t>
      </w:r>
    </w:p>
    <w:p>
      <w:pPr>
        <w:spacing w:after="0" w:line="166" w:lineRule="exact"/>
        <w:rPr>
          <w:sz w:val="20"/>
          <w:szCs w:val="20"/>
          <w:color w:val="auto"/>
        </w:rPr>
      </w:pPr>
    </w:p>
    <w:p>
      <w:pPr>
        <w:jc w:val="both"/>
        <w:ind w:left="20" w:firstLine="397"/>
        <w:spacing w:after="0" w:line="271" w:lineRule="auto"/>
        <w:rPr>
          <w:sz w:val="20"/>
          <w:szCs w:val="20"/>
          <w:color w:val="auto"/>
        </w:rPr>
      </w:pPr>
      <w:r>
        <w:rPr>
          <w:rFonts w:ascii="Times New Roman" w:cs="Times New Roman" w:eastAsia="Times New Roman" w:hAnsi="Times New Roman"/>
          <w:sz w:val="18"/>
          <w:szCs w:val="18"/>
          <w:color w:val="auto"/>
        </w:rPr>
        <w:t>We calculated the pro forma impact of the Tyman acquisition and the associated debt financing on our operating results for the three months ended and January 31, 2024. The following pro forma results give effect to these acquisitions, assuming the transaction occurred on November 1,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426,533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20" w:firstLine="397"/>
        <w:spacing w:after="0" w:line="254" w:lineRule="auto"/>
        <w:rPr>
          <w:sz w:val="20"/>
          <w:szCs w:val="20"/>
          <w:color w:val="auto"/>
        </w:rPr>
      </w:pPr>
      <w:r>
        <w:rPr>
          <w:rFonts w:ascii="Times New Roman" w:cs="Times New Roman" w:eastAsia="Times New Roman" w:hAnsi="Times New Roman"/>
          <w:sz w:val="18"/>
          <w:szCs w:val="18"/>
          <w:color w:val="auto"/>
        </w:rPr>
        <w:t>We derived the pro forma results for the Tyman acquisition based on historical financial information obtained from the sellers and certain management assumptions. Our Tyman pro forma adjustments relate to the impact of preliminary fair value adjustments on the underlying assets and liabilities of Tyman, transaction costs and the financing of the Tyman Acquisition, and the conversion of Tyman’s financial information prepared in accordance with IFRS to Quanex accounting policies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consisted of the following at January 31, 2025 and October 31, 2024 (in thousands):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20" w:type="dxa"/>
            <w:vAlign w:val="bottom"/>
          </w:tcPr>
          <w:p>
            <w:pPr>
              <w:spacing w:after="0"/>
              <w:rPr>
                <w:sz w:val="13"/>
                <w:szCs w:val="13"/>
                <w:color w:val="auto"/>
              </w:rPr>
            </w:pPr>
          </w:p>
        </w:tc>
        <w:tc>
          <w:tcPr>
            <w:tcW w:w="144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2"/>
        </w:trPr>
        <w:tc>
          <w:tcPr>
            <w:tcW w:w="7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81,330</w:t>
            </w:r>
          </w:p>
        </w:tc>
      </w:tr>
      <w:tr>
        <w:trPr>
          <w:trHeight w:val="225"/>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192,448</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18"/>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280,580</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275,550</w:t>
            </w: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Fixed costs related to excess manufacturing capacity, if any, have been expensed in the period they were incurred and, therefore, are not capitalized into inventory.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66"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30"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years and twenty years. Original terms for equipment-related leases, primarily manufacturing equipment and vehicles, are generally between one year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35"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7"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30"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presents the lease-related assets and liabilities recorded on the balance sheet at January 31, 2025 and October 31, 2024 (in thousands):</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18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740" w:type="dxa"/>
            <w:vAlign w:val="bottom"/>
          </w:tcPr>
          <w:p>
            <w:pPr>
              <w:jc w:val="center"/>
              <w:ind w:left="1729"/>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1320" w:type="dxa"/>
            <w:vAlign w:val="bottom"/>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0" w:type="dxa"/>
            <w:vAlign w:val="bottom"/>
          </w:tcPr>
          <w:p>
            <w:pPr>
              <w:spacing w:after="0"/>
              <w:rPr>
                <w:sz w:val="1"/>
                <w:szCs w:val="1"/>
                <w:color w:val="auto"/>
              </w:rPr>
            </w:pPr>
          </w:p>
        </w:tc>
      </w:tr>
      <w:tr>
        <w:trPr>
          <w:trHeight w:val="186"/>
        </w:trPr>
        <w:tc>
          <w:tcPr>
            <w:tcW w:w="134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374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8255</wp:posOffset>
            </wp:positionV>
            <wp:extent cx="7092950" cy="151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2950" cy="1511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4" w:lineRule="exact"/>
        <w:rPr>
          <w:sz w:val="20"/>
          <w:szCs w:val="20"/>
          <w:color w:val="auto"/>
        </w:rPr>
      </w:pPr>
    </w:p>
    <w:p>
      <w:pPr>
        <w:ind w:left="180"/>
        <w:spacing w:after="0" w:line="410" w:lineRule="auto"/>
        <w:rPr>
          <w:sz w:val="20"/>
          <w:szCs w:val="20"/>
          <w:color w:val="auto"/>
        </w:rPr>
      </w:pPr>
      <w:r>
        <w:rPr>
          <w:rFonts w:ascii="Times New Roman" w:cs="Times New Roman" w:eastAsia="Times New Roman" w:hAnsi="Times New Roman"/>
          <w:sz w:val="17"/>
          <w:szCs w:val="17"/>
          <w:color w:val="auto"/>
        </w:rPr>
        <w:t>Operating lease assets Finance lease assets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lease assets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126,715</w:t>
            </w:r>
          </w:p>
        </w:tc>
      </w:tr>
      <w:tr>
        <w:trPr>
          <w:trHeight w:val="190"/>
        </w:trPr>
        <w:tc>
          <w:tcPr>
            <w:tcW w:w="508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Property, plant and equipment (less accumulated depreciation of</w:t>
            </w: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9"/>
        </w:trPr>
        <w:tc>
          <w:tcPr>
            <w:tcW w:w="58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w w:val="95"/>
                <w:shd w:val="clear" w:color="auto" w:fill="CCEEFF"/>
              </w:rPr>
              <w:t>$11,715</w:t>
            </w:r>
          </w:p>
        </w:tc>
        <w:tc>
          <w:tcPr>
            <w:tcW w:w="4500" w:type="dxa"/>
            <w:vAlign w:val="bottom"/>
          </w:tcPr>
          <w:p>
            <w:pPr>
              <w:ind w:left="40"/>
              <w:spacing w:after="0" w:line="199" w:lineRule="exact"/>
              <w:rPr>
                <w:sz w:val="20"/>
                <w:szCs w:val="20"/>
                <w:color w:val="auto"/>
              </w:rPr>
            </w:pPr>
            <w:r>
              <w:rPr>
                <w:rFonts w:ascii="Times New Roman" w:cs="Times New Roman" w:eastAsia="Times New Roman" w:hAnsi="Times New Roman"/>
                <w:sz w:val="18"/>
                <w:szCs w:val="18"/>
                <w:color w:val="auto"/>
              </w:rPr>
              <w:t>and $10,362)</w:t>
            </w:r>
          </w:p>
        </w:tc>
        <w:tc>
          <w:tcPr>
            <w:tcW w:w="640" w:type="dxa"/>
            <w:vAlign w:val="bottom"/>
          </w:tcPr>
          <w:p>
            <w:pPr>
              <w:spacing w:after="0"/>
              <w:rPr>
                <w:sz w:val="17"/>
                <w:szCs w:val="17"/>
                <w:color w:val="auto"/>
              </w:rPr>
            </w:pPr>
          </w:p>
        </w:tc>
        <w:tc>
          <w:tcPr>
            <w:tcW w:w="12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67,601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67,046</w:t>
            </w:r>
          </w:p>
        </w:tc>
      </w:tr>
      <w:tr>
        <w:trPr>
          <w:trHeight w:val="26"/>
        </w:trPr>
        <w:tc>
          <w:tcPr>
            <w:tcW w:w="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192,603</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193,761</w:t>
            </w: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-444500</wp:posOffset>
            </wp:positionV>
            <wp:extent cx="7092950" cy="260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2950" cy="260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740" w:space="620"/>
            <w:col w:w="888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18"/>
        </w:trPr>
        <w:tc>
          <w:tcPr>
            <w:tcW w:w="19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5"/>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5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5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r>
      <w:tr>
        <w:trPr>
          <w:trHeight w:val="225"/>
        </w:trPr>
        <w:tc>
          <w:tcPr>
            <w:tcW w:w="1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5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25"/>
        </w:trPr>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w:t>
            </w:r>
          </w:p>
        </w:tc>
        <w:tc>
          <w:tcPr>
            <w:tcW w:w="5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1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5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117,560</w:t>
            </w:r>
          </w:p>
        </w:tc>
      </w:tr>
      <w:tr>
        <w:trPr>
          <w:trHeight w:val="225"/>
        </w:trPr>
        <w:tc>
          <w:tcPr>
            <w:tcW w:w="1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54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Long-term debt</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56,988</w:t>
            </w:r>
          </w:p>
        </w:tc>
      </w:tr>
      <w:tr>
        <w:trPr>
          <w:trHeight w:val="243"/>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188,037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190,711</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the components of lease costs for the three months ended January 31, 2025 and 2024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r>
      <w:tr>
        <w:trPr>
          <w:trHeight w:val="199"/>
        </w:trPr>
        <w:tc>
          <w:tcPr>
            <w:tcW w:w="7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0" w:type="dxa"/>
            <w:vAlign w:val="bottom"/>
          </w:tcPr>
          <w:p>
            <w:pPr>
              <w:spacing w:after="0"/>
              <w:rPr>
                <w:sz w:val="17"/>
                <w:szCs w:val="17"/>
                <w:color w:val="auto"/>
              </w:rPr>
            </w:pPr>
          </w:p>
        </w:tc>
      </w:tr>
      <w:tr>
        <w:trPr>
          <w:trHeight w:val="24"/>
        </w:trPr>
        <w:tc>
          <w:tcPr>
            <w:tcW w:w="7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8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199"/>
        </w:trPr>
        <w:tc>
          <w:tcPr>
            <w:tcW w:w="786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Finance lease cost</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5"/>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00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three months ended January 31, 2025 and 2024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r>
      <w:tr>
        <w:trPr>
          <w:trHeight w:val="199"/>
        </w:trPr>
        <w:tc>
          <w:tcPr>
            <w:tcW w:w="7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60" w:type="dxa"/>
            <w:vAlign w:val="bottom"/>
          </w:tcPr>
          <w:p>
            <w:pPr>
              <w:spacing w:after="0"/>
              <w:rPr>
                <w:sz w:val="17"/>
                <w:szCs w:val="17"/>
                <w:color w:val="auto"/>
              </w:rPr>
            </w:pPr>
          </w:p>
        </w:tc>
      </w:tr>
      <w:tr>
        <w:trPr>
          <w:trHeight w:val="24"/>
        </w:trPr>
        <w:tc>
          <w:tcPr>
            <w:tcW w:w="74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5"/>
        </w:trPr>
        <w:tc>
          <w:tcPr>
            <w:tcW w:w="7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5"/>
        </w:trPr>
        <w:tc>
          <w:tcPr>
            <w:tcW w:w="74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6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Pr>
          <w:p>
            <w:pPr>
              <w:spacing w:after="0"/>
              <w:rPr>
                <w:sz w:val="19"/>
                <w:szCs w:val="19"/>
                <w:color w:val="auto"/>
              </w:rPr>
            </w:pPr>
          </w:p>
        </w:tc>
        <w:tc>
          <w:tcPr>
            <w:tcW w:w="6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65"/>
        </w:trPr>
        <w:tc>
          <w:tcPr>
            <w:tcW w:w="74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199"/>
        </w:trPr>
        <w:tc>
          <w:tcPr>
            <w:tcW w:w="74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6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bl>
    <w:p>
      <w:pPr>
        <w:spacing w:after="0" w:line="242"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The table below presents the weighted-average remaining lease terms and weighted-average discount rates for the Company's leases as of January 31, 2025 and October 31, 2024:</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2"/>
        </w:trPr>
        <w:tc>
          <w:tcPr>
            <w:tcW w:w="2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5"/>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65"/>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5"/>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r>
      <w:tr>
        <w:trPr>
          <w:trHeight w:val="225"/>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r>
      <w:tr>
        <w:trPr>
          <w:trHeight w:val="476"/>
        </w:trPr>
        <w:tc>
          <w:tcPr>
            <w:tcW w:w="20" w:type="dxa"/>
            <w:vAlign w:val="bottom"/>
          </w:tcPr>
          <w:p>
            <w:pPr>
              <w:spacing w:after="0"/>
              <w:rPr>
                <w:sz w:val="24"/>
                <w:szCs w:val="24"/>
                <w:color w:val="auto"/>
              </w:rPr>
            </w:pPr>
          </w:p>
        </w:tc>
        <w:tc>
          <w:tcPr>
            <w:tcW w:w="7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The table below presents the maturity of the lease liabilities as of January 31, 2025 (in thousands):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0"/>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4"/>
        </w:trPr>
        <w:tc>
          <w:tcPr>
            <w:tcW w:w="20" w:type="dxa"/>
            <w:vAlign w:val="bottom"/>
          </w:tcPr>
          <w:p>
            <w:pPr>
              <w:spacing w:after="0"/>
              <w:rPr>
                <w:sz w:val="2"/>
                <w:szCs w:val="2"/>
                <w:color w:val="auto"/>
              </w:rPr>
            </w:pPr>
          </w:p>
        </w:tc>
        <w:tc>
          <w:tcPr>
            <w:tcW w:w="74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w:t>
            </w:r>
          </w:p>
        </w:tc>
      </w:tr>
      <w:tr>
        <w:trPr>
          <w:trHeight w:val="225"/>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25"/>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r>
      <w:tr>
        <w:trPr>
          <w:trHeight w:val="225"/>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25"/>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r>
      <w:tr>
        <w:trPr>
          <w:trHeight w:val="225"/>
        </w:trPr>
        <w:tc>
          <w:tcPr>
            <w:tcW w:w="20" w:type="dxa"/>
            <w:vAlign w:val="bottom"/>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93,953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55,850</w:t>
            </w:r>
          </w:p>
        </w:tc>
      </w:tr>
      <w:tr>
        <w:trPr>
          <w:trHeight w:val="218"/>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172,173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85,276</w:t>
            </w:r>
          </w:p>
        </w:tc>
      </w:tr>
      <w:tr>
        <w:trPr>
          <w:trHeight w:val="225"/>
        </w:trPr>
        <w:tc>
          <w:tcPr>
            <w:tcW w:w="20" w:type="dxa"/>
            <w:vAlign w:val="bottom"/>
          </w:tcPr>
          <w:p>
            <w:pPr>
              <w:spacing w:after="0"/>
              <w:rPr>
                <w:sz w:val="19"/>
                <w:szCs w:val="19"/>
                <w:color w:val="auto"/>
              </w:rPr>
            </w:pPr>
          </w:p>
        </w:tc>
        <w:tc>
          <w:tcPr>
            <w:tcW w:w="7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26,031</w:t>
            </w:r>
          </w:p>
        </w:tc>
      </w:tr>
      <w:tr>
        <w:trPr>
          <w:trHeight w:val="243"/>
        </w:trPr>
        <w:tc>
          <w:tcPr>
            <w:tcW w:w="20" w:type="dxa"/>
            <w:vAlign w:val="bottom"/>
          </w:tcPr>
          <w:p>
            <w:pPr>
              <w:spacing w:after="0"/>
              <w:rPr>
                <w:sz w:val="20"/>
                <w:szCs w:val="20"/>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128,792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59,245</w:t>
            </w: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January 31, 2025 and October 31, 2024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1"/>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99,068</w:t>
            </w: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186,087</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462,628</w:t>
            </w:r>
          </w:p>
        </w:tc>
      </w:tr>
      <w:tr>
        <w:trPr>
          <w:trHeight w:val="225"/>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46,534</w:t>
            </w:r>
          </w:p>
        </w:tc>
      </w:tr>
      <w:tr>
        <w:trPr>
          <w:trHeight w:val="21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794,317</w:t>
            </w:r>
          </w:p>
        </w:tc>
      </w:tr>
      <w:tr>
        <w:trPr>
          <w:trHeight w:val="225"/>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363,201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391,851</w:t>
            </w:r>
          </w:p>
        </w:tc>
      </w:tr>
      <w:tr>
        <w:trPr>
          <w:trHeight w:val="243"/>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391,118</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402,466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expense for the three months ended January 31, 2025 of $13.9 million and $7.9 million for the comparable prior year period.</w:t>
      </w:r>
    </w:p>
    <w:p>
      <w:pPr>
        <w:spacing w:after="0" w:line="16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reported balances of our property, plant and equipment as of January 31, 2025 have been updated to incorporate reclassifications of balances between categories of assets and between gross and accumulated depreciation values. These reclassifications are immaterial to the current and prior period financial statements.</w:t>
      </w:r>
    </w:p>
    <w:p>
      <w:pPr>
        <w:spacing w:after="0" w:line="12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If there are indicators of potential impairment, we evaluate our property, plant and equipment for recoverability over the remaining useful lives of the assets. We did not incur impairment losses associated with these assets for the periods ended January 31, 2025 and October 31,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 in the carrying amount of goodwill for the three months ended January 31, 2025 was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9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2024</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574,711</w:t>
            </w:r>
          </w:p>
        </w:tc>
      </w:tr>
      <w:tr>
        <w:trPr>
          <w:trHeight w:val="225"/>
        </w:trPr>
        <w:tc>
          <w:tcPr>
            <w:tcW w:w="9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43"/>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569,688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At our last annual test date, August 31, 2024, we evaluated the recoverability of goodwill at each of our seven reporting units with goodwill balances and determined that our goodwill was not impaired. We evaluated for indicators of impairment for all reporting units during the three months ended January 31, 2025 and determined that there were no triggering events. For additional information and discussion of change in reporting units and a summary of the change in the carrying amount of goodwill by segment, see Note 14,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January 31, 2025 and October 31, 2024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80" w:type="dxa"/>
            <w:vAlign w:val="bottom"/>
          </w:tcPr>
          <w:p>
            <w:pPr>
              <w:spacing w:after="0"/>
              <w:rPr>
                <w:sz w:val="16"/>
                <w:szCs w:val="16"/>
                <w:color w:val="auto"/>
              </w:rPr>
            </w:pPr>
          </w:p>
        </w:tc>
        <w:tc>
          <w:tcPr>
            <w:tcW w:w="284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4"/>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7"/>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2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8"/>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38"/>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1"/>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507,128</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120,250</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512,131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112,748</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243,434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47,685</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w:t>
            </w:r>
          </w:p>
        </w:tc>
      </w:tr>
      <w:tr>
        <w:trPr>
          <w:trHeight w:val="218"/>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773,371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193,290</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780,729</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182,820</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had aggregate amortization expense related to intangible assets for the three months ended January 31, 2025 of $10.6 million and $3.2 million for the comparable prior year period.</w:t>
      </w:r>
    </w:p>
    <w:p>
      <w:pPr>
        <w:spacing w:after="0" w:line="1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January 31, 2025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15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860" cy="168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and Finance Lease Obligations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Long-term debt consisted of the following at January 31, 2025 and October 31, 2024 (in thousands):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98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92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2"/>
        </w:trPr>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19"/>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29,155</w:t>
            </w:r>
          </w:p>
        </w:tc>
      </w:tr>
      <w:tr>
        <w:trPr>
          <w:trHeight w:val="225"/>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38,705</w:t>
            </w:r>
          </w:p>
        </w:tc>
      </w:tr>
      <w:tr>
        <w:trPr>
          <w:trHeight w:val="225"/>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38,705</w:t>
            </w:r>
          </w:p>
        </w:tc>
      </w:tr>
      <w:tr>
        <w:trPr>
          <w:trHeight w:val="225"/>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33,472</w:t>
            </w:r>
          </w:p>
        </w:tc>
      </w:tr>
      <w:tr>
        <w:trPr>
          <w:trHeight w:val="225"/>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33,456</w:t>
            </w:r>
          </w:p>
        </w:tc>
      </w:tr>
      <w:tr>
        <w:trPr>
          <w:trHeight w:val="230"/>
        </w:trPr>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406,588</w:t>
            </w:r>
          </w:p>
        </w:tc>
      </w:tr>
      <w:tr>
        <w:trPr>
          <w:trHeight w:val="219"/>
        </w:trPr>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580,081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4"/>
          <w:szCs w:val="14"/>
          <w:b w:val="1"/>
          <w:bCs w:val="1"/>
          <w:color w:val="auto"/>
        </w:rPr>
        <w:t>January 31,</w:t>
      </w:r>
      <w:r>
        <w:rPr>
          <w:sz w:val="20"/>
          <w:szCs w:val="20"/>
          <w:color w:val="auto"/>
        </w:rPr>
        <w:tab/>
      </w:r>
      <w:r>
        <w:rPr>
          <w:rFonts w:ascii="Times New Roman" w:cs="Times New Roman" w:eastAsia="Times New Roman" w:hAnsi="Times New Roman"/>
          <w:sz w:val="13"/>
          <w:szCs w:val="13"/>
          <w:b w:val="1"/>
          <w:bCs w:val="1"/>
          <w:color w:val="auto"/>
        </w:rPr>
        <w:t>October 31,</w:t>
      </w:r>
    </w:p>
    <w:p>
      <w:pPr>
        <w:spacing w:after="0" w:line="3" w:lineRule="exact"/>
        <w:rPr>
          <w:sz w:val="20"/>
          <w:szCs w:val="20"/>
          <w:color w:val="auto"/>
        </w:rPr>
      </w:pPr>
    </w:p>
    <w:p>
      <w:pPr>
        <w:ind w:left="22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7" w:lineRule="exact"/>
        <w:rPr>
          <w:sz w:val="20"/>
          <w:szCs w:val="20"/>
          <w:color w:val="auto"/>
        </w:rPr>
      </w:pPr>
    </w:p>
    <w:p>
      <w:pPr>
        <w:sectPr>
          <w:pgSz w:w="11900" w:h="16838" w:orient="portrait"/>
          <w:cols w:equalWidth="0" w:num="2">
            <w:col w:w="7520" w:space="560"/>
            <w:col w:w="31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Facility</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493,750</w:t>
            </w:r>
          </w:p>
        </w:tc>
      </w:tr>
      <w:tr>
        <w:trPr>
          <w:trHeight w:val="225"/>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222,500</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59,306</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60,676</w:t>
            </w:r>
          </w:p>
        </w:tc>
      </w:tr>
      <w:tr>
        <w:trPr>
          <w:trHeight w:val="225"/>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w:t>
            </w:r>
          </w:p>
        </w:tc>
      </w:tr>
      <w:tr>
        <w:trPr>
          <w:trHeight w:val="218"/>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751,058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762,943</w:t>
            </w:r>
          </w:p>
        </w:tc>
      </w:tr>
      <w:tr>
        <w:trPr>
          <w:trHeight w:val="225"/>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25,745</w:t>
            </w:r>
          </w:p>
        </w:tc>
      </w:tr>
      <w:tr>
        <w:trPr>
          <w:trHeight w:val="243"/>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725,231</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737,198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A Facility</w:t>
      </w:r>
    </w:p>
    <w:p>
      <w:pPr>
        <w:spacing w:after="0" w:line="113"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 Our previous credit facility is more fully described in our Annual Report on Form 10-K for the fiscal year ended October 31, 2024.</w:t>
      </w:r>
    </w:p>
    <w:p>
      <w:pPr>
        <w:spacing w:after="0" w:line="8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provides for a senior secured term loan A facility in an aggregate principal amount of $500 million (the “Term A Facility” and together with the Revolving Credit Facility, the “Facilities”).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Revolving Credit Facility includes alternative currency, letter of credit, and swing-line sub-facilities of $100 million, $30 million, and $15 million, respectively. We capitalized $13.8 million of deferred financing fees related to the Amended Credit Agreement. The maturity date of the Facilities is five years after the acquisition effective date, maturing on August 1, 2029.</w:t>
      </w:r>
    </w:p>
    <w:p>
      <w:pPr>
        <w:spacing w:after="0" w:line="7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7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pacing w:after="0" w:line="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3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Consolidated Net Leverage Ratio</w:t>
            </w:r>
          </w:p>
        </w:tc>
        <w:tc>
          <w:tcPr>
            <w:tcW w:w="20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 Eurocurrency</w:t>
            </w: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Base Rate Loans</w:t>
            </w:r>
          </w:p>
        </w:tc>
        <w:tc>
          <w:tcPr>
            <w:tcW w:w="0" w:type="dxa"/>
            <w:vAlign w:val="bottom"/>
          </w:tcPr>
          <w:p>
            <w:pPr>
              <w:spacing w:after="0"/>
              <w:rPr>
                <w:sz w:val="1"/>
                <w:szCs w:val="1"/>
                <w:color w:val="auto"/>
              </w:rPr>
            </w:pPr>
          </w:p>
        </w:tc>
      </w:tr>
      <w:tr>
        <w:trPr>
          <w:trHeight w:val="188"/>
        </w:trPr>
        <w:tc>
          <w:tcPr>
            <w:tcW w:w="1380" w:type="dxa"/>
            <w:vAlign w:val="bottom"/>
            <w:vMerge w:val="continue"/>
          </w:tcPr>
          <w:p>
            <w:pPr>
              <w:spacing w:after="0"/>
              <w:rPr>
                <w:sz w:val="16"/>
                <w:szCs w:val="16"/>
                <w:color w:val="auto"/>
              </w:rPr>
            </w:pPr>
          </w:p>
        </w:tc>
        <w:tc>
          <w:tcPr>
            <w:tcW w:w="330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Loans and RFR Loans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III</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7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0.150%</w:t>
            </w:r>
          </w:p>
        </w:tc>
        <w:tc>
          <w:tcPr>
            <w:tcW w:w="140" w:type="dxa"/>
            <w:vAlign w:val="bottom"/>
          </w:tcPr>
          <w:p>
            <w:pPr>
              <w:spacing w:after="0"/>
              <w:rPr>
                <w:sz w:val="21"/>
                <w:szCs w:val="21"/>
                <w:color w:val="auto"/>
              </w:rPr>
            </w:pPr>
          </w:p>
        </w:tc>
        <w:tc>
          <w:tcPr>
            <w:tcW w:w="2280" w:type="dxa"/>
            <w:vAlign w:val="bottom"/>
            <w:tcBorders>
              <w:top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1"/>
                <w:szCs w:val="21"/>
                <w:color w:val="auto"/>
              </w:rPr>
            </w:pPr>
          </w:p>
        </w:tc>
        <w:tc>
          <w:tcPr>
            <w:tcW w:w="17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1.00%</w:t>
            </w:r>
          </w:p>
        </w:tc>
      </w:tr>
      <w:tr>
        <w:trPr>
          <w:trHeight w:val="312"/>
        </w:trPr>
        <w:tc>
          <w:tcPr>
            <w:tcW w:w="1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0.175%</w:t>
            </w:r>
          </w:p>
        </w:tc>
        <w:tc>
          <w:tcPr>
            <w:tcW w:w="140" w:type="dxa"/>
            <w:vAlign w:val="bottom"/>
          </w:tcPr>
          <w:p>
            <w:pPr>
              <w:spacing w:after="0"/>
              <w:rPr>
                <w:sz w:val="24"/>
                <w:szCs w:val="24"/>
                <w:color w:val="auto"/>
              </w:rPr>
            </w:pPr>
          </w:p>
        </w:tc>
        <w:tc>
          <w:tcPr>
            <w:tcW w:w="228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4"/>
                <w:szCs w:val="24"/>
                <w:color w:val="auto"/>
              </w:rPr>
            </w:pPr>
          </w:p>
        </w:tc>
        <w:tc>
          <w:tcPr>
            <w:tcW w:w="1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1.25%</w:t>
            </w:r>
          </w:p>
        </w:tc>
      </w:tr>
      <w:tr>
        <w:trPr>
          <w:trHeight w:val="410"/>
        </w:trPr>
        <w:tc>
          <w:tcPr>
            <w:tcW w:w="1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0.200%</w:t>
            </w:r>
          </w:p>
        </w:tc>
        <w:tc>
          <w:tcPr>
            <w:tcW w:w="140" w:type="dxa"/>
            <w:vAlign w:val="bottom"/>
          </w:tcPr>
          <w:p>
            <w:pPr>
              <w:spacing w:after="0"/>
              <w:rPr>
                <w:sz w:val="24"/>
                <w:szCs w:val="24"/>
                <w:color w:val="auto"/>
              </w:rPr>
            </w:pPr>
          </w:p>
        </w:tc>
        <w:tc>
          <w:tcPr>
            <w:tcW w:w="228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4"/>
                <w:szCs w:val="24"/>
                <w:color w:val="auto"/>
              </w:rPr>
            </w:pPr>
          </w:p>
        </w:tc>
        <w:tc>
          <w:tcPr>
            <w:tcW w:w="1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1.50%</w:t>
            </w:r>
          </w:p>
        </w:tc>
      </w:tr>
      <w:tr>
        <w:trPr>
          <w:trHeight w:val="318"/>
        </w:trPr>
        <w:tc>
          <w:tcPr>
            <w:tcW w:w="1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0.250%</w:t>
            </w:r>
          </w:p>
        </w:tc>
        <w:tc>
          <w:tcPr>
            <w:tcW w:w="140" w:type="dxa"/>
            <w:vAlign w:val="bottom"/>
          </w:tcPr>
          <w:p>
            <w:pPr>
              <w:spacing w:after="0"/>
              <w:rPr>
                <w:sz w:val="24"/>
                <w:szCs w:val="24"/>
                <w:color w:val="auto"/>
              </w:rPr>
            </w:pPr>
          </w:p>
        </w:tc>
        <w:tc>
          <w:tcPr>
            <w:tcW w:w="228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24"/>
                <w:szCs w:val="24"/>
                <w:color w:val="auto"/>
              </w:rPr>
            </w:pPr>
          </w:p>
        </w:tc>
        <w:tc>
          <w:tcPr>
            <w:tcW w:w="1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-401955</wp:posOffset>
            </wp:positionV>
            <wp:extent cx="7134860" cy="260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26035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-814070</wp:posOffset>
            </wp:positionV>
            <wp:extent cx="7134860" cy="151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0" w:space="580"/>
            <w:col w:w="3520" w:space="460"/>
            <w:col w:w="6080"/>
          </w:cols>
          <w:pgMar w:left="320" w:top="121" w:right="339" w:bottom="1440" w:gutter="0" w:footer="0" w:header="0"/>
          <w:type w:val="continuous"/>
        </w:sectPr>
      </w:pPr>
    </w:p>
    <w:p>
      <w:pPr>
        <w:spacing w:after="0" w:line="21"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10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Amended Credit Agreement provides for incremental revolving credit commitments for a minimum principal amount of (1) $310.0 million and (2) 100% of Consolidated EBITDA, subject to the lender's discretion to elect or decline the incremental increase. We can also borrow up to the lesser of $15.0 million or the revolving credit commitment, as defined, under a Swingline feature of the Amended Credit Agreement.</w:t>
      </w:r>
    </w:p>
    <w:p>
      <w:pPr>
        <w:spacing w:after="0" w:line="11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100"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to maintaining these financial covenants, the Facilities also limit our ability to enter into certain business transactions, such as to incur indebtedness or liens, to acquire businesses or dispose of material assets, make restricted payments, pay dividends (limited to $35.0 million per year) and other transactions as further defined in the Amended Credit Agreement. Some of these limitations, however, do not take effect so long as Consolidated Net Leverage Ratio is less than or equal to 2.75 to 1.00 and available liquidity exceeds $25.0 million. Substantially all of our domestic assets, with the exception of real property, are used as collateral for the Amended Credit Agreement.</w:t>
      </w:r>
    </w:p>
    <w:p>
      <w:pPr>
        <w:spacing w:after="0" w:line="12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As of January 31, 2025, we had $705.0 million borrowings outstanding under the Facilities, unamortized debt issuance costs of $13.2 million, $6.0 million of outstanding letters of credit and $59.3 million outstanding primarily under finance leases and other debt. We had $251.5 million available for use under the Facilities at January 31, 2025. The borrowings outstanding as of January 31, 2025 under the Facilities accrue interest at 6.91% per annum, and our weighted-average borrowing rate for borrowings outstanding during the three months ended January 31, 2025 and 2024 was 6.85% and 6.69%, respectively. We were in compliance with our debt covenants as of January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Plans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maintain a non-qualified deferred compensation plan covering members of the Board of Directors and certain key employees. As of January 31, 2025 and October 31, 2024, the liability associated with the deferred compensation plan was approximately $4.2 million and $4.7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66"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increases or decreases in valuation allowances on deferred tax assets. Our estimated annual effective tax rates from continuing operations for the three months ended January 31, 2025 and 2024 were 25.3% and 20.8%, respectively. The difference between our estimated annual effective income tax rate and the U.S. federal statutory rate of 21% principally results from discrete tax items, U.S. state taxes, a non-U.S. tax rate differential and other permanent differences. The primary discrete items affecting the 2025 effective rate were the benefit of $0.4 million related to the vesting or exercise of equity-based compensation awards. The primary discrete item affecting the 2024 effective rate were the benefit of $0.4 million related to the vesting or exercise of equity-based compensation awards, and a charge of $0.6 million related to the true up of the deferred tax rate.</w:t>
      </w:r>
    </w:p>
    <w:p>
      <w:pPr>
        <w:spacing w:after="0" w:line="140"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evaluate the likelihood of realization of our deferred tax assets by considering both positive and negative evidence. We maintain a valuation allowance for certain state net operating losses which totaled $0.8 million as of January 31, 2025 and October 31, 2024, respectively. We also maintain a valuation allowance for capital losses which totaled $3.3 million as of January 31, 2025 and October 31, 2024,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Contingencies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spacing w:after="0" w:line="130"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2025.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38"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 of Assets and Liabilities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7" w:lineRule="exact"/>
        <w:rPr>
          <w:sz w:val="20"/>
          <w:szCs w:val="20"/>
          <w:color w:val="auto"/>
        </w:rPr>
      </w:pPr>
    </w:p>
    <w:p>
      <w:pPr>
        <w:ind w:left="480" w:hanging="156"/>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0" w:lineRule="exact"/>
        <w:rPr>
          <w:rFonts w:ascii="Times New Roman" w:cs="Times New Roman" w:eastAsia="Times New Roman" w:hAnsi="Times New Roman"/>
          <w:sz w:val="18"/>
          <w:szCs w:val="18"/>
          <w:color w:val="auto"/>
        </w:rPr>
      </w:pPr>
    </w:p>
    <w:p>
      <w:pPr>
        <w:jc w:val="both"/>
        <w:ind w:left="480" w:hanging="156"/>
        <w:spacing w:after="0" w:line="254"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6"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11"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January 31, 2025, and October 31, 2024 (Level 2 measurement).</w:t>
      </w:r>
    </w:p>
    <w:p>
      <w:pPr>
        <w:spacing w:after="0" w:line="130"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As of January 31, 2025, we have outstanding forward foreign exchange contracts to hedge our foreign currency exposures against the U.S. Dollar (“USD”) to Great British Pound (“GBP”), with a notional principal amount of $8.3 million, and foreign currency exposures against the Mexican Peso (“MXN”) to USD, with a notional principal amount of $18.0 million. Hedge accounting is not applied to our forward exchange contracts. These contracts have a range of maturities up to May 19, 2025. Our forward foreign exchange contracts are adjusted to fair value by recording gains and losses to “Other, net,” and we record the related asset or liability to “Other Assets” or “Current Liabilities” in the accompanying condensed consolidated statement of income and condensed consolidated balance sheets, respectively. During the three months ended January 31, 2025 and 2024, we recognized a net gain of $0.1 million and zero, respectively, related to our forward foreign exchange contracts. The value of our forward foreign exchange contracts fluctuates based on exchange rate fluctuations against the USD to GBP, and the MXN to USD (Level 2 measurements).</w:t>
      </w:r>
    </w:p>
    <w:p>
      <w:pPr>
        <w:spacing w:after="0" w:line="13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Our performance share awards are marked-to-market on a quarterly basis during a three-year vesting period based on market data (Level 2 measurement). For further information, refer to Note 11, “Stock-Based Compensation - Performance Share Awards.”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6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7"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66"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and quarterly dividends are not paid until the award vests.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non-vested restricted stock awards activity during the three months ended January 31, 2025 is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8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2024</w:t>
            </w:r>
          </w:p>
        </w:tc>
        <w:tc>
          <w:tcPr>
            <w:tcW w:w="18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236,800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25"/>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101,700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(84,100)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January 31, 2025</w:t>
            </w:r>
          </w:p>
        </w:tc>
        <w:tc>
          <w:tcPr>
            <w:tcW w:w="18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254,400</w:t>
            </w:r>
          </w:p>
        </w:tc>
        <w:tc>
          <w:tcPr>
            <w:tcW w:w="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total weighted-average grant-date fair value of restricted stock awards that vested during each of the three months ended January 31, 2025 and 2024 was $1.9 million and $1.4 million, respectively. As of January 31, 2025, total unrecognized compensation cost related to unamortized restricted stock awards was $4.8 million. We expect to recognize this expense over the remaining weighted-average vesting period of 2.3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 stock option expense ratably over the shorter of the vesting period or the period from the grant-date to the retirement-eligibility date.</w:t>
      </w:r>
    </w:p>
    <w:p>
      <w:pPr>
        <w:spacing w:after="0" w:line="13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use a Black-Scholes pricing model to estimate the fair value of stock options. A description of the methodology for the valuation assumptions was disclosed in our Annual Report on Form 10-K for the fiscal year ended October 31, 2024.</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three months ended January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80" w:type="dxa"/>
            <w:vAlign w:val="bottom"/>
          </w:tcPr>
          <w:p>
            <w:pPr>
              <w:spacing w:after="0"/>
              <w:rPr>
                <w:sz w:val="13"/>
                <w:szCs w:val="13"/>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80" w:type="dxa"/>
            <w:vAlign w:val="bottom"/>
          </w:tcPr>
          <w:p>
            <w:pPr>
              <w:spacing w:after="0"/>
              <w:rPr>
                <w:sz w:val="12"/>
                <w:szCs w:val="12"/>
                <w:color w:val="auto"/>
              </w:rPr>
            </w:pPr>
          </w:p>
        </w:tc>
        <w:tc>
          <w:tcPr>
            <w:tcW w:w="1120" w:type="dxa"/>
            <w:vAlign w:val="bottom"/>
          </w:tcPr>
          <w:p>
            <w:pPr>
              <w:jc w:val="center"/>
              <w:ind w:right="121"/>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180" w:type="dxa"/>
            <w:vAlign w:val="bottom"/>
          </w:tcPr>
          <w:p>
            <w:pPr>
              <w:spacing w:after="0"/>
              <w:rPr>
                <w:sz w:val="16"/>
                <w:szCs w:val="16"/>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Value (000s)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78,250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(9,300)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2025</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68,950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Vested at January 31, 2025</w:t>
            </w:r>
          </w:p>
        </w:tc>
        <w:tc>
          <w:tcPr>
            <w:tcW w:w="1520" w:type="dxa"/>
            <w:vAlign w:val="bottom"/>
            <w:tcBorders>
              <w:bottom w:val="single" w:sz="8" w:color="auto"/>
            </w:tcBorders>
          </w:tcPr>
          <w:p>
            <w:pPr>
              <w:ind w:left="980"/>
              <w:spacing w:after="0" w:line="198" w:lineRule="exact"/>
              <w:rPr>
                <w:sz w:val="20"/>
                <w:szCs w:val="20"/>
                <w:color w:val="auto"/>
              </w:rPr>
            </w:pPr>
            <w:r>
              <w:rPr>
                <w:rFonts w:ascii="Times New Roman" w:cs="Times New Roman" w:eastAsia="Times New Roman" w:hAnsi="Times New Roman"/>
                <w:sz w:val="18"/>
                <w:szCs w:val="18"/>
                <w:color w:val="auto"/>
              </w:rPr>
              <w:t>68,950</w:t>
            </w:r>
          </w:p>
        </w:tc>
        <w:tc>
          <w:tcPr>
            <w:tcW w:w="3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19.38</w:t>
            </w:r>
          </w:p>
        </w:tc>
        <w:tc>
          <w:tcPr>
            <w:tcW w:w="200" w:type="dxa"/>
            <w:vAlign w:val="bottom"/>
          </w:tcPr>
          <w:p>
            <w:pPr>
              <w:spacing w:after="0"/>
              <w:rPr>
                <w:sz w:val="17"/>
                <w:szCs w:val="17"/>
                <w:color w:val="auto"/>
              </w:rPr>
            </w:pPr>
          </w:p>
        </w:tc>
        <w:tc>
          <w:tcPr>
            <w:tcW w:w="1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January 31, 2025</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68,950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17"/>
          <w:szCs w:val="17"/>
          <w:color w:val="auto"/>
        </w:rPr>
        <w:t>Intrinsic value is the amount by which the market price of the common stock on the date of exercise exceeds the exercise price of the stock option. The total intrinsic value of stock options exercised during the three months ended January 31, 2025 and 2024 was $0.1 million and $0.2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6" w:lineRule="exact"/>
        <w:rPr>
          <w:sz w:val="20"/>
          <w:szCs w:val="20"/>
          <w:color w:val="auto"/>
        </w:rPr>
      </w:pPr>
    </w:p>
    <w:p>
      <w:pPr>
        <w:jc w:val="both"/>
        <w:ind w:firstLine="437"/>
        <w:spacing w:after="0" w:line="249"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During the three months ended January 31, 2025 and 2024, non-employee directors received 28,240 and 26,215 restricted stock units, respectively, at a weighted-average grant date fair value of $29.02 per share and $20.67 per share, respectively, which vested immediately. During the three months ended January 31, 2025 and 2024, 39,871 and zero restricted stock units, which were awarded to key employees, vested, respectively. During the three months ended January 31, 2025, we paid $1.0 million and $0.1 million for the comparable prior year to settle vested restricted stock units.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The performance share awards granted in December 2022 and December 2023 vest with return on net assets (RONA) as the vesting condition and pay out 100% in cash, and are accounted for as liability. The performance share awards granted in December 2024 vest with adjusted earnings per share performance as the vesting condition and RONA as a performance modifier and pay out 100% in cash, and are accounted for as a liability.</w:t>
      </w:r>
    </w:p>
    <w:p>
      <w:pPr>
        <w:spacing w:after="0" w:line="130"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December 2022 and December 2023 awarded performance shares may ultimately vest and 0% to 250% of the December 2024 performance share may ultimately vest.</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performance metrics: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6"/>
        </w:trPr>
        <w:tc>
          <w:tcPr>
            <w:tcW w:w="78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5"/>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December 2024, 78,589 shares vested pursuant to the December 2021 grant, which were settled with a cash payment of $2.4 million.</w:t>
      </w:r>
    </w:p>
    <w:p>
      <w:pPr>
        <w:spacing w:after="0" w:line="16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30"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4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19"/>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5"/>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6"/>
        </w:trPr>
        <w:tc>
          <w:tcPr>
            <w:tcW w:w="78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25"/>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January 31, 2025, 69,825 performance restricted stock units vested.</w:t>
      </w:r>
    </w:p>
    <w:p>
      <w:pPr>
        <w:spacing w:after="0" w:line="16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January 31, 2025, we have deemed 34,606 shares related to the December 2022 grant of performance restricted stock units as probable to vest.</w:t>
      </w:r>
    </w:p>
    <w:p>
      <w:pPr>
        <w:spacing w:after="0" w:line="200" w:lineRule="exact"/>
        <w:rPr>
          <w:sz w:val="20"/>
          <w:szCs w:val="20"/>
          <w:color w:val="auto"/>
        </w:rPr>
      </w:pPr>
    </w:p>
    <w:p>
      <w:pPr>
        <w:spacing w:after="0" w:line="324"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The following table summarizes amounts expensed as selling, general and administrative expense related to restricted stock awards, stock options, restricted stock units, performance share awards and performance restricted stock units for the three months ended January 31, 2025 and 2024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440" w:type="dxa"/>
            <w:vAlign w:val="bottom"/>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r>
      <w:tr>
        <w:trPr>
          <w:trHeight w:val="199"/>
        </w:trPr>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3"/>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520" w:type="dxa"/>
            <w:vAlign w:val="bottom"/>
          </w:tcPr>
          <w:p>
            <w:pPr>
              <w:spacing w:after="0"/>
              <w:rPr>
                <w:sz w:val="17"/>
                <w:szCs w:val="17"/>
                <w:color w:val="auto"/>
              </w:rPr>
            </w:pPr>
          </w:p>
        </w:tc>
      </w:tr>
      <w:tr>
        <w:trPr>
          <w:trHeight w:val="24"/>
        </w:trPr>
        <w:tc>
          <w:tcPr>
            <w:tcW w:w="8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3"/>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6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three months ended January 31, 2025.</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treasury stock activity during the three months ended January 31,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2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9060" w:type="dxa"/>
            <w:vAlign w:val="bottom"/>
          </w:tcPr>
          <w:p>
            <w:pPr>
              <w:spacing w:after="0"/>
              <w:rPr>
                <w:sz w:val="17"/>
                <w:szCs w:val="17"/>
                <w:color w:val="auto"/>
              </w:rPr>
            </w:pPr>
          </w:p>
        </w:tc>
        <w:tc>
          <w:tcPr>
            <w:tcW w:w="21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90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2024</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4,014,431</w:t>
            </w:r>
          </w:p>
        </w:tc>
      </w:tr>
      <w:tr>
        <w:trPr>
          <w:trHeight w:val="225"/>
        </w:trPr>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(101,700)</w:t>
            </w:r>
          </w:p>
        </w:tc>
      </w:tr>
      <w:tr>
        <w:trPr>
          <w:trHeight w:val="225"/>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(69,825)</w:t>
            </w:r>
          </w:p>
        </w:tc>
      </w:tr>
      <w:tr>
        <w:trPr>
          <w:trHeight w:val="225"/>
        </w:trPr>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r>
      <w:tr>
        <w:trPr>
          <w:trHeight w:val="225"/>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repurchases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3,983,606</w:t>
            </w:r>
          </w:p>
        </w:tc>
      </w:tr>
      <w:tr>
        <w:trPr>
          <w:trHeight w:val="20"/>
        </w:trPr>
        <w:tc>
          <w:tcPr>
            <w:tcW w:w="90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net</w:t>
      </w:r>
    </w:p>
    <w:p>
      <w:pPr>
        <w:spacing w:after="0" w:line="166"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Other, net on the condensed consolidated statements of income consisted of the following for the three months ended January 31, 2025 and 2024 (in thousands):</w:t>
      </w:r>
    </w:p>
    <w:p>
      <w:pPr>
        <w:spacing w:after="0" w:line="135"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r>
      <w:tr>
        <w:trPr>
          <w:trHeight w:val="199"/>
        </w:trPr>
        <w:tc>
          <w:tcPr>
            <w:tcW w:w="7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0" w:type="dxa"/>
            <w:vAlign w:val="bottom"/>
          </w:tcPr>
          <w:p>
            <w:pPr>
              <w:spacing w:after="0"/>
              <w:rPr>
                <w:sz w:val="17"/>
                <w:szCs w:val="17"/>
                <w:color w:val="auto"/>
              </w:rPr>
            </w:pPr>
          </w:p>
        </w:tc>
      </w:tr>
      <w:tr>
        <w:trPr>
          <w:trHeight w:val="24"/>
        </w:trPr>
        <w:tc>
          <w:tcPr>
            <w:tcW w:w="7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7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 gains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service benefit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5"/>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5"/>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66"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We present four reportable segments in accordance with ASC Topic 280-10-50, “Segment Reporting” (ASC 280):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and conservatories, and the European insulating glass business manufacturing insulating glass spacers; (3) NA Cabinet Components, comprising our cabinet door and components segment; and (4) Tyman, which was acquired on August 1 2024, comprising a leading international supplier of engineered fenestration components and access solutions to the construction industry.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The accounting policies of our operating segments are the same as those used to prepare the accompanying condensed consolidated financial statements. Corporate general and administrative expense allocated during the three month period ended January 31, 2025 was $7.9 million and $7.3 million for the comparable prior year period.</w:t>
      </w:r>
    </w:p>
    <w:p>
      <w:pPr>
        <w:spacing w:after="0" w:line="12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ind w:right="840" w:firstLine="397"/>
        <w:spacing w:after="0" w:line="271" w:lineRule="auto"/>
        <w:rPr>
          <w:sz w:val="20"/>
          <w:szCs w:val="20"/>
          <w:color w:val="auto"/>
        </w:rPr>
      </w:pPr>
      <w:r>
        <w:rPr>
          <w:rFonts w:ascii="Times New Roman" w:cs="Times New Roman" w:eastAsia="Times New Roman" w:hAnsi="Times New Roman"/>
          <w:sz w:val="18"/>
          <w:szCs w:val="18"/>
          <w:color w:val="auto"/>
        </w:rPr>
        <w:t>Segment information for the three months ended January 31, 2025 and 2024, and total assets as of January 31, 2025 and October 31, 2024 are summarized in the following table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4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 Cabinet</w:t>
            </w:r>
          </w:p>
        </w:tc>
        <w:tc>
          <w:tcPr>
            <w:tcW w:w="22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Tyman</w:t>
            </w: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40" w:type="dxa"/>
            <w:vAlign w:val="bottom"/>
          </w:tcPr>
          <w:p>
            <w:pPr>
              <w:spacing w:after="0"/>
              <w:rPr>
                <w:sz w:val="13"/>
                <w:szCs w:val="13"/>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Comp.</w:t>
            </w: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346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3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2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134,333</w:t>
            </w:r>
          </w:p>
        </w:tc>
        <w:tc>
          <w:tcPr>
            <w:tcW w:w="400" w:type="dxa"/>
            <w:vAlign w:val="bottom"/>
            <w:tcBorders>
              <w:top w:val="single" w:sz="8" w:color="CCEEFF"/>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48,471</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43,810</w:t>
            </w: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175,676</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400,044</w:t>
            </w:r>
          </w:p>
        </w:tc>
        <w:tc>
          <w:tcPr>
            <w:tcW w:w="0" w:type="dxa"/>
            <w:vAlign w:val="bottom"/>
          </w:tcPr>
          <w:p>
            <w:pPr>
              <w:spacing w:after="0"/>
              <w:rPr>
                <w:sz w:val="1"/>
                <w:szCs w:val="1"/>
                <w:color w:val="auto"/>
              </w:rPr>
            </w:pPr>
          </w:p>
        </w:tc>
      </w:tr>
      <w:tr>
        <w:trPr>
          <w:trHeight w:val="225"/>
        </w:trPr>
        <w:tc>
          <w:tcPr>
            <w:tcW w:w="34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4,779</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0" w:type="dxa"/>
            <w:vAlign w:val="bottom"/>
          </w:tcPr>
          <w:p>
            <w:pPr>
              <w:spacing w:after="0"/>
              <w:rPr>
                <w:sz w:val="1"/>
                <w:szCs w:val="1"/>
                <w:color w:val="auto"/>
              </w:rPr>
            </w:pPr>
          </w:p>
        </w:tc>
      </w:tr>
      <w:tr>
        <w:trPr>
          <w:trHeight w:val="225"/>
        </w:trPr>
        <w:tc>
          <w:tcPr>
            <w:tcW w:w="3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6,854</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0" w:type="dxa"/>
            <w:vAlign w:val="bottom"/>
          </w:tcPr>
          <w:p>
            <w:pPr>
              <w:spacing w:after="0"/>
              <w:rPr>
                <w:sz w:val="1"/>
                <w:szCs w:val="1"/>
                <w:color w:val="auto"/>
              </w:rPr>
            </w:pPr>
          </w:p>
        </w:tc>
      </w:tr>
      <w:tr>
        <w:trPr>
          <w:trHeight w:val="225"/>
        </w:trPr>
        <w:tc>
          <w:tcPr>
            <w:tcW w:w="34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5,651</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gridSpan w:val="4"/>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Three Months Ended January 31, 2024</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6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147,995</w:t>
            </w:r>
          </w:p>
        </w:tc>
        <w:tc>
          <w:tcPr>
            <w:tcW w:w="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43,137</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239,155</w:t>
            </w:r>
          </w:p>
        </w:tc>
        <w:tc>
          <w:tcPr>
            <w:tcW w:w="0" w:type="dxa"/>
            <w:vAlign w:val="bottom"/>
          </w:tcPr>
          <w:p>
            <w:pPr>
              <w:spacing w:after="0"/>
              <w:rPr>
                <w:sz w:val="1"/>
                <w:szCs w:val="1"/>
                <w:color w:val="auto"/>
              </w:rPr>
            </w:pPr>
          </w:p>
        </w:tc>
      </w:tr>
      <w:tr>
        <w:trPr>
          <w:trHeight w:val="225"/>
        </w:trPr>
        <w:tc>
          <w:tcPr>
            <w:tcW w:w="3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5,475</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0" w:type="dxa"/>
            <w:vAlign w:val="bottom"/>
          </w:tcPr>
          <w:p>
            <w:pPr>
              <w:spacing w:after="0"/>
              <w:rPr>
                <w:sz w:val="1"/>
                <w:szCs w:val="1"/>
                <w:color w:val="auto"/>
              </w:rPr>
            </w:pPr>
          </w:p>
        </w:tc>
      </w:tr>
      <w:tr>
        <w:trPr>
          <w:trHeight w:val="225"/>
        </w:trPr>
        <w:tc>
          <w:tcPr>
            <w:tcW w:w="34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8,242</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25"/>
        </w:trPr>
        <w:tc>
          <w:tcPr>
            <w:tcW w:w="3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5,721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8"/>
              </w:rPr>
              <w:t>As of January 31, 2025</w:t>
            </w:r>
          </w:p>
        </w:tc>
        <w:tc>
          <w:tcPr>
            <w:tcW w:w="190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376,388</w:t>
            </w:r>
          </w:p>
        </w:tc>
        <w:tc>
          <w:tcPr>
            <w:tcW w:w="4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218,334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143,297</w:t>
            </w:r>
          </w:p>
        </w:tc>
        <w:tc>
          <w:tcPr>
            <w:tcW w:w="1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876,475</w:t>
            </w:r>
          </w:p>
        </w:tc>
        <w:tc>
          <w:tcPr>
            <w:tcW w:w="1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605,995</w:t>
            </w:r>
          </w:p>
        </w:tc>
        <w:tc>
          <w:tcPr>
            <w:tcW w:w="16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2,220,489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46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 of October 31, 2024</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2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373,934</w:t>
            </w:r>
          </w:p>
        </w:tc>
        <w:tc>
          <w:tcPr>
            <w:tcW w:w="400" w:type="dxa"/>
            <w:vAlign w:val="bottom"/>
            <w:tcBorders>
              <w:top w:val="single" w:sz="8" w:color="CCEEFF"/>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239,501</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147,907</w:t>
            </w: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1,243,265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315,181</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2,319,788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reportable business segment for the three months ended January 31, 2025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3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6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NA Cabinet</w:t>
            </w: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Tyman</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60" w:type="dxa"/>
            <w:vAlign w:val="bottom"/>
          </w:tcPr>
          <w:p>
            <w:pPr>
              <w:spacing w:after="0"/>
              <w:rPr>
                <w:sz w:val="13"/>
                <w:szCs w:val="13"/>
                <w:color w:val="auto"/>
              </w:rPr>
            </w:pPr>
          </w:p>
        </w:tc>
        <w:tc>
          <w:tcPr>
            <w:tcW w:w="8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w:t>
            </w: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October 31, 2024</w:t>
            </w:r>
          </w:p>
        </w:tc>
        <w:tc>
          <w:tcPr>
            <w:tcW w:w="36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388,265</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574,711</w:t>
            </w:r>
          </w:p>
        </w:tc>
        <w:tc>
          <w:tcPr>
            <w:tcW w:w="0" w:type="dxa"/>
            <w:vAlign w:val="bottom"/>
          </w:tcPr>
          <w:p>
            <w:pPr>
              <w:spacing w:after="0"/>
              <w:rPr>
                <w:sz w:val="1"/>
                <w:szCs w:val="1"/>
                <w:color w:val="auto"/>
              </w:rPr>
            </w:pPr>
          </w:p>
        </w:tc>
      </w:tr>
      <w:tr>
        <w:trPr>
          <w:trHeight w:val="22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43"/>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31, 2025</w:t>
            </w:r>
          </w:p>
        </w:tc>
        <w:tc>
          <w:tcPr>
            <w:tcW w:w="36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385,987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569,688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further details of Goodwill, see Note 5, “Goodwill &amp; Intangible Assets,” located herewith.</w:t>
      </w:r>
    </w:p>
    <w:p>
      <w:pPr>
        <w:spacing w:after="0" w:line="16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did not allocate non-operating loss or income tax benefit to the reportable segments. The following table reconciles operating income as reported above to net income for the three months ended January 31, 2025 and 2024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980" w:type="dxa"/>
            <w:vAlign w:val="bottom"/>
          </w:tcPr>
          <w:p>
            <w:pPr>
              <w:spacing w:after="0"/>
              <w:rPr>
                <w:sz w:val="17"/>
                <w:szCs w:val="17"/>
                <w:color w:val="auto"/>
              </w:rPr>
            </w:pP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7,917</w:t>
            </w: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8"/>
              </w:rPr>
              <w:t>(1,068)</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1,042</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w w:val="98"/>
              </w:rPr>
              <w:t>(1,642)</w:t>
            </w:r>
          </w:p>
        </w:tc>
      </w:tr>
      <w:tr>
        <w:trPr>
          <w:trHeight w:val="243"/>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6,249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1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weighted-average number of common shares outstanding during the period. Diluted earnings per common and potential common shares include the weighted-average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1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Basic and diluted earnings per share for the three months ended January 31, 2025 and 2024 were calculated as follows (in thousands, except per share data):</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1"/>
        </w:trPr>
        <w:tc>
          <w:tcPr>
            <w:tcW w:w="2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520" w:type="dxa"/>
            <w:vAlign w:val="bottom"/>
            <w:tcBorders>
              <w:top w:val="single" w:sz="8" w:color="CCEEFF"/>
              <w:left w:val="single" w:sz="8" w:color="CCEEFF"/>
            </w:tcBorders>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660" w:type="dxa"/>
            <w:vAlign w:val="bottom"/>
            <w:tcBorders>
              <w:left w:val="single" w:sz="8" w:color="CCEEFF"/>
            </w:tcBorders>
            <w:shd w:val="clear" w:color="auto" w:fill="000000"/>
          </w:tcPr>
          <w:p>
            <w:pPr>
              <w:spacing w:after="0"/>
              <w:rPr>
                <w:sz w:val="3"/>
                <w:szCs w:val="3"/>
                <w:color w:val="auto"/>
              </w:rPr>
            </w:pPr>
          </w:p>
        </w:tc>
        <w:tc>
          <w:tcPr>
            <w:tcW w:w="3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192"/>
        </w:trPr>
        <w:tc>
          <w:tcPr>
            <w:tcW w:w="6520" w:type="dxa"/>
            <w:vAlign w:val="bottom"/>
            <w:tcBorders>
              <w:left w:val="single" w:sz="8" w:color="CCEEFF"/>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Three Months Ended January 31, 2024</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8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4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5"/>
        </w:trPr>
        <w:tc>
          <w:tcPr>
            <w:tcW w:w="65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52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We had 5,450 and zero of anti-dilutive restricted stock award equivalents for the three months ended January 31, 2025, respectively, and no corresponding equivalents for the comparable prior year period. Such dilution is dependent on the excess of the market price of our stock over the exercise price and other components of the treasury stock method.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New Accounting Guidance</w:t>
      </w:r>
    </w:p>
    <w:p>
      <w:pPr>
        <w:spacing w:after="0" w:line="113"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months ended January 31, 2025.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“Income Statement - Reporting Comprehensive Income - Expense Disaggregation Disclosures (Subtopic 220-40): Disaggregation of Income Statement Expenses,” which requires expanded disclosures of expense information, including the amounts of inventory purchases, employee compensation, depreciation and amortization within commonly presented expense captions during the period. The amendments are effective for annual reporting periods beginning after December 15, 2026, and interim periods within annual reporting periods beginning after December 15, 2027, with early adoption permitted. The amendments should be applied either (1) prospectively to financial statements issued for reporting periods after the effective date or (2) retrospectively to any or all prior periods presented in the financial statements. We are currently evaluating the potential impact of adopting this new guidance on our consolidated financial statements and related disclosures.</w:t>
      </w:r>
    </w:p>
    <w:p>
      <w:pPr>
        <w:spacing w:after="0" w:line="8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7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3" w:lineRule="exact"/>
        <w:rPr>
          <w:sz w:val="20"/>
          <w:szCs w:val="20"/>
          <w:color w:val="auto"/>
        </w:rPr>
      </w:pPr>
    </w:p>
    <w:p>
      <w:pPr>
        <w:jc w:val="both"/>
        <w:ind w:firstLine="437"/>
        <w:spacing w:after="0" w:line="247"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include “forward-looking” statements as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Securities Litigation Reform Act of 1995. Generally, the words “expect,” “believe,” “intend,” “estimate,” “anticipate,” “project,” “will,” and similar expressions identify forward-looking statements, which generally are not historical in nature. Forward-looking statements are statements as to matters that are not historical facts, and include statements about our plans, objectives, expectations and intentions, including (1) all statements which address future operating performance, (2) events or developments that we expect or anticipate will occur in the future, including statements relating to the Tyman Acquisition and statements relating to volume, sales, operating income, and earnings per share, and (3) statements expressing general outlook about future operating results. Forward-looking statements also include any statements relating to future capital expenditures, expenses, revenues, economic performance, financial conditions, dividend policy, losses, future prospects or business or management strategies, and the expansion and/or growth of the operations of the Company. Forward-looking statements are subject to certain risks and uncertainties that could cause actual results to differ materially from our historical experience and our current projections or expectations. As and when made, we believe that the assumptions and expectations reflected in such forward-looking statements are reasonable, provided, that we cannot give any assurance that such expectations will prove to be correct.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33" w:lineRule="exact"/>
        <w:rPr>
          <w:sz w:val="20"/>
          <w:szCs w:val="20"/>
          <w:color w:val="auto"/>
        </w:rPr>
      </w:pPr>
    </w:p>
    <w:p>
      <w:pPr>
        <w:ind w:left="640" w:hanging="158"/>
        <w:spacing w:after="0" w:line="27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on the economy, demand for our products or our operations, including the responses of governmental authorities to contain such public health issues;</w:t>
      </w:r>
    </w:p>
    <w:p>
      <w:pPr>
        <w:spacing w:after="0" w:line="22"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implement our plans, forecasts and other expectations with respect to Tyman;</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foreign trade relations and associated tariffs could result in a global trade war;</w:t>
      </w:r>
    </w:p>
    <w:p>
      <w:pPr>
        <w:spacing w:after="0" w:line="57" w:lineRule="exact"/>
        <w:rPr>
          <w:rFonts w:ascii="Times New Roman" w:cs="Times New Roman" w:eastAsia="Times New Roman" w:hAnsi="Times New Roman"/>
          <w:sz w:val="18"/>
          <w:szCs w:val="18"/>
          <w:b w:val="1"/>
          <w:bCs w:val="1"/>
          <w:color w:val="auto"/>
        </w:rPr>
      </w:pPr>
    </w:p>
    <w:p>
      <w:pPr>
        <w:ind w:left="640" w:hanging="158"/>
        <w:spacing w:after="0" w:line="271" w:lineRule="auto"/>
        <w:tabs>
          <w:tab w:leader="none" w:pos="6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Italy and elsewhere;</w:t>
      </w:r>
    </w:p>
    <w:p>
      <w:pPr>
        <w:spacing w:after="0" w:line="9" w:lineRule="exact"/>
        <w:rPr>
          <w:rFonts w:ascii="Times New Roman" w:cs="Times New Roman" w:eastAsia="Times New Roman" w:hAnsi="Times New Roman"/>
          <w:sz w:val="18"/>
          <w:szCs w:val="18"/>
          <w:b w:val="1"/>
          <w:bCs w:val="1"/>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57" w:lineRule="exact"/>
        <w:rPr>
          <w:rFonts w:ascii="Times New Roman" w:cs="Times New Roman" w:eastAsia="Times New Roman" w:hAnsi="Times New Roman"/>
          <w:sz w:val="18"/>
          <w:szCs w:val="18"/>
          <w:color w:val="auto"/>
        </w:rPr>
      </w:pPr>
    </w:p>
    <w:p>
      <w:pPr>
        <w:ind w:left="640" w:hanging="158"/>
        <w:spacing w:after="0" w:line="27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military conflicts in Ukraine and Gaza;</w:t>
      </w:r>
    </w:p>
    <w:p>
      <w:pPr>
        <w:spacing w:after="0" w:line="9"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57" w:lineRule="exact"/>
        <w:rPr>
          <w:rFonts w:ascii="Times New Roman" w:cs="Times New Roman" w:eastAsia="Times New Roman" w:hAnsi="Times New Roman"/>
          <w:sz w:val="18"/>
          <w:szCs w:val="18"/>
          <w:color w:val="auto"/>
        </w:rPr>
      </w:pPr>
    </w:p>
    <w:p>
      <w:pPr>
        <w:ind w:left="640" w:right="660" w:hanging="158"/>
        <w:spacing w:after="0" w:line="27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our material weakness, or any other material weakness that we may identify in the future that could result in material misstatements in our financial statements;</w:t>
      </w:r>
    </w:p>
    <w:p>
      <w:pPr>
        <w:spacing w:after="0" w:line="9"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the resolution of litigation and other legal proceedings.</w:t>
      </w:r>
    </w:p>
    <w:p>
      <w:pPr>
        <w:spacing w:after="0" w:line="148"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on Form 10-K for the fiscal year ended October 31,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52"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January 31, 2025, and for the three months ended January 31, 2025 and 2024, included elsewhere herein. For additional information pertaining to our business, including risk factors which should be considered before investing in our common stock, refer to our Annual Report on Form 10-K for the fiscal year ended October 31,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13" w:lineRule="exact"/>
        <w:rPr>
          <w:sz w:val="20"/>
          <w:szCs w:val="20"/>
          <w:color w:val="auto"/>
        </w:rPr>
      </w:pPr>
    </w:p>
    <w:p>
      <w:pPr>
        <w:jc w:val="both"/>
        <w:ind w:firstLine="397"/>
        <w:spacing w:after="0" w:line="264" w:lineRule="auto"/>
        <w:rPr>
          <w:sz w:val="20"/>
          <w:szCs w:val="20"/>
          <w:color w:val="auto"/>
        </w:rPr>
      </w:pPr>
      <w:r>
        <w:rPr>
          <w:rFonts w:ascii="Times New Roman" w:cs="Times New Roman" w:eastAsia="Times New Roman" w:hAnsi="Times New Roman"/>
          <w:sz w:val="17"/>
          <w:szCs w:val="17"/>
          <w:color w:val="auto"/>
        </w:rPr>
        <w:t>We are a leading manufacturer and component supplier to original equipment manufacturers (OEMs) in various industries, including window, door, solar, refrigeration, custom mixing, building access, and cabinetry markets. The majority of these components can be categorized as window and door (fenestration) components and kitchen and bath cabinet components. Examples of fenestration components include energy-efficient flexible insulating glass spacers, extruded vinyl profiles, window and door screens, precision-formed metal and wood products, window and door seals, and window and door hardware. In addition, we provide certain other non-fenestration components and products, which include solar panel sealants, trim moldings, vinyl decking, water retention barriers, conservatory roof components, and building access solutions. For additional discussion of our reportable business segments, see Note 14, “Segment Information.” We leverage efficient production and distribution processes and engineering expertise to provide our customers with specialized products for their specific hardware, extrusion, and custom applications. We believe these capabilities enhance our ability to provide value to our customers. We serve a primary customer base in North America and the United Kingdom (U.K.), and also serve customers in international markets through our operating locations in the U.K., Germany, Mexico, Canada and Italy, as well as through sales and marketing efforts in other countries.</w:t>
      </w:r>
    </w:p>
    <w:p>
      <w:pPr>
        <w:spacing w:after="0" w:line="7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manufacturing and distribution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30" w:lineRule="exact"/>
        <w:rPr>
          <w:sz w:val="20"/>
          <w:szCs w:val="20"/>
          <w:color w:val="auto"/>
        </w:rPr>
      </w:pPr>
    </w:p>
    <w:p>
      <w:pPr>
        <w:jc w:val="both"/>
        <w:ind w:firstLine="397"/>
        <w:spacing w:after="0" w:line="264" w:lineRule="auto"/>
        <w:rPr>
          <w:sz w:val="20"/>
          <w:szCs w:val="20"/>
          <w:color w:val="auto"/>
        </w:rPr>
      </w:pPr>
      <w:r>
        <w:rPr>
          <w:rFonts w:ascii="Times New Roman" w:cs="Times New Roman" w:eastAsia="Times New Roman" w:hAnsi="Times New Roman"/>
          <w:sz w:val="17"/>
          <w:szCs w:val="17"/>
          <w:color w:val="auto"/>
        </w:rPr>
        <w:t>We currently have four reportable business segments: (1) North American Fenestration segment (“NA Fenestration”), comprising four operating segments, consisting of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(3) North American Cabinet Components segment (“NA Cabinet Components”), comprising our North American cabinet door and components business and two wood-manufacturing plants, and (4) Tyman, which was acquired on August 1, 2024, comprising a leading international supplier of engineered fenestration components and access solutions to the construction industry.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are monitoring the rapidly evolving tariff and global trade policies and we are working with our suppliers to mitigate potential impacts on our business. The extent and duration of the tariffs and the resulting impact on general economic conditions on our business are uncertain and depend on various factors, such as negotiations between the U.S. and affected countries, the responses of other countries or regions, exemptions that may be granted, availability and cost of alternative sources of supply and demand for our products in affected markets.</w:t>
      </w:r>
    </w:p>
    <w:p>
      <w:pPr>
        <w:spacing w:after="0" w:line="130"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a company incorporated in England and Wales (the “Tyman Acquisition”). The aggregate consideration due pursuant to the Tyman Acquisition at closing comprised of 14,139,477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13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military conflicts currently ongoing in Ukraine and Gaza. Although the length and impact of these ongoing military conflicts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are highly unpredictable, the conflicts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In addition, one of the suppliers of a vapor barrier used in the production of our insulating glass spacers is located in Israel and may experience a disruption as a result of the ongoing conflict in Gaza. If these trends continues, this would not only negatively impact our European manufacturing facilities, this may also impact our customers and their demand for our products. We continue to monitor these situations and their impact on our business.</w:t>
      </w:r>
    </w:p>
    <w:p>
      <w:pPr>
        <w:spacing w:after="0" w:line="13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conflicts in Ukraine and Gaza and their impacts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5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residential remodeling and replacement (R&amp;R) and new home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R&amp;R activity, and published reports by Ducker Worldwide, LLC (Ducker), a consulting and research firm, with regard to window shipments in the U.S.</w:t>
      </w:r>
    </w:p>
    <w:p>
      <w:pPr>
        <w:spacing w:after="0" w:line="1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 xml:space="preserve">In February </w:t>
      </w:r>
      <w:r>
        <w:rPr>
          <w:rFonts w:ascii="Times New Roman" w:cs="Times New Roman" w:eastAsia="Times New Roman" w:hAnsi="Times New Roman"/>
          <w:sz w:val="15"/>
          <w:szCs w:val="15"/>
          <w:color w:val="auto"/>
        </w:rPr>
        <w:t>2025</w:t>
      </w:r>
      <w:r>
        <w:rPr>
          <w:rFonts w:ascii="Times New Roman" w:cs="Times New Roman" w:eastAsia="Times New Roman" w:hAnsi="Times New Roman"/>
          <w:sz w:val="18"/>
          <w:szCs w:val="18"/>
          <w:color w:val="auto"/>
        </w:rPr>
        <w:t xml:space="preserve">, the NAHB forecasted calendar-year housing starts to be approximately 1.3 million and 1.4 million in the 2025 and 2026 calendar-years, respectively. In February </w:t>
      </w:r>
      <w:r>
        <w:rPr>
          <w:rFonts w:ascii="Times New Roman" w:cs="Times New Roman" w:eastAsia="Times New Roman" w:hAnsi="Times New Roman"/>
          <w:sz w:val="15"/>
          <w:szCs w:val="15"/>
          <w:color w:val="auto"/>
        </w:rPr>
        <w:t>2025</w:t>
      </w:r>
      <w:r>
        <w:rPr>
          <w:rFonts w:ascii="Times New Roman" w:cs="Times New Roman" w:eastAsia="Times New Roman" w:hAnsi="Times New Roman"/>
          <w:sz w:val="18"/>
          <w:szCs w:val="18"/>
          <w:color w:val="auto"/>
        </w:rPr>
        <w:t>, the Ducker forecast indicated that total window shipments are expected to decrease 2.5% in calendar-year 2025.</w:t>
      </w:r>
    </w:p>
    <w:p>
      <w:pPr>
        <w:spacing w:after="0" w:line="10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stainless steel, zinc,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2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global pandemics,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2025 Compared to Three Months Ended January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3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7"/>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400,044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239,155</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160,889</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120,005</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34,287</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0" w:type="dxa"/>
            <w:vAlign w:val="bottom"/>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NA Fenestration</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3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 Variance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7"/>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134,333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147,995</w:t>
            </w:r>
          </w:p>
        </w:tc>
        <w:tc>
          <w:tcPr>
            <w:tcW w:w="10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(13,662)</w:t>
            </w:r>
          </w:p>
        </w:tc>
        <w:tc>
          <w:tcPr>
            <w:tcW w:w="13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106,567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(11,801)</w:t>
            </w:r>
          </w:p>
        </w:tc>
        <w:tc>
          <w:tcPr>
            <w:tcW w:w="13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16,133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13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4,779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138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0"/>
                <w:szCs w:val="20"/>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6,854</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(1,388)</w:t>
            </w:r>
          </w:p>
        </w:tc>
        <w:tc>
          <w:tcPr>
            <w:tcW w:w="138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5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$13.7 million, or 9%, for the three months ended January 31, 2025 compared to the same period in 2024,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$15.3 million decrease in volumes mainly due to softer market demand driven by weaker consumer confidence partially offset by a $1.6 million increase in price and raw material indexes.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 xml:space="preserve">Cost of Sales. </w:t>
      </w:r>
      <w:r>
        <w:rPr>
          <w:rFonts w:ascii="Times New Roman" w:cs="Times New Roman" w:eastAsia="Times New Roman" w:hAnsi="Times New Roman"/>
          <w:sz w:val="17"/>
          <w:szCs w:val="17"/>
          <w:color w:val="auto"/>
        </w:rPr>
        <w:t>The cost of sales decreased $11.8 million, or 10%, for the three months ended January 31, 2025 as compared to the same period in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including labor, decreased primarily due to a decrease in volumes partially offset by inflation of raw materials during the period.</w:t>
      </w:r>
    </w:p>
    <w:p>
      <w:pPr>
        <w:spacing w:after="0" w:line="118"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$0.2 million, or 1%, for the three months ended January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the same period in 2024. The increase is primarily due to increases in labor costs partially offset by a decrease in professional fees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w w:val="99"/>
              </w:rPr>
              <w:t>Three Months Ended January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4"/>
          </w:tcPr>
          <w:p>
            <w:pPr>
              <w:jc w:val="right"/>
              <w:ind w:right="815"/>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48,471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49,437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30,638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31,703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7,745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2,558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0" w:type="dxa"/>
            <w:vAlign w:val="bottom"/>
            <w:tcBorders>
              <w:bottom w:val="single" w:sz="8" w:color="CCEEFF"/>
            </w:tcBorders>
          </w:tcPr>
          <w:p>
            <w:pPr>
              <w:jc w:val="right"/>
              <w:ind w:right="43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7,431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$1.0 million, or 2%, comparing the three months ended January 31, 2025 to the same period in 2024, which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$0.5 million decrease in volumes largely due to softer market demand driven by weaker consumer confidence and $0.9 million of negative foreign currency rate change, partially offset by $0.4 million of base price increases.</w:t>
      </w:r>
    </w:p>
    <w:p>
      <w:pPr>
        <w:spacing w:after="0" w:line="111" w:lineRule="exact"/>
        <w:rPr>
          <w:sz w:val="20"/>
          <w:szCs w:val="20"/>
          <w:color w:val="auto"/>
        </w:rPr>
      </w:pPr>
    </w:p>
    <w:p>
      <w:pPr>
        <w:jc w:val="both"/>
        <w:ind w:right="20"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$1.1 million, or 3%, for the three months ended January 31, 2025 compared to the same period in 2024.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decreased primarily due to a decrease in volumes and foreign currency impacts, partially offset by inflation in the price of raw materials.</w:t>
      </w:r>
    </w:p>
    <w:p>
      <w:pPr>
        <w:spacing w:after="0" w:line="85" w:lineRule="exact"/>
        <w:rPr>
          <w:sz w:val="20"/>
          <w:szCs w:val="20"/>
          <w:color w:val="auto"/>
        </w:rPr>
      </w:pPr>
    </w:p>
    <w:p>
      <w:pPr>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$0.2 million, or 2%, for the three months ended January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same period in 2024. The increase is primarily an increases in labor costs year-over-year.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8"/>
              </w:rPr>
              <w:t>Three Months Ended January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4"/>
          </w:tcPr>
          <w:p>
            <w:pPr>
              <w:jc w:val="center"/>
              <w:ind w:right="215"/>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43,810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43,137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673</w:t>
            </w:r>
          </w:p>
        </w:tc>
        <w:tc>
          <w:tcPr>
            <w:tcW w:w="14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38,743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672</w:t>
            </w:r>
          </w:p>
        </w:tc>
        <w:tc>
          <w:tcPr>
            <w:tcW w:w="14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5,126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142</w:t>
            </w:r>
          </w:p>
        </w:tc>
        <w:tc>
          <w:tcPr>
            <w:tcW w:w="14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(56)</w:t>
            </w:r>
          </w:p>
        </w:tc>
        <w:tc>
          <w:tcPr>
            <w:tcW w:w="1400" w:type="dxa"/>
            <w:vAlign w:val="bottom"/>
            <w:tcBorders>
              <w:bottom w:val="single" w:sz="8" w:color="CCEEFF"/>
            </w:tcBorders>
          </w:tcPr>
          <w:p>
            <w:pPr>
              <w:jc w:val="right"/>
              <w:ind w:right="39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(3,797)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(85)</w:t>
            </w:r>
          </w:p>
        </w:tc>
        <w:tc>
          <w:tcPr>
            <w:tcW w:w="1400" w:type="dxa"/>
            <w:vAlign w:val="bottom"/>
            <w:tcBorders>
              <w:bottom w:val="single" w:sz="8" w:color="CCEEFF"/>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$0.7 million, or 2%, for the three months ended January 31, 2025 compared to the same period in 2024, which was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$2.1 million increase in raw material surcharges partially offset by a $1.4 million decrease in volumes due to softer market demand driven by weaker consumer confidence.</w:t>
      </w:r>
    </w:p>
    <w:p>
      <w:pPr>
        <w:spacing w:after="0" w:line="111"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$0.7 million, or 2%, for the three months ended January 31, 2025 compared with the same period in 2024.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primarily as a result of inflation of raw materials partially offset by lower volumes year-over-year.</w:t>
      </w:r>
    </w:p>
    <w:p>
      <w:pPr>
        <w:spacing w:after="0" w:line="98" w:lineRule="exact"/>
        <w:rPr>
          <w:sz w:val="20"/>
          <w:szCs w:val="20"/>
          <w:color w:val="auto"/>
        </w:rPr>
      </w:pPr>
    </w:p>
    <w:p>
      <w:pPr>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increased $0.1 million, or 3%, for the three months ended January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same period in 2024. This increase is primarily due to a decrease in labor costs and professional fees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Tyman</w:t>
      </w:r>
    </w:p>
    <w:p>
      <w:pPr>
        <w:spacing w:after="0" w:line="139"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Tyman reportable segment is comprised solely of the business acquired on August 1, 2024. For additional discussion of our acquisition of Tyman, see Note 2, “Acquisition.” The results for the three months ended January 31, 2025 are summarized in the following table (including the effect of the amortization of the step-up of inventory of approximately $9.0 million and $7.9 million of reorganization charges incurred to support the acquisition during the three months ended January 31,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Three Months Ended January 31,</w:t>
            </w:r>
          </w:p>
        </w:tc>
      </w:tr>
      <w:tr>
        <w:trPr>
          <w:trHeight w:val="211"/>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00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Borders>
              <w:bottom w:val="single" w:sz="8" w:color="auto"/>
            </w:tcBorders>
          </w:tcPr>
          <w:p>
            <w:pPr>
              <w:spacing w:after="0"/>
              <w:rPr>
                <w:sz w:val="18"/>
                <w:szCs w:val="18"/>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(Dollars in thousands)</w:t>
            </w:r>
          </w:p>
        </w:tc>
      </w:tr>
      <w:tr>
        <w:trPr>
          <w:trHeight w:val="225"/>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175,676</w:t>
            </w:r>
          </w:p>
        </w:tc>
        <w:tc>
          <w:tcPr>
            <w:tcW w:w="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132,796</w:t>
            </w:r>
          </w:p>
        </w:tc>
        <w:tc>
          <w:tcPr>
            <w:tcW w:w="2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34,378</w:t>
            </w:r>
          </w:p>
        </w:tc>
        <w:tc>
          <w:tcPr>
            <w:tcW w:w="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7,904</w:t>
            </w:r>
          </w:p>
        </w:tc>
        <w:tc>
          <w:tcPr>
            <w:tcW w:w="2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14,263</w:t>
            </w:r>
          </w:p>
        </w:tc>
        <w:tc>
          <w:tcPr>
            <w:tcW w:w="20" w:type="dxa"/>
            <w:vAlign w:val="bottom"/>
            <w:tcBorders>
              <w:bottom w:val="single" w:sz="8" w:color="auto"/>
            </w:tcBorders>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(13,665)</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r>
      <w:tr>
        <w:trPr>
          <w:trHeight w:val="503"/>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Unallocated Corporate &amp; Other</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8"/>
        </w:trPr>
        <w:tc>
          <w:tcPr>
            <w:tcW w:w="2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4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r>
      <w:tr>
        <w:trPr>
          <w:trHeight w:val="176"/>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4"/>
          </w:tcPr>
          <w:p>
            <w:pPr>
              <w:jc w:val="right"/>
              <w:ind w:right="658"/>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4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6"/>
              </w:rPr>
              <w:t>59%</w:t>
            </w:r>
          </w:p>
        </w:tc>
        <w:tc>
          <w:tcPr>
            <w:tcW w:w="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6"/>
              </w:rPr>
              <w:t>55%</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4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7"/>
              </w:rPr>
              <w:t>(18)%</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CCEEFF"/>
            </w:tcBorders>
          </w:tcPr>
          <w:p>
            <w:pPr>
              <w:jc w:val="center"/>
              <w:ind w:left="43"/>
              <w:spacing w:after="0"/>
              <w:rPr>
                <w:sz w:val="20"/>
                <w:szCs w:val="20"/>
                <w:color w:val="auto"/>
              </w:rPr>
            </w:pPr>
            <w:r>
              <w:rPr>
                <w:rFonts w:ascii="Times New Roman" w:cs="Times New Roman" w:eastAsia="Times New Roman" w:hAnsi="Times New Roman"/>
                <w:sz w:val="18"/>
                <w:szCs w:val="18"/>
                <w:color w:val="auto"/>
                <w:w w:val="96"/>
              </w:rPr>
              <w:t>46%</w:t>
            </w:r>
          </w:p>
        </w:tc>
        <w:tc>
          <w:tcPr>
            <w:tcW w:w="2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4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9"/>
              </w:rPr>
              <w:t>(9)%</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three months ended January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p>
    <w:p>
      <w:pPr>
        <w:spacing w:after="0" w:line="164"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decreased $0.6 million, or 18%,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2025 compared to the same period in 2024. This decrease is primarily attributable to a lower compensation expense including the valuations of our stock-based compensation awards partially offset by reorganization costs during the three months ended January 31, 2025 as compared to the prior 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8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$13.1 million for the three months ended January 31, 2025 compared to the same period in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higher borrowings outstanding during the three months ended January 31, 2025 as compared to the prior year period.</w:t>
      </w:r>
    </w:p>
    <w:p>
      <w:pPr>
        <w:spacing w:after="0" w:line="111" w:lineRule="exact"/>
        <w:rPr>
          <w:sz w:val="20"/>
          <w:szCs w:val="20"/>
          <w:color w:val="auto"/>
        </w:rPr>
      </w:pPr>
    </w:p>
    <w:p>
      <w:pPr>
        <w:jc w:val="both"/>
        <w:ind w:firstLine="437"/>
        <w:spacing w:after="0" w:line="263" w:lineRule="auto"/>
        <w:rPr>
          <w:sz w:val="20"/>
          <w:szCs w:val="20"/>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We recorded income tax benefit of $5.1 million on pre-tax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4"/>
          <w:szCs w:val="14"/>
          <w:color w:val="auto"/>
        </w:rPr>
        <w:t>loss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$19.9 million for the three months ended January 31, 2025, an 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rate of 25.3%, and income tax </w:t>
      </w:r>
      <w:r>
        <w:rPr>
          <w:rFonts w:ascii="Times New Roman" w:cs="Times New Roman" w:eastAsia="Times New Roman" w:hAnsi="Times New Roman"/>
          <w:sz w:val="14"/>
          <w:szCs w:val="14"/>
          <w:color w:val="auto"/>
        </w:rPr>
        <w:t>expense</w:t>
      </w:r>
      <w:r>
        <w:rPr>
          <w:rFonts w:ascii="Times New Roman" w:cs="Times New Roman" w:eastAsia="Times New Roman" w:hAnsi="Times New Roman"/>
          <w:sz w:val="17"/>
          <w:szCs w:val="17"/>
          <w:color w:val="auto"/>
        </w:rPr>
        <w:t xml:space="preserve"> of $1.6 million on a pre-tax income of $7.9 million for the three months ended January 31, 2024, an effective rate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The increase in the effective tax rate year-over-year was primarily driven by a reduction in tax credits and tax deductions.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became effective on August 1, 2024 upon the completion of the Tyman Acquisition.</w:t>
      </w:r>
    </w:p>
    <w:p>
      <w:pPr>
        <w:spacing w:after="0" w:line="8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provides for a senior secured term loan A facility in an aggregate principal amount of $500 million (the “Term A Facility” and together with the Revolving Credit Facility, the “Facilities”). The Revolving Credit Facility includes alternative currency, letter of credit, and swing-line sub-facilities of $100 million, $30 million, and $15 million, respectively. We capitalized $13.8 million of deferred financing fees related to the Amended Credit Agreement. The maturity date of the Facilities will be five years after the acquisition effective date, maturing on August 1, 2029.</w:t>
      </w:r>
    </w:p>
    <w:p>
      <w:pPr>
        <w:spacing w:after="0" w:line="8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7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11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As of January 31, 2025, we had $50.0 million of cash and equivalents, $705.0 million outstanding under the Facilities $6.0 million of outstanding letters of credit and $59.3 million outstanding under finance leases and other debt. Of the $59.3 million outstanding under finance leases and other debt, $55.1 million relates to real estate leases. We had $251.5 million available for use under the Revolving Credit Agreement at January 31, 2025.</w:t>
      </w:r>
    </w:p>
    <w:p>
      <w:pPr>
        <w:spacing w:after="0" w:line="7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During December 2021, our Board of Directors approved a stock repurchase program that authorized the repurchase of up to $75.0 million worth of shares of our common stock. Repurchases under the program will be made in open market transactions or privately negotiated transactions, subject to market conditions, applicable legal requirements and other relevant factors. During the three months ended January 31, 2025, we purchased 150,000 shares under this program and as of January 31, 2025 we have a maximum of $59.1 million available to purchase shares under this program. The program does not have an expiration date or a limit on the number of shares that may be purchased.</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repatriated $11.5 million and $3.6 million of foreign cash during the three months ended January 31, 2025 and 2024, respectively. We expect to repatriate excess cash moving forward and use the funds to retire debt or meet current working capital needs. In the U.K., we insure against a portion of our credit losses. We believe our business model, our current cash reserves and our strong balance sheet leave us well-positioned to manage our business and remain in compliance with our debt covenants.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three months ended January 31,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2"/>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r>
      <w:tr>
        <w:trPr>
          <w:trHeight w:val="199"/>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2"/>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940" w:type="dxa"/>
            <w:vAlign w:val="bottom"/>
          </w:tcPr>
          <w:p>
            <w:pPr>
              <w:spacing w:after="0"/>
              <w:rPr>
                <w:sz w:val="17"/>
                <w:szCs w:val="17"/>
                <w:color w:val="auto"/>
              </w:rPr>
            </w:pPr>
          </w:p>
        </w:tc>
      </w:tr>
      <w:tr>
        <w:trPr>
          <w:trHeight w:val="24"/>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2"/>
          </w:tcPr>
          <w:p>
            <w:pPr>
              <w:jc w:val="center"/>
              <w:ind w:left="503"/>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940" w:type="dxa"/>
            <w:vAlign w:val="bottom"/>
          </w:tcPr>
          <w:p>
            <w:pPr>
              <w:spacing w:after="0"/>
              <w:rPr>
                <w:sz w:val="15"/>
                <w:szCs w:val="15"/>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operating activities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(12,510)</w:t>
            </w:r>
          </w:p>
        </w:tc>
        <w:tc>
          <w:tcPr>
            <w:tcW w:w="6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8"/>
              </w:rPr>
              <w:t>3,854</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(11,455)</w:t>
            </w:r>
          </w:p>
        </w:tc>
        <w:tc>
          <w:tcPr>
            <w:tcW w:w="6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8"/>
              </w:rPr>
              <w:t>(9,549)</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(21,972)</w:t>
            </w:r>
          </w:p>
        </w:tc>
        <w:tc>
          <w:tcPr>
            <w:tcW w:w="6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w w:val="98"/>
              </w:rPr>
              <w:t>(9,117)</w:t>
            </w:r>
          </w:p>
        </w:tc>
      </w:tr>
    </w:tbl>
    <w:p>
      <w:pPr>
        <w:spacing w:after="0" w:line="178"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Cash provided by operating activities decreased $16.4 million for the three months ended January 31, 2025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 The decrease in operating cash flow is primarily due to a decrease in net income as a result of restructuring charges and amortization of inventory step-up charges related to the acquisition of Tyman, as well as year-over-year and unfavorable changes to net working capital.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97"/>
        <w:spacing w:after="0" w:line="303"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Cash used for investing activities increased $1.9 million for the three months ended January 31, 2025 compared to the same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2024, primarily as a result of an increase in capital expenditures during the three months ended January 31, 2025 compared to the prior year period.</w:t>
      </w:r>
    </w:p>
    <w:p>
      <w:pPr>
        <w:spacing w:after="0" w:line="7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for financing activities increased $12.9 million for the three months ended January 31, 2025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 The change in investing cash flows is primarily as a result of an increase in the repayment of long-term debt and the purchase of treasury shares.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three months ended January 31, 2025 and 2024, we repatriated $11.5 million and $3.6 million, respectively, of foreign earnings from our foreign locations. We maintain cash balances in foreign countries which total $37.3 million as of January 31,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2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October 31, 2024. Our critical accounting policies and estimates have not changed materially during the three months ended January 31, 2025.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52"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months ended January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“Income Statement - Reporting Comprehensive Income - Expense Disaggregation Disclosures (Subtopic 220-40): Disaggregation of Income Statement Expenses,” which requires expanded disclosures of expense information, including the amounts of inventory purchases, employee compensation, depreciation and amortization within commonly presented expense captions during the period. The amendments are effective for annual reporting periods beginning after December 15, 2026, and interim periods within annual reporting periods beginning after December 15, 2027, with early adoption permitted. The amendments should be applied either (1) prospectively to financial statements issued for reporting periods after the effective date or (2) retrospectively to any or all prior periods presented in the financial statements. We are currently evaluating the potential impact of adopting this new guidance on our consolidated financial statements and related disclosures.</w:t>
      </w:r>
    </w:p>
    <w:p>
      <w:pPr>
        <w:spacing w:after="0" w:line="138"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guidance is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130"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68"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6"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Our debt bears interest at variable rates and accordingly is sensitive to changes in interest rates. Based upon the balances of the variable rate debt at January 31, 2025, a hypothetical 1.0% increase or decrease in interest rates could result in approximately $7.1 million of additional pretax charges or credit to our net income per year. This sensitivity is impacted by the amount of borrowings under our credit facilities, and amounts outstanding under finance leases.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5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and the Mexican Peso. From time to time, we enter into foreign exchange contracts associated with our operations to manage a portion of the foreign currency rate risk. As of January 31, 2025, we have outstanding forward foreign exchange contracts to hedge our foreign currency exposures against the USD to GBP, with a notional principal amount of $8.3 million, and foreign currency exposures against the MXN to USD, with a notional principal amount of $18.0 million. Hedge accounting is not applied to our foreign exchange contracts. During the three months ended January 31, 2025 and 2024, we recognized a net gain of $0.1 million and zero, respectively, related to our forward foreign exchange contracts. The value of our forward foreign exchange contracts fluctuates based on exchange rate fluctuations against the USD to GBP, and the MXN to USD.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39"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0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Similarly, we include a price index provision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0"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the Tyman business, contractual price adjustment mechanisms in place for key commodities including stainless steel and zinc for many large customers in the U.S. For those customers not covered by these contractual mechanisms, we have successfully implemented surcharges and general price increases to share the impact of price changes with our customers. Like our other commodities, there is exposure to short-term volatility due to a lag in the timing of implementing price increases.</w:t>
      </w:r>
    </w:p>
    <w:p>
      <w:pPr>
        <w:spacing w:after="0" w:line="11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are included within our Annual Report on Form 10-K for the fiscal year ended October 31, 2024.</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January 31, 2025.</w:t>
      </w:r>
    </w:p>
    <w:p>
      <w:pPr>
        <w:spacing w:after="0" w:line="100"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October 31, 2024, we identified a material weakness in our internal control over financial reporting in the design and operation of the controls over the preparation and review of the statement of cash flows. Due to this material weakness, our Chief Executive Officer and Chief Financial Officer have concluded that our disclosure controls and procedures were not effective as of January 31, 2025.</w:t>
      </w:r>
    </w:p>
    <w:p>
      <w:pPr>
        <w:spacing w:after="0" w:line="11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permitted under the SEC rules, we have elected to exclude Tyman plc from management’s assessment of effectiveness of internal controls over financial reporting as of January 31, 2025. Prior to acquisition by us on August 1, 2024, Tyman plc was listed publicly on the London Stock Exchange, reported financial results pursuant to International Financial Reporting Standards and, therefore, had no requirement to comply with the Sarbanes-Oxley Act of 2002.</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are actively engaged in remediation efforts to address the identified material weakness related to the statement of cash flows. These efforts include:</w:t>
      </w:r>
    </w:p>
    <w:p>
      <w:pPr>
        <w:spacing w:after="0" w:line="149" w:lineRule="exact"/>
        <w:rPr>
          <w:sz w:val="20"/>
          <w:szCs w:val="20"/>
          <w:color w:val="auto"/>
        </w:rPr>
      </w:pPr>
    </w:p>
    <w:p>
      <w:pPr>
        <w:ind w:left="640" w:hanging="23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review procedures over the preparation and validation of the statement of cash flows.</w:t>
      </w:r>
    </w:p>
    <w:p>
      <w:pPr>
        <w:spacing w:after="0" w:line="150"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integrating a structured non-cash transaction checklist to improve accuracy in cash flow classification.</w:t>
      </w:r>
    </w:p>
    <w:p>
      <w:pPr>
        <w:spacing w:after="0" w:line="150"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quarterly and annual close procedures to include additional review controls.</w:t>
      </w:r>
    </w:p>
    <w:p>
      <w:pPr>
        <w:spacing w:after="0" w:line="137"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targeted training to finance personnel involved in the financial close and reporting process.</w:t>
      </w:r>
    </w:p>
    <w:p>
      <w:pPr>
        <w:spacing w:after="0" w:line="150"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Notwithstanding the identified material weakness, our management has concluded that the financial statements included in this Form 10-Q fairly present in all material respects the financial position, results of operations and cash flows for the periods presented in conformity with generally accepted accounting principles.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5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During the fiscal quarter ended January 31, 2025, we implemented additional review procedures and developed a structured non-cash transaction checklist for the cash flow statement as part of our remediation efforts. While we believe the identified material weakness will be fully remediated by our efforts, our remediation efforts are on-going and require additional time for us to conclude the material weakness has been remediated.</w:t>
      </w:r>
    </w:p>
    <w:p>
      <w:pPr>
        <w:spacing w:after="0" w:line="11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Additionally, as of January 31, 2025, integration of internal controls at our recently acquired Tyman business is in progress. Consistent with SEC guidance, management has excluded Tyman from its assessment of internal control over financial reporting for the January 31, 2025 reporting period. We expect to complete the integration of Tyman’s financial reporting systems and internal control framework during fiscal 2025.</w:t>
      </w:r>
    </w:p>
    <w:p>
      <w:pPr>
        <w:spacing w:after="0" w:line="100"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Other than the ongoing remediation efforts and the exclusion of Tyman, there have been no other changes in our internal control over financial reporting (as defined in Rules 13a-15(f) and 15d-15(f) under the 1934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15" w:lineRule="exact"/>
        <w:rPr>
          <w:sz w:val="20"/>
          <w:szCs w:val="20"/>
          <w:color w:val="auto"/>
        </w:rPr>
      </w:pPr>
    </w:p>
    <w:p>
      <w:pPr>
        <w:ind w:right="20" w:firstLine="397"/>
        <w:spacing w:after="0" w:line="271"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fiscal year ended October 31, 2024 (Part I, Item 1A).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January 31, 2025, we repurchased common stock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 Total Number of</w:t>
            </w:r>
          </w:p>
        </w:tc>
        <w:tc>
          <w:tcPr>
            <w:tcW w:w="120" w:type="dxa"/>
            <w:vAlign w:val="bottom"/>
          </w:tcPr>
          <w:p>
            <w:pPr>
              <w:spacing w:after="0"/>
              <w:rPr>
                <w:sz w:val="13"/>
                <w:szCs w:val="13"/>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 Average Price Paid</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 Shares</w:t>
            </w:r>
          </w:p>
        </w:tc>
        <w:tc>
          <w:tcPr>
            <w:tcW w:w="220" w:type="dxa"/>
            <w:vAlign w:val="bottom"/>
          </w:tcPr>
          <w:p>
            <w:pPr>
              <w:spacing w:after="0"/>
              <w:rPr>
                <w:sz w:val="13"/>
                <w:szCs w:val="13"/>
                <w:color w:val="auto"/>
              </w:rPr>
            </w:pPr>
          </w:p>
        </w:tc>
        <w:tc>
          <w:tcPr>
            <w:tcW w:w="23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 Maximum US Dollars Remaining</w:t>
            </w:r>
          </w:p>
        </w:tc>
        <w:tc>
          <w:tcPr>
            <w:tcW w:w="0" w:type="dxa"/>
            <w:vAlign w:val="bottom"/>
          </w:tcPr>
          <w:p>
            <w:pPr>
              <w:spacing w:after="0"/>
              <w:rPr>
                <w:sz w:val="1"/>
                <w:szCs w:val="1"/>
                <w:color w:val="auto"/>
              </w:rPr>
            </w:pPr>
          </w:p>
        </w:tc>
      </w:tr>
      <w:tr>
        <w:trPr>
          <w:trHeight w:val="146"/>
        </w:trPr>
        <w:tc>
          <w:tcPr>
            <w:tcW w:w="312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220" w:type="dxa"/>
            <w:vAlign w:val="bottom"/>
          </w:tcPr>
          <w:p>
            <w:pPr>
              <w:spacing w:after="0"/>
              <w:rPr>
                <w:sz w:val="12"/>
                <w:szCs w:val="12"/>
                <w:color w:val="auto"/>
              </w:rPr>
            </w:pPr>
          </w:p>
        </w:tc>
        <w:tc>
          <w:tcPr>
            <w:tcW w:w="234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Used to Purchase</w:t>
            </w:r>
          </w:p>
        </w:tc>
        <w:tc>
          <w:tcPr>
            <w:tcW w:w="0" w:type="dxa"/>
            <w:vAlign w:val="bottom"/>
          </w:tcPr>
          <w:p>
            <w:pPr>
              <w:spacing w:after="0"/>
              <w:rPr>
                <w:sz w:val="1"/>
                <w:szCs w:val="1"/>
                <w:color w:val="auto"/>
              </w:rPr>
            </w:pPr>
          </w:p>
        </w:tc>
      </w:tr>
      <w:tr>
        <w:trPr>
          <w:trHeight w:val="199"/>
        </w:trPr>
        <w:tc>
          <w:tcPr>
            <w:tcW w:w="3120" w:type="dxa"/>
            <w:vAlign w:val="bottom"/>
            <w:gridSpan w:val="2"/>
            <w:vMerge w:val="continue"/>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140" w:type="dxa"/>
            <w:vAlign w:val="bottom"/>
          </w:tcPr>
          <w:p>
            <w:pPr>
              <w:jc w:val="center"/>
              <w:spacing w:after="0" w:line="199" w:lineRule="exact"/>
              <w:rPr>
                <w:sz w:val="20"/>
                <w:szCs w:val="20"/>
                <w:color w:val="auto"/>
              </w:rPr>
            </w:pPr>
            <w:r>
              <w:rPr>
                <w:rFonts w:ascii="Times New Roman" w:cs="Times New Roman" w:eastAsia="Times New Roman" w:hAnsi="Times New Roman"/>
                <w:sz w:val="14"/>
                <w:szCs w:val="14"/>
                <w:b w:val="1"/>
                <w:bCs w:val="1"/>
                <w:color w:val="auto"/>
                <w:w w:val="99"/>
              </w:rPr>
              <w:t xml:space="preserve">Announced Plans or Programs </w:t>
            </w:r>
            <w:r>
              <w:rPr>
                <w:rFonts w:ascii="Times New Roman" w:cs="Times New Roman" w:eastAsia="Times New Roman" w:hAnsi="Times New Roman"/>
                <w:sz w:val="18"/>
                <w:szCs w:val="18"/>
                <w:b w:val="1"/>
                <w:bCs w:val="1"/>
                <w:color w:val="auto"/>
                <w:w w:val="99"/>
                <w:vertAlign w:val="superscript"/>
              </w:rPr>
              <w:t>(1)</w:t>
            </w:r>
          </w:p>
        </w:tc>
        <w:tc>
          <w:tcPr>
            <w:tcW w:w="2560" w:type="dxa"/>
            <w:vAlign w:val="bottom"/>
            <w:gridSpan w:val="2"/>
          </w:tcPr>
          <w:p>
            <w:pPr>
              <w:jc w:val="center"/>
              <w:ind w:left="16"/>
              <w:spacing w:after="0" w:line="199" w:lineRule="exact"/>
              <w:rPr>
                <w:sz w:val="20"/>
                <w:szCs w:val="20"/>
                <w:color w:val="auto"/>
              </w:rPr>
            </w:pPr>
            <w:r>
              <w:rPr>
                <w:rFonts w:ascii="Times New Roman" w:cs="Times New Roman" w:eastAsia="Times New Roman" w:hAnsi="Times New Roman"/>
                <w:sz w:val="14"/>
                <w:szCs w:val="14"/>
                <w:b w:val="1"/>
                <w:bCs w:val="1"/>
                <w:color w:val="auto"/>
                <w:w w:val="98"/>
              </w:rPr>
              <w:t xml:space="preserve">Shares Under the Plans or Programs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18"/>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62,806,991</w:t>
            </w:r>
          </w:p>
        </w:tc>
        <w:tc>
          <w:tcPr>
            <w:tcW w:w="0" w:type="dxa"/>
            <w:vAlign w:val="bottom"/>
          </w:tcPr>
          <w:p>
            <w:pPr>
              <w:spacing w:after="0"/>
              <w:rPr>
                <w:sz w:val="1"/>
                <w:szCs w:val="1"/>
                <w:color w:val="auto"/>
              </w:rPr>
            </w:pPr>
          </w:p>
        </w:tc>
      </w:tr>
      <w:tr>
        <w:trPr>
          <w:trHeight w:val="22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59,108,618</w:t>
            </w:r>
          </w:p>
        </w:tc>
        <w:tc>
          <w:tcPr>
            <w:tcW w:w="0" w:type="dxa"/>
            <w:vAlign w:val="bottom"/>
          </w:tcPr>
          <w:p>
            <w:pPr>
              <w:spacing w:after="0"/>
              <w:rPr>
                <w:sz w:val="1"/>
                <w:szCs w:val="1"/>
                <w:color w:val="auto"/>
              </w:rPr>
            </w:pPr>
          </w:p>
        </w:tc>
      </w:tr>
      <w:tr>
        <w:trPr>
          <w:trHeight w:val="22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59,108,618</w:t>
            </w:r>
          </w:p>
        </w:tc>
        <w:tc>
          <w:tcPr>
            <w:tcW w:w="0" w:type="dxa"/>
            <w:vAlign w:val="bottom"/>
          </w:tcPr>
          <w:p>
            <w:pPr>
              <w:spacing w:after="0"/>
              <w:rPr>
                <w:sz w:val="1"/>
                <w:szCs w:val="1"/>
                <w:color w:val="auto"/>
              </w:rPr>
            </w:pPr>
          </w:p>
        </w:tc>
      </w:tr>
      <w:tr>
        <w:trPr>
          <w:trHeight w:val="218"/>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6"/>
        <w:spacing w:after="0" w:line="412" w:lineRule="auto"/>
        <w:tabs>
          <w:tab w:leader="none" w:pos="162"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December 2021, our Board of Directors approved a stock repurchase program that authorized the repurchase of up to $75.0 million worth of shares of our common stock. Repurchases under the new program are made in open market transactions or privately negotiated transactions, subject to market conditions, applicable legal requirements and other relevant factors. The program does not have an expiration date or a limit on the number of shares that may be purchased.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01" w:lineRule="exact"/>
        <w:rPr>
          <w:sz w:val="20"/>
          <w:szCs w:val="20"/>
          <w:color w:val="auto"/>
        </w:rPr>
      </w:pPr>
    </w:p>
    <w:p>
      <w:pPr>
        <w:ind w:firstLine="397"/>
        <w:spacing w:after="0" w:line="301" w:lineRule="auto"/>
        <w:rPr>
          <w:sz w:val="20"/>
          <w:szCs w:val="20"/>
          <w:color w:val="auto"/>
        </w:rPr>
      </w:pPr>
      <w:r>
        <w:rPr>
          <w:rFonts w:ascii="Times New Roman" w:cs="Times New Roman" w:eastAsia="Times New Roman" w:hAnsi="Times New Roman"/>
          <w:sz w:val="17"/>
          <w:szCs w:val="17"/>
          <w:color w:val="auto"/>
        </w:rPr>
        <w:t>During the three months ended January 31, 2025,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54" w:lineRule="exact"/>
        <w:rPr>
          <w:sz w:val="20"/>
          <w:szCs w:val="20"/>
          <w:color w:val="auto"/>
        </w:rPr>
      </w:pPr>
    </w:p>
    <w:p>
      <w:pPr>
        <w:ind w:right="400" w:firstLine="397"/>
        <w:spacing w:after="0" w:line="271" w:lineRule="auto"/>
        <w:rPr>
          <w:sz w:val="20"/>
          <w:szCs w:val="20"/>
          <w:color w:val="auto"/>
        </w:rPr>
      </w:pPr>
      <w:r>
        <w:rPr>
          <w:rFonts w:ascii="Times New Roman" w:cs="Times New Roman" w:eastAsia="Times New Roman" w:hAnsi="Times New Roman"/>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2"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73" w:lineRule="exact"/>
        <w:rPr>
          <w:sz w:val="20"/>
          <w:szCs w:val="20"/>
          <w:color w:val="auto"/>
        </w:rPr>
      </w:pPr>
    </w:p>
    <w:p>
      <w:pPr>
        <w:ind w:left="260"/>
        <w:spacing w:after="0"/>
        <w:tabs>
          <w:tab w:leader="none" w:pos="4540" w:val="left"/>
        </w:tabs>
        <w:rPr>
          <w:sz w:val="20"/>
          <w:szCs w:val="20"/>
          <w:color w:val="auto"/>
        </w:rPr>
      </w:pPr>
      <w:r>
        <w:rPr>
          <w:rFonts w:ascii="Times New Roman" w:cs="Times New Roman" w:eastAsia="Times New Roman" w:hAnsi="Times New Roman"/>
          <w:sz w:val="18"/>
          <w:szCs w:val="18"/>
          <w:color w:val="auto"/>
        </w:rPr>
        <w:t>Date: March 11, 2025</w:t>
      </w:r>
      <w:r>
        <w:rPr>
          <w:sz w:val="20"/>
          <w:szCs w:val="20"/>
          <w:color w:val="auto"/>
        </w:rPr>
        <w:tab/>
      </w:r>
      <w:r>
        <w:rPr>
          <w:rFonts w:ascii="Times New Roman" w:cs="Times New Roman" w:eastAsia="Times New Roman" w:hAnsi="Times New Roman"/>
          <w:sz w:val="17"/>
          <w:szCs w:val="17"/>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14605</wp:posOffset>
            </wp:positionV>
            <wp:extent cx="42354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35450" cy="8255"/>
                    </a:xfrm>
                    <a:prstGeom prst="rect">
                      <a:avLst/>
                    </a:prstGeom>
                    <a:noFill/>
                  </pic:spPr>
                </pic:pic>
              </a:graphicData>
            </a:graphic>
          </wp:anchor>
        </w:drawing>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Scott M. Zuehlke</w:t>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 Chief Financial Officer &amp; Treasurer</w:t>
      </w:r>
    </w:p>
    <w:p>
      <w:pPr>
        <w:jc w:val="center"/>
        <w:ind w:right="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29"/>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100" w:type="dxa"/>
            <w:vAlign w:val="bottom"/>
            <w:gridSpan w:val="24"/>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0" w:type="dxa"/>
            <w:vAlign w:val="bottom"/>
          </w:tcPr>
          <w:p>
            <w:pPr>
              <w:spacing w:after="0"/>
              <w:rPr>
                <w:sz w:val="1"/>
                <w:szCs w:val="1"/>
                <w:color w:val="auto"/>
              </w:rPr>
            </w:pPr>
          </w:p>
        </w:tc>
      </w:tr>
      <w:tr>
        <w:trPr>
          <w:trHeight w:val="210"/>
        </w:trPr>
        <w:tc>
          <w:tcPr>
            <w:tcW w:w="1420" w:type="dxa"/>
            <w:vAlign w:val="bottom"/>
            <w:gridSpan w:val="7"/>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Exhibit Number</w:t>
            </w: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100" w:type="dxa"/>
            <w:vAlign w:val="bottom"/>
            <w:gridSpan w:val="24"/>
          </w:tcPr>
          <w:p>
            <w:pPr>
              <w:jc w:val="center"/>
              <w:ind w:right="2620"/>
              <w:spacing w:after="0"/>
              <w:rPr>
                <w:sz w:val="20"/>
                <w:szCs w:val="20"/>
                <w:color w:val="auto"/>
              </w:rPr>
            </w:pPr>
            <w:r>
              <w:rPr>
                <w:rFonts w:ascii="Times New Roman" w:cs="Times New Roman" w:eastAsia="Times New Roman" w:hAnsi="Times New Roman"/>
                <w:sz w:val="16"/>
                <w:szCs w:val="16"/>
                <w:b w:val="1"/>
                <w:bCs w:val="1"/>
                <w:color w:val="auto"/>
                <w:w w:val="99"/>
              </w:rPr>
              <w:t>Description of Exhibits</w:t>
            </w:r>
          </w:p>
        </w:tc>
        <w:tc>
          <w:tcPr>
            <w:tcW w:w="0" w:type="dxa"/>
            <w:vAlign w:val="bottom"/>
          </w:tcPr>
          <w:p>
            <w:pPr>
              <w:spacing w:after="0"/>
              <w:rPr>
                <w:sz w:val="1"/>
                <w:szCs w:val="1"/>
                <w:color w:val="auto"/>
              </w:rPr>
            </w:pPr>
          </w:p>
        </w:tc>
      </w:tr>
      <w:tr>
        <w:trPr>
          <w:trHeight w:val="243"/>
        </w:trPr>
        <w:tc>
          <w:tcPr>
            <w:tcW w:w="680" w:type="dxa"/>
            <w:vAlign w:val="bottom"/>
            <w:gridSpan w:val="5"/>
          </w:tcPr>
          <w:p>
            <w:pPr>
              <w:jc w:val="center"/>
              <w:ind w:left="332"/>
              <w:spacing w:after="0"/>
              <w:rPr>
                <w:rFonts w:ascii="Times New Roman" w:cs="Times New Roman" w:eastAsia="Times New Roman" w:hAnsi="Times New Roman"/>
                <w:sz w:val="18"/>
                <w:szCs w:val="18"/>
                <w:color w:val="0000FF"/>
                <w:w w:val="97"/>
              </w:rPr>
            </w:pPr>
            <w:hyperlink r:id="rId63">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Rule 2.7 Announcement dated as of April 22, as filed as Exhibit 2.1 to the Registrant’s Current Report on Form 8-</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320" w:type="dxa"/>
            <w:vAlign w:val="bottom"/>
            <w:tcBorders>
              <w:top w:val="single" w:sz="8" w:color="0000FF"/>
              <w:bottom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K (Reg. No. 001-33913), as filed with the Securities and Exchange Commission on April 22, 2024,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40" w:type="dxa"/>
            <w:vAlign w:val="bottom"/>
            <w:tcBorders>
              <w:bottom w:val="single" w:sz="8" w:color="0000FF"/>
            </w:tcBorders>
            <w:gridSpan w:val="2"/>
          </w:tcPr>
          <w:p>
            <w:pPr>
              <w:spacing w:after="0" w:line="165" w:lineRule="exact"/>
              <w:rPr>
                <w:rFonts w:ascii="Times New Roman" w:cs="Times New Roman" w:eastAsia="Times New Roman" w:hAnsi="Times New Roman"/>
                <w:sz w:val="18"/>
                <w:szCs w:val="18"/>
                <w:color w:val="0000FF"/>
                <w:w w:val="97"/>
              </w:rPr>
            </w:pPr>
            <w:hyperlink r:id="rId63">
              <w:r>
                <w:rPr>
                  <w:rFonts w:ascii="Times New Roman" w:cs="Times New Roman" w:eastAsia="Times New Roman" w:hAnsi="Times New Roman"/>
                  <w:sz w:val="18"/>
                  <w:szCs w:val="18"/>
                  <w:color w:val="0000FF"/>
                  <w:w w:val="97"/>
                </w:rPr>
                <w:t>incorporated herein by reference.</w:t>
              </w:r>
            </w:hyperlink>
          </w:p>
        </w:tc>
        <w:tc>
          <w:tcPr>
            <w:tcW w:w="600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80" w:type="dxa"/>
            <w:vAlign w:val="bottom"/>
            <w:gridSpan w:val="5"/>
          </w:tcPr>
          <w:p>
            <w:pPr>
              <w:jc w:val="center"/>
              <w:ind w:left="332"/>
              <w:spacing w:after="0"/>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Co-operation Agreement dated as of April 22, 2024, as filed as Exhibit 2.2 to the Registrant’s Current Report on</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2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Form 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40" w:type="dxa"/>
            <w:vAlign w:val="bottom"/>
            <w:tcBorders>
              <w:bottom w:val="single" w:sz="8" w:color="0000FF"/>
            </w:tcBorders>
            <w:gridSpan w:val="2"/>
          </w:tcPr>
          <w:p>
            <w:pPr>
              <w:spacing w:after="0" w:line="165" w:lineRule="exact"/>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incorporated herein by reference.</w:t>
              </w:r>
            </w:hyperlink>
          </w:p>
        </w:tc>
        <w:tc>
          <w:tcPr>
            <w:tcW w:w="6060" w:type="dxa"/>
            <w:vAlign w:val="bottom"/>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80" w:type="dxa"/>
            <w:vAlign w:val="bottom"/>
            <w:gridSpan w:val="5"/>
          </w:tcPr>
          <w:p>
            <w:pPr>
              <w:jc w:val="center"/>
              <w:ind w:left="332"/>
              <w:spacing w:after="0"/>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Form of Deed of Irrevocable Undertaking dated as of April 22, 2024, as filed as Exhibit 2.3 to the Registrant’s</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0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Current Report on Form 8-K (Reg. No. 001-33913), as filed with the Securities and Exchange Commission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Borders>
              <w:bottom w:val="single" w:sz="8" w:color="0000FF"/>
            </w:tcBorders>
            <w:gridSpan w:val="3"/>
          </w:tcPr>
          <w:p>
            <w:pPr>
              <w:spacing w:after="0" w:line="165" w:lineRule="exact"/>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April 22, 2024, and incorporated herein by reference.</w:t>
              </w:r>
            </w:hyperlink>
          </w:p>
        </w:tc>
        <w:tc>
          <w:tcPr>
            <w:tcW w:w="4620" w:type="dxa"/>
            <w:vAlign w:val="bottom"/>
            <w:gridSpan w:val="2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80" w:type="dxa"/>
            <w:vAlign w:val="bottom"/>
            <w:gridSpan w:val="5"/>
          </w:tcPr>
          <w:p>
            <w:pPr>
              <w:jc w:val="center"/>
              <w:ind w:left="332"/>
              <w:spacing w:after="0"/>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80" w:type="dxa"/>
            <w:vAlign w:val="bottom"/>
            <w:tcBorders>
              <w:top w:val="single" w:sz="8" w:color="0000FF"/>
            </w:tcBorders>
            <w:gridSpan w:val="13"/>
          </w:tcPr>
          <w:p>
            <w:pPr>
              <w:spacing w:after="0" w:line="165"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Commission on March 7, 2016, and incorporated herein by reference.</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80" w:type="dxa"/>
            <w:vAlign w:val="bottom"/>
            <w:gridSpan w:val="5"/>
          </w:tcPr>
          <w:p>
            <w:pPr>
              <w:jc w:val="center"/>
              <w:ind w:left="332"/>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Fourth Amended and Restated Bylaws of the Registrant dated as of February 27, 2020, filed as Exhibit 3.2 of the</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Registrant's Quarterly Report on Form 10-Q (Reg. No. 001-33913) for the quarter ended January 31,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incorporated herein by reference.</w:t>
              </w:r>
            </w:hyperlink>
          </w:p>
        </w:tc>
        <w:tc>
          <w:tcPr>
            <w:tcW w:w="580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80" w:type="dxa"/>
            <w:vAlign w:val="bottom"/>
            <w:gridSpan w:val="5"/>
          </w:tcPr>
          <w:p>
            <w:pPr>
              <w:jc w:val="center"/>
              <w:ind w:left="332"/>
              <w:spacing w:after="0"/>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40" w:type="dxa"/>
            <w:vAlign w:val="bottom"/>
            <w:tcBorders>
              <w:top w:val="single" w:sz="8" w:color="0000FF"/>
              <w:bottom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Registration Statement on Form 10-Q (Reg. No. 001-33913) as filed with the Securities and Exchange Commission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20" w:type="dxa"/>
            <w:vAlign w:val="bottom"/>
            <w:gridSpan w:val="25"/>
          </w:tcPr>
          <w:p>
            <w:pPr>
              <w:spacing w:after="0" w:line="165"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on February 14, 2008,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gridSpan w:val="5"/>
            <w:vMerge w:val="restart"/>
          </w:tcPr>
          <w:p>
            <w:pPr>
              <w:jc w:val="center"/>
              <w:ind w:left="332"/>
              <w:spacing w:after="0"/>
              <w:rPr>
                <w:rFonts w:ascii="Times New Roman" w:cs="Times New Roman" w:eastAsia="Times New Roman" w:hAnsi="Times New Roman"/>
                <w:sz w:val="18"/>
                <w:szCs w:val="18"/>
                <w:color w:val="0000FF"/>
                <w:w w:val="97"/>
              </w:rPr>
            </w:pPr>
            <w:hyperlink r:id="rId6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80" w:type="dxa"/>
            <w:vAlign w:val="bottom"/>
            <w:gridSpan w:val="5"/>
            <w:vMerge w:val="continue"/>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6"/>
            <w:vMerge w:val="restart"/>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3"/>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40" w:type="dxa"/>
            <w:vAlign w:val="bottom"/>
            <w:gridSpan w:val="2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lenders party thereto; and Wells Fargo Bank, National Association, as Agent; filed as Exhibit 10.1 of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Registrant's Current Report on Form 8-K (Reg. No. 001-33913) as filed with the Securities and Exchange</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60" w:type="dxa"/>
            <w:vAlign w:val="bottom"/>
            <w:gridSpan w:val="22"/>
          </w:tcPr>
          <w:p>
            <w:pPr>
              <w:spacing w:after="0" w:line="165"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Commission on July 6, 2022, and incorporated herein by reference.</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40" w:type="dxa"/>
            <w:vAlign w:val="bottom"/>
            <w:gridSpan w:val="5"/>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80" w:type="dxa"/>
            <w:vAlign w:val="bottom"/>
            <w:gridSpan w:val="5"/>
          </w:tcPr>
          <w:p>
            <w:pPr>
              <w:jc w:val="center"/>
              <w:ind w:left="332"/>
              <w:spacing w:after="0"/>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Amendment No.1 to the Second Amended and Restated Credit Agreement among the Company (acting as</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borrower), the Company subsidiaries acting as guarantors thereto, Wells Fargo Bank, National Association as</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20" w:type="dxa"/>
            <w:vAlign w:val="bottom"/>
            <w:tcBorders>
              <w:top w:val="single" w:sz="8" w:color="0000FF"/>
            </w:tcBorders>
            <w:gridSpan w:val="15"/>
          </w:tcPr>
          <w:p>
            <w:pPr>
              <w:spacing w:after="0" w:line="165"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agent, swingline lender and issuing lender, and the other parties thereto, dated as of June 12, 2024, filed as Exhibit</w:t>
              </w:r>
            </w:hyperlink>
          </w:p>
        </w:tc>
        <w:tc>
          <w:tcPr>
            <w:tcW w:w="100" w:type="dxa"/>
            <w:vAlign w:val="bottom"/>
            <w:gridSpan w:val="5"/>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Registrant’s Current Report on Form 8-K (Reg. No. 001-33913), as filed with the Securities and</w:t>
              </w:r>
            </w:hyperlink>
          </w:p>
        </w:tc>
        <w:tc>
          <w:tcPr>
            <w:tcW w:w="160" w:type="dxa"/>
            <w:vAlign w:val="bottom"/>
            <w:tcBorders>
              <w:bottom w:val="single" w:sz="8" w:color="0000FF"/>
            </w:tcBorders>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20" w:type="dxa"/>
            <w:vAlign w:val="bottom"/>
            <w:gridSpan w:val="20"/>
          </w:tcPr>
          <w:p>
            <w:pPr>
              <w:spacing w:after="0" w:line="152"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Exchange Commission on June 12, 2024, and incorporated herein by reference.</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3"/>
                <w:szCs w:val="2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*19</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Insider Trading and Treatment of Material Non-Public Information Policy.</w:t>
            </w:r>
          </w:p>
        </w:tc>
        <w:tc>
          <w:tcPr>
            <w:tcW w:w="2840" w:type="dxa"/>
            <w:vAlign w:val="bottom"/>
            <w:gridSpan w:val="16"/>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60" w:type="dxa"/>
            <w:vAlign w:val="bottom"/>
            <w:gridSpan w:val="6"/>
          </w:tcPr>
          <w:p>
            <w:pPr>
              <w:jc w:val="center"/>
              <w:ind w:left="272"/>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60" w:type="dxa"/>
            <w:vAlign w:val="bottom"/>
            <w:gridSpan w:val="6"/>
          </w:tcPr>
          <w:p>
            <w:pPr>
              <w:jc w:val="center"/>
              <w:ind w:left="272"/>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60" w:type="dxa"/>
            <w:vAlign w:val="bottom"/>
          </w:tcPr>
          <w:p>
            <w:pPr>
              <w:spacing w:after="0"/>
              <w:rPr>
                <w:sz w:val="22"/>
                <w:szCs w:val="22"/>
                <w:color w:val="auto"/>
              </w:rPr>
            </w:pP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c>
          <w:tcPr>
            <w:tcW w:w="0" w:type="dxa"/>
            <w:vAlign w:val="bottom"/>
          </w:tcPr>
          <w:p>
            <w:pPr>
              <w:spacing w:after="0"/>
              <w:rPr>
                <w:sz w:val="1"/>
                <w:szCs w:val="1"/>
                <w:color w:val="auto"/>
              </w:rPr>
            </w:pPr>
          </w:p>
        </w:tc>
      </w:tr>
      <w:tr>
        <w:trPr>
          <w:trHeight w:val="20"/>
        </w:trPr>
        <w:tc>
          <w:tcPr>
            <w:tcW w:w="7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60" w:type="dxa"/>
            <w:vAlign w:val="bottom"/>
            <w:gridSpan w:val="6"/>
          </w:tcPr>
          <w:p>
            <w:pPr>
              <w:jc w:val="center"/>
              <w:ind w:left="272"/>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1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33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w w:val="97"/>
              </w:rPr>
              <w:t>*101.INS</w:t>
            </w: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86"/>
        </w:trPr>
        <w:tc>
          <w:tcPr>
            <w:tcW w:w="142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color w:val="auto"/>
                <w:w w:val="97"/>
              </w:rPr>
              <w:t>*101.SCH</w:t>
            </w: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8"/>
        </w:trPr>
        <w:tc>
          <w:tcPr>
            <w:tcW w:w="142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color w:val="auto"/>
                <w:w w:val="96"/>
              </w:rPr>
              <w:t>*101.CAL</w:t>
            </w: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8"/>
        </w:trPr>
        <w:tc>
          <w:tcPr>
            <w:tcW w:w="142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*101.DEF</w:t>
            </w: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8"/>
        </w:trPr>
        <w:tc>
          <w:tcPr>
            <w:tcW w:w="142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color w:val="auto"/>
                <w:w w:val="96"/>
              </w:rPr>
              <w:t>*101.LAB</w:t>
            </w: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8"/>
        </w:trPr>
        <w:tc>
          <w:tcPr>
            <w:tcW w:w="14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w w:val="97"/>
              </w:rPr>
              <w:t>*101.PRE</w:t>
            </w:r>
          </w:p>
        </w:tc>
        <w:tc>
          <w:tcPr>
            <w:tcW w:w="8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28"/>
          <w:szCs w:val="28"/>
          <w:b w:val="1"/>
          <w:bCs w:val="1"/>
          <w:color w:val="auto"/>
        </w:rPr>
        <w:t>Insider Trading and Treatment of Material Non-Public Informaton</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w:t>
      </w:r>
    </w:p>
    <w:p>
      <w:pPr>
        <w:spacing w:after="0" w:line="206"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The purpose of this policy is to provide directon and guidance for the proper treatment of material non- public informaton and the use of such informaton in the purchase, sale or other transfer of the stock or other securites of Quanex Building Products Corporaton (the “Company”).</w:t>
      </w:r>
    </w:p>
    <w:p>
      <w:pPr>
        <w:spacing w:after="0" w:line="200" w:lineRule="exact"/>
        <w:rPr>
          <w:sz w:val="20"/>
          <w:szCs w:val="20"/>
          <w:color w:val="auto"/>
        </w:rPr>
      </w:pPr>
    </w:p>
    <w:p>
      <w:pPr>
        <w:spacing w:after="0" w:line="223" w:lineRule="exact"/>
        <w:rPr>
          <w:sz w:val="20"/>
          <w:szCs w:val="20"/>
          <w:color w:val="auto"/>
        </w:rPr>
      </w:pPr>
    </w:p>
    <w:p>
      <w:pPr>
        <w:jc w:val="both"/>
        <w:spacing w:after="0" w:line="228" w:lineRule="auto"/>
        <w:rPr>
          <w:sz w:val="20"/>
          <w:szCs w:val="20"/>
          <w:color w:val="auto"/>
        </w:rPr>
      </w:pPr>
      <w:r>
        <w:rPr>
          <w:rFonts w:ascii="Calibri" w:cs="Calibri" w:eastAsia="Calibri" w:hAnsi="Calibri"/>
          <w:sz w:val="19"/>
          <w:szCs w:val="19"/>
          <w:color w:val="auto"/>
        </w:rPr>
        <w:t>This policy applies to all transactons in Company securites, including the purchase, sale, or other transfer (including gifs) of common stock and any other securites the Company may issue from tme to tme, such as preferred stock, optons, warrants, convertble debentures and other debt securites, as well as to derivatve securites relatng to Company stock, whether or not issued by the Company, such as publicly-traded optons. This policy also applies to the securites of other companies doing business with the Company, as well as to any publicly traded companies afliated with the Company.</w:t>
      </w:r>
    </w:p>
    <w:p>
      <w:pPr>
        <w:spacing w:after="0" w:line="222" w:lineRule="exact"/>
        <w:rPr>
          <w:sz w:val="20"/>
          <w:szCs w:val="20"/>
          <w:color w:val="auto"/>
        </w:rPr>
      </w:pPr>
    </w:p>
    <w:p>
      <w:pPr>
        <w:jc w:val="both"/>
        <w:spacing w:after="0" w:line="230" w:lineRule="auto"/>
        <w:rPr>
          <w:sz w:val="20"/>
          <w:szCs w:val="20"/>
          <w:color w:val="auto"/>
        </w:rPr>
      </w:pPr>
      <w:r>
        <w:rPr>
          <w:rFonts w:ascii="Calibri" w:cs="Calibri" w:eastAsia="Calibri" w:hAnsi="Calibri"/>
          <w:sz w:val="19"/>
          <w:szCs w:val="19"/>
          <w:color w:val="auto"/>
        </w:rPr>
        <w:t>This policy applies not only to the Company, all ofcers of the Company and to all members of the Company’s Board of Directors, but also to all employees of, consultants to, and other persons associated with, the Company and its subsidiaries who receive or have access to material non-public informaton regarding the Company.</w:t>
      </w:r>
    </w:p>
    <w:p>
      <w:pPr>
        <w:spacing w:after="0" w:line="1" w:lineRule="exact"/>
        <w:rPr>
          <w:sz w:val="20"/>
          <w:szCs w:val="20"/>
          <w:color w:val="auto"/>
        </w:rPr>
      </w:pPr>
    </w:p>
    <w:p>
      <w:pPr>
        <w:jc w:val="both"/>
        <w:spacing w:after="0" w:line="225" w:lineRule="auto"/>
        <w:rPr>
          <w:sz w:val="20"/>
          <w:szCs w:val="20"/>
          <w:color w:val="auto"/>
        </w:rPr>
      </w:pPr>
      <w:r>
        <w:rPr>
          <w:rFonts w:ascii="Calibri" w:cs="Calibri" w:eastAsia="Calibri" w:hAnsi="Calibri"/>
          <w:sz w:val="19"/>
          <w:szCs w:val="19"/>
          <w:color w:val="auto"/>
        </w:rPr>
        <w:t>This policy applies not only to the above group of people but also to members of their immediate families, members of their households, enttes controlled by them and any person who receives material, non- public informaton from any of them.</w:t>
      </w:r>
    </w:p>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Defnitons</w:t>
      </w:r>
    </w:p>
    <w:p>
      <w:pPr>
        <w:spacing w:after="0" w:line="232" w:lineRule="auto"/>
        <w:rPr>
          <w:sz w:val="20"/>
          <w:szCs w:val="20"/>
          <w:color w:val="auto"/>
        </w:rPr>
      </w:pPr>
      <w:r>
        <w:rPr>
          <w:rFonts w:ascii="Calibri" w:cs="Calibri" w:eastAsia="Calibri" w:hAnsi="Calibri"/>
          <w:sz w:val="19"/>
          <w:szCs w:val="19"/>
          <w:u w:val="single" w:color="auto"/>
          <w:color w:val="auto"/>
        </w:rPr>
        <w:t>Non-Public Informaton</w:t>
      </w:r>
    </w:p>
    <w:p>
      <w:pPr>
        <w:spacing w:after="0" w:line="1" w:lineRule="exact"/>
        <w:rPr>
          <w:sz w:val="20"/>
          <w:szCs w:val="20"/>
          <w:color w:val="auto"/>
        </w:rPr>
      </w:pPr>
    </w:p>
    <w:p>
      <w:pPr>
        <w:jc w:val="both"/>
        <w:ind w:right="20"/>
        <w:spacing w:after="0" w:line="223" w:lineRule="auto"/>
        <w:rPr>
          <w:sz w:val="20"/>
          <w:szCs w:val="20"/>
          <w:color w:val="auto"/>
        </w:rPr>
      </w:pPr>
      <w:r>
        <w:rPr>
          <w:rFonts w:ascii="Calibri" w:cs="Calibri" w:eastAsia="Calibri" w:hAnsi="Calibri"/>
          <w:sz w:val="19"/>
          <w:szCs w:val="19"/>
          <w:color w:val="auto"/>
        </w:rPr>
        <w:t>Non-public informaton is informaton developed or obtained inside the Company which has not been publicly disclosed. If Company employees or associates possess such informaton about actvites or events before they become public knowledge, this knowledge is considered non-public and, as such, “insider informaton,” and must be kept confdental.</w:t>
      </w:r>
    </w:p>
    <w:p>
      <w:pPr>
        <w:spacing w:after="0" w:line="233"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Materiality</w:t>
      </w:r>
    </w:p>
    <w:p>
      <w:pPr>
        <w:jc w:val="both"/>
        <w:spacing w:after="0" w:line="223" w:lineRule="auto"/>
        <w:rPr>
          <w:sz w:val="20"/>
          <w:szCs w:val="20"/>
          <w:color w:val="auto"/>
        </w:rPr>
      </w:pPr>
      <w:r>
        <w:rPr>
          <w:rFonts w:ascii="Calibri" w:cs="Calibri" w:eastAsia="Calibri" w:hAnsi="Calibri"/>
          <w:sz w:val="19"/>
          <w:szCs w:val="19"/>
          <w:color w:val="auto"/>
        </w:rPr>
        <w:t>Informaton is “material” if there is a substantal likelihood that a reasonable investor would consider the informaton important in deciding whether to buy or sell the securites or whether the informaton, if disclosed, could be viewed by a reasonable investor as having signifcantly altered the “total mix” of publicly available informaton about the issuer of securites.</w:t>
      </w:r>
    </w:p>
    <w:p>
      <w:pPr>
        <w:spacing w:after="0" w:line="247" w:lineRule="exact"/>
        <w:rPr>
          <w:sz w:val="20"/>
          <w:szCs w:val="20"/>
          <w:color w:val="auto"/>
        </w:rPr>
      </w:pPr>
    </w:p>
    <w:p>
      <w:pPr>
        <w:jc w:val="both"/>
        <w:ind w:left="640" w:hanging="316"/>
        <w:spacing w:after="0" w:line="230" w:lineRule="auto"/>
        <w:tabs>
          <w:tab w:leader="none" w:pos="628" w:val="left"/>
        </w:tabs>
        <w:numPr>
          <w:ilvl w:val="0"/>
          <w:numId w:val="7"/>
        </w:numPr>
        <w:rPr>
          <w:rFonts w:ascii="Arial" w:cs="Arial" w:eastAsia="Arial" w:hAnsi="Arial"/>
          <w:sz w:val="19"/>
          <w:szCs w:val="19"/>
          <w:color w:val="auto"/>
        </w:rPr>
      </w:pPr>
      <w:r>
        <w:rPr>
          <w:rFonts w:ascii="Calibri" w:cs="Calibri" w:eastAsia="Calibri" w:hAnsi="Calibri"/>
          <w:sz w:val="19"/>
          <w:szCs w:val="19"/>
          <w:i w:val="1"/>
          <w:iCs w:val="1"/>
          <w:color w:val="auto"/>
        </w:rPr>
        <w:t xml:space="preserve">Ask this queston: </w:t>
      </w:r>
      <w:r>
        <w:rPr>
          <w:rFonts w:ascii="Calibri" w:cs="Calibri" w:eastAsia="Calibri" w:hAnsi="Calibri"/>
          <w:sz w:val="19"/>
          <w:szCs w:val="19"/>
          <w:color w:val="auto"/>
        </w:rPr>
        <w:t>Is it reasonably possible that the informaton when disclosed will afect the price for the Company’s securites</w:t>
      </w:r>
      <w:r>
        <w:rPr>
          <w:rFonts w:ascii="Calibri" w:cs="Calibri" w:eastAsia="Calibri" w:hAnsi="Calibri"/>
          <w:sz w:val="19"/>
          <w:szCs w:val="19"/>
          <w:i w:val="1"/>
          <w:iCs w:val="1"/>
          <w:color w:val="auto"/>
        </w:rPr>
        <w:t xml:space="preserve"> (or the securites of another company doing business with the Company)</w:t>
      </w:r>
      <w:r>
        <w:rPr>
          <w:rFonts w:ascii="Calibri" w:cs="Calibri" w:eastAsia="Calibri" w:hAnsi="Calibri"/>
          <w:sz w:val="19"/>
          <w:szCs w:val="19"/>
          <w:color w:val="auto"/>
        </w:rPr>
        <w:t>? If your answer is “yes” or “maybe”, either refrain from</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trading or contact the Company’s Chief Financial Ofcer or General Counsel before doing so.</w:t>
      </w:r>
    </w:p>
    <w:p>
      <w:pPr>
        <w:spacing w:after="0" w:line="233" w:lineRule="exact"/>
        <w:rPr>
          <w:rFonts w:ascii="Arial" w:cs="Arial" w:eastAsia="Arial" w:hAnsi="Arial"/>
          <w:sz w:val="19"/>
          <w:szCs w:val="19"/>
          <w:color w:val="auto"/>
        </w:rPr>
      </w:pPr>
    </w:p>
    <w:p>
      <w:pPr>
        <w:jc w:val="both"/>
        <w:ind w:left="640" w:hanging="316"/>
        <w:spacing w:after="0" w:line="227" w:lineRule="auto"/>
        <w:tabs>
          <w:tab w:leader="none" w:pos="633" w:val="left"/>
        </w:tabs>
        <w:numPr>
          <w:ilvl w:val="0"/>
          <w:numId w:val="7"/>
        </w:numPr>
        <w:rPr>
          <w:rFonts w:ascii="Calibri" w:cs="Calibri" w:eastAsia="Calibri" w:hAnsi="Calibri"/>
          <w:sz w:val="19"/>
          <w:szCs w:val="19"/>
          <w:color w:val="auto"/>
        </w:rPr>
      </w:pPr>
      <w:r>
        <w:rPr>
          <w:rFonts w:ascii="Calibri" w:cs="Calibri" w:eastAsia="Calibri" w:hAnsi="Calibri"/>
          <w:sz w:val="19"/>
          <w:szCs w:val="19"/>
          <w:color w:val="auto"/>
        </w:rPr>
        <w:t xml:space="preserve">Some </w:t>
      </w:r>
      <w:r>
        <w:rPr>
          <w:rFonts w:ascii="Calibri" w:cs="Calibri" w:eastAsia="Calibri" w:hAnsi="Calibri"/>
          <w:sz w:val="19"/>
          <w:szCs w:val="19"/>
          <w:i w:val="1"/>
          <w:iCs w:val="1"/>
          <w:color w:val="auto"/>
        </w:rPr>
        <w:t>(but not all)</w:t>
      </w:r>
      <w:r>
        <w:rPr>
          <w:rFonts w:ascii="Calibri" w:cs="Calibri" w:eastAsia="Calibri" w:hAnsi="Calibri"/>
          <w:sz w:val="19"/>
          <w:szCs w:val="19"/>
          <w:color w:val="auto"/>
        </w:rPr>
        <w:t xml:space="preserve"> of the maters which may be material are: earnings forecasts and undisclosed past fnancial results; the possible acquisiton or dispositon of a business or formaton of a joint venture or other strategic relatonship; acquisiton or loss of a signifcant supplier or customer or contract therewith; dividend actons; important product developments; signifcant fnancing developments; key personnel changes; major litgaton developments; a signifcant change in the Company’s capital structure (debt or equity); the Company’s transactons in Company securites; and the status of any labor negotatons. (</w:t>
      </w:r>
      <w:r>
        <w:rPr>
          <w:rFonts w:ascii="Calibri" w:cs="Calibri" w:eastAsia="Calibri" w:hAnsi="Calibri"/>
          <w:sz w:val="19"/>
          <w:szCs w:val="19"/>
          <w:i w:val="1"/>
          <w:iCs w:val="1"/>
          <w:color w:val="auto"/>
        </w:rPr>
        <w:t>These examples do not</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include all possible maters and are intended as illustratve only</w:t>
      </w:r>
      <w:r>
        <w:rPr>
          <w:rFonts w:ascii="Calibri" w:cs="Calibri" w:eastAsia="Calibri" w:hAnsi="Calibri"/>
          <w:sz w:val="19"/>
          <w:szCs w:val="19"/>
          <w:color w:val="auto"/>
        </w:rPr>
        <w:t>.)</w:t>
      </w: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Revised April 2023</w:t>
      </w:r>
    </w:p>
    <w:p>
      <w:pPr>
        <w:sectPr>
          <w:pgSz w:w="11900" w:h="16838" w:orient="portrait"/>
          <w:cols w:equalWidth="0" w:num="1">
            <w:col w:w="11240"/>
          </w:cols>
          <w:pgMar w:left="320" w:top="1059" w:right="339" w:bottom="1440" w:gutter="0" w:footer="0" w:header="0"/>
        </w:sectPr>
      </w:pPr>
    </w:p>
    <w:bookmarkStart w:id="43" w:name="page44"/>
    <w:bookmarkEnd w:id="43"/>
    <w:p>
      <w:pPr>
        <w:spacing w:after="0" w:line="170"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Complying Transactons and Rule 10b5-1 Plans</w:t>
      </w:r>
    </w:p>
    <w:p>
      <w:pPr>
        <w:jc w:val="both"/>
        <w:spacing w:after="0" w:line="225" w:lineRule="auto"/>
        <w:rPr>
          <w:sz w:val="20"/>
          <w:szCs w:val="20"/>
          <w:color w:val="auto"/>
        </w:rPr>
      </w:pPr>
      <w:r>
        <w:rPr>
          <w:rFonts w:ascii="Calibri" w:cs="Calibri" w:eastAsia="Calibri" w:hAnsi="Calibri"/>
          <w:sz w:val="19"/>
          <w:szCs w:val="19"/>
          <w:color w:val="auto"/>
        </w:rPr>
        <w:t>In 2000, the Securites and Exchange Commission adopted Rule 10b5-1, which it has subsequently amended, to defne when a purchase or sale consttutes trading “on the basis of” material non-public informaton. The SEC added a specifc rule that addresses such insider trading as a specifc violaton of Rule 10b5-1. This rule defnes a purchase or sale as being on the basis of material non-public informaton if the person was “aware of” the informaton when making the purchase or sale.</w:t>
      </w:r>
    </w:p>
    <w:p>
      <w:pPr>
        <w:spacing w:after="0" w:line="222" w:lineRule="exact"/>
        <w:rPr>
          <w:sz w:val="20"/>
          <w:szCs w:val="20"/>
          <w:color w:val="auto"/>
        </w:rPr>
      </w:pPr>
    </w:p>
    <w:p>
      <w:pPr>
        <w:jc w:val="both"/>
        <w:spacing w:after="0" w:line="228" w:lineRule="auto"/>
        <w:rPr>
          <w:sz w:val="20"/>
          <w:szCs w:val="20"/>
          <w:color w:val="auto"/>
        </w:rPr>
      </w:pPr>
      <w:r>
        <w:rPr>
          <w:rFonts w:ascii="Calibri" w:cs="Calibri" w:eastAsia="Calibri" w:hAnsi="Calibri"/>
          <w:sz w:val="19"/>
          <w:szCs w:val="19"/>
          <w:color w:val="auto"/>
        </w:rPr>
        <w:t xml:space="preserve">In adoptng this approach, the SEC provided certain afrmatve defenses to a claim of insider trading if, among other narrowly construed possibilites, the person demonstrates (a) that he/she had adopted a </w:t>
      </w:r>
      <w:r>
        <w:rPr>
          <w:rFonts w:ascii="Calibri" w:cs="Calibri" w:eastAsia="Calibri" w:hAnsi="Calibri"/>
          <w:sz w:val="19"/>
          <w:szCs w:val="19"/>
          <w:b w:val="1"/>
          <w:bCs w:val="1"/>
          <w:i w:val="1"/>
          <w:iCs w:val="1"/>
          <w:color w:val="auto"/>
        </w:rPr>
        <w:t>writen</w:t>
      </w:r>
      <w:r>
        <w:rPr>
          <w:rFonts w:ascii="Calibri" w:cs="Calibri" w:eastAsia="Calibri" w:hAnsi="Calibri"/>
          <w:sz w:val="19"/>
          <w:szCs w:val="19"/>
          <w:color w:val="auto"/>
        </w:rPr>
        <w:t xml:space="preserve"> plan for trading securites before becoming aware of the informaton, specifying either amounts, prices and dates for the “trading” plan actons, or a formula or the like for setng such amounts, prices and dates; and (b) that the purchase or sale was pursuant to the plan </w:t>
      </w:r>
      <w:r>
        <w:rPr>
          <w:rFonts w:ascii="Calibri" w:cs="Calibri" w:eastAsia="Calibri" w:hAnsi="Calibri"/>
          <w:sz w:val="19"/>
          <w:szCs w:val="19"/>
          <w:i w:val="1"/>
          <w:iCs w:val="1"/>
          <w:color w:val="auto"/>
        </w:rPr>
        <w:t>(a purchase or sale is not pursuant to a plan, among other</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reasons, if the person who made the plan altered or deviated from it).</w:t>
      </w:r>
    </w:p>
    <w:p>
      <w:pPr>
        <w:spacing w:after="0" w:line="222" w:lineRule="exact"/>
        <w:rPr>
          <w:sz w:val="20"/>
          <w:szCs w:val="20"/>
          <w:color w:val="auto"/>
        </w:rPr>
      </w:pPr>
    </w:p>
    <w:p>
      <w:pPr>
        <w:jc w:val="both"/>
        <w:spacing w:after="0" w:line="236" w:lineRule="auto"/>
        <w:rPr>
          <w:sz w:val="20"/>
          <w:szCs w:val="20"/>
          <w:color w:val="auto"/>
        </w:rPr>
      </w:pPr>
      <w:r>
        <w:rPr>
          <w:rFonts w:ascii="Calibri" w:cs="Calibri" w:eastAsia="Calibri" w:hAnsi="Calibri"/>
          <w:sz w:val="19"/>
          <w:szCs w:val="19"/>
          <w:color w:val="auto"/>
        </w:rPr>
        <w:t>Ofcers, directors and designated insiders of the Company are allowed to adopt 10b5-1 plans on their own behalf, subject to the following conditons:</w:t>
      </w:r>
    </w:p>
    <w:p>
      <w:pPr>
        <w:spacing w:after="0" w:line="219" w:lineRule="exact"/>
        <w:rPr>
          <w:sz w:val="20"/>
          <w:szCs w:val="20"/>
          <w:color w:val="auto"/>
        </w:rPr>
      </w:pPr>
    </w:p>
    <w:p>
      <w:pPr>
        <w:ind w:left="640" w:right="20" w:hanging="316"/>
        <w:spacing w:after="0" w:line="229" w:lineRule="auto"/>
        <w:tabs>
          <w:tab w:leader="none" w:pos="633" w:val="left"/>
        </w:tabs>
        <w:numPr>
          <w:ilvl w:val="0"/>
          <w:numId w:val="8"/>
        </w:numPr>
        <w:rPr>
          <w:rFonts w:ascii="Calibri" w:cs="Calibri" w:eastAsia="Calibri" w:hAnsi="Calibri"/>
          <w:sz w:val="19"/>
          <w:szCs w:val="19"/>
          <w:color w:val="auto"/>
        </w:rPr>
      </w:pPr>
      <w:r>
        <w:rPr>
          <w:rFonts w:ascii="Calibri" w:cs="Calibri" w:eastAsia="Calibri" w:hAnsi="Calibri"/>
          <w:sz w:val="19"/>
          <w:szCs w:val="19"/>
          <w:color w:val="auto"/>
        </w:rPr>
        <w:t>Any 10b5-1 plan must be adopted or modifed in coordinaton with and adhere to a form approved by (a) the Company’s General Counsel and (b) the applicable 10b5-1 plan administrator and such plan must comply with the federal securites laws.</w:t>
      </w:r>
    </w:p>
    <w:p>
      <w:pPr>
        <w:spacing w:after="0" w:line="232" w:lineRule="exact"/>
        <w:rPr>
          <w:rFonts w:ascii="Calibri" w:cs="Calibri" w:eastAsia="Calibri" w:hAnsi="Calibri"/>
          <w:sz w:val="19"/>
          <w:szCs w:val="19"/>
          <w:color w:val="auto"/>
        </w:rPr>
      </w:pPr>
    </w:p>
    <w:p>
      <w:pPr>
        <w:jc w:val="both"/>
        <w:ind w:left="640" w:hanging="316"/>
        <w:spacing w:after="0"/>
        <w:tabs>
          <w:tab w:leader="none" w:pos="633" w:val="left"/>
        </w:tabs>
        <w:numPr>
          <w:ilvl w:val="0"/>
          <w:numId w:val="8"/>
        </w:numPr>
        <w:rPr>
          <w:rFonts w:ascii="Calibri" w:cs="Calibri" w:eastAsia="Calibri" w:hAnsi="Calibri"/>
          <w:sz w:val="19"/>
          <w:szCs w:val="19"/>
          <w:color w:val="auto"/>
        </w:rPr>
      </w:pPr>
      <w:r>
        <w:rPr>
          <w:rFonts w:ascii="Calibri" w:cs="Calibri" w:eastAsia="Calibri" w:hAnsi="Calibri"/>
          <w:sz w:val="19"/>
          <w:szCs w:val="19"/>
          <w:color w:val="auto"/>
        </w:rPr>
        <w:t>An ofcer, director or designated insider may enter into a new 10b5-1 plan, or amend, modify or suspend trading under (collectvely, “modify”, and any such amendment, modifcaton or suspension, collectvely, a “modifcaton”) an existng 10b5-1 plan, only at a tme when such person (a) in fact holds no material inside informaton, and (b) is not subject to a Blackout Period, as set forth elsewhere in this Insider Trading Policy. Any adopton or modifcaton of a plan must be pre-cleared with the Chief Financial Ofcer or General Counsel.</w:t>
      </w:r>
    </w:p>
    <w:p>
      <w:pPr>
        <w:spacing w:after="0" w:line="395" w:lineRule="exact"/>
        <w:rPr>
          <w:rFonts w:ascii="Calibri" w:cs="Calibri" w:eastAsia="Calibri" w:hAnsi="Calibri"/>
          <w:sz w:val="19"/>
          <w:szCs w:val="19"/>
          <w:color w:val="auto"/>
        </w:rPr>
      </w:pPr>
    </w:p>
    <w:p>
      <w:pPr>
        <w:jc w:val="both"/>
        <w:ind w:left="640" w:hanging="316"/>
        <w:spacing w:after="0" w:line="230" w:lineRule="auto"/>
        <w:tabs>
          <w:tab w:leader="none" w:pos="633" w:val="left"/>
        </w:tabs>
        <w:numPr>
          <w:ilvl w:val="0"/>
          <w:numId w:val="8"/>
        </w:numPr>
        <w:rPr>
          <w:rFonts w:ascii="Calibri" w:cs="Calibri" w:eastAsia="Calibri" w:hAnsi="Calibri"/>
          <w:sz w:val="19"/>
          <w:szCs w:val="19"/>
          <w:color w:val="auto"/>
        </w:rPr>
      </w:pPr>
      <w:r>
        <w:rPr>
          <w:rFonts w:ascii="Calibri" w:cs="Calibri" w:eastAsia="Calibri" w:hAnsi="Calibri"/>
          <w:sz w:val="19"/>
          <w:szCs w:val="19"/>
          <w:color w:val="auto"/>
        </w:rPr>
        <w:t>An ofcer, director or designated insider may terminate a 10b5-1 plan at any tme, regardless of actual knowledge or the existence of a Blackout Period. The ofcer, director or designated insider, however, must notfy the Company’s General Counsel in writng prior to any such terminaton.</w:t>
      </w:r>
    </w:p>
    <w:p>
      <w:pPr>
        <w:spacing w:after="0" w:line="219" w:lineRule="exact"/>
        <w:rPr>
          <w:rFonts w:ascii="Calibri" w:cs="Calibri" w:eastAsia="Calibri" w:hAnsi="Calibri"/>
          <w:sz w:val="19"/>
          <w:szCs w:val="19"/>
          <w:color w:val="auto"/>
        </w:rPr>
      </w:pPr>
    </w:p>
    <w:p>
      <w:pPr>
        <w:jc w:val="both"/>
        <w:ind w:left="640" w:hanging="316"/>
        <w:spacing w:after="0" w:line="236" w:lineRule="auto"/>
        <w:tabs>
          <w:tab w:leader="none" w:pos="633" w:val="left"/>
        </w:tabs>
        <w:numPr>
          <w:ilvl w:val="0"/>
          <w:numId w:val="8"/>
        </w:numPr>
        <w:rPr>
          <w:rFonts w:ascii="Calibri" w:cs="Calibri" w:eastAsia="Calibri" w:hAnsi="Calibri"/>
          <w:sz w:val="19"/>
          <w:szCs w:val="19"/>
          <w:color w:val="auto"/>
        </w:rPr>
      </w:pPr>
      <w:r>
        <w:rPr>
          <w:rFonts w:ascii="Calibri" w:cs="Calibri" w:eastAsia="Calibri" w:hAnsi="Calibri"/>
          <w:sz w:val="19"/>
          <w:szCs w:val="19"/>
          <w:color w:val="auto"/>
        </w:rPr>
        <w:t>The Rule 10b5-1 plan must provide for a waitng period between the date of signing and the earliest possible trade date under the Rule 10b5-1 plan (a “cooling-of period”). The required cooling-of period for all 10b5-1 plans is the later of (a) ninety (90) days, or</w:t>
      </w:r>
    </w:p>
    <w:p>
      <w:pPr>
        <w:ind w:left="920" w:hanging="279"/>
        <w:spacing w:after="0" w:line="219" w:lineRule="auto"/>
        <w:tabs>
          <w:tab w:leader="none" w:pos="920" w:val="left"/>
        </w:tabs>
        <w:numPr>
          <w:ilvl w:val="1"/>
          <w:numId w:val="8"/>
        </w:numPr>
        <w:rPr>
          <w:rFonts w:ascii="Calibri" w:cs="Calibri" w:eastAsia="Calibri" w:hAnsi="Calibri"/>
          <w:sz w:val="19"/>
          <w:szCs w:val="19"/>
          <w:color w:val="auto"/>
        </w:rPr>
      </w:pPr>
      <w:r>
        <w:rPr>
          <w:rFonts w:ascii="Calibri" w:cs="Calibri" w:eastAsia="Calibri" w:hAnsi="Calibri"/>
          <w:sz w:val="19"/>
          <w:szCs w:val="19"/>
          <w:color w:val="auto"/>
        </w:rPr>
        <w:t>two business days following the fling of the Form 10-Q or Form 10-K for the fscal quarter in which the Plan was adopted.</w:t>
      </w:r>
    </w:p>
    <w:p>
      <w:pPr>
        <w:spacing w:after="0" w:line="231" w:lineRule="exact"/>
        <w:rPr>
          <w:rFonts w:ascii="Calibri" w:cs="Calibri" w:eastAsia="Calibri" w:hAnsi="Calibri"/>
          <w:sz w:val="19"/>
          <w:szCs w:val="19"/>
          <w:color w:val="auto"/>
        </w:rPr>
      </w:pPr>
    </w:p>
    <w:p>
      <w:pPr>
        <w:jc w:val="both"/>
        <w:ind w:left="640" w:hanging="316"/>
        <w:spacing w:after="0" w:line="225" w:lineRule="auto"/>
        <w:tabs>
          <w:tab w:leader="none" w:pos="633" w:val="left"/>
        </w:tabs>
        <w:numPr>
          <w:ilvl w:val="0"/>
          <w:numId w:val="8"/>
        </w:numPr>
        <w:rPr>
          <w:rFonts w:ascii="Calibri" w:cs="Calibri" w:eastAsia="Calibri" w:hAnsi="Calibri"/>
          <w:sz w:val="19"/>
          <w:szCs w:val="19"/>
          <w:color w:val="auto"/>
        </w:rPr>
      </w:pPr>
      <w:r>
        <w:rPr>
          <w:rFonts w:ascii="Calibri" w:cs="Calibri" w:eastAsia="Calibri" w:hAnsi="Calibri"/>
          <w:sz w:val="19"/>
          <w:szCs w:val="19"/>
          <w:color w:val="auto"/>
        </w:rPr>
        <w:t>When adoptng or modifying a 10b5-1 trading plan, the ofcer, director or designated insider must include writen representatons certfying that he or she (</w:t>
      </w:r>
      <w:r>
        <w:rPr>
          <w:rFonts w:ascii="Calibri" w:cs="Calibri" w:eastAsia="Calibri" w:hAnsi="Calibri"/>
          <w:sz w:val="19"/>
          <w:szCs w:val="19"/>
          <w:color w:val="0E0E0E"/>
        </w:rPr>
        <w:t>(i) is not aware of material nonpublic informaton about the Company or its securites and (ii) is adoptng</w:t>
      </w:r>
      <w:r>
        <w:rPr>
          <w:rFonts w:ascii="Calibri" w:cs="Calibri" w:eastAsia="Calibri" w:hAnsi="Calibri"/>
          <w:sz w:val="19"/>
          <w:szCs w:val="19"/>
          <w:color w:val="auto"/>
        </w:rPr>
        <w:t xml:space="preserve"> </w:t>
      </w:r>
      <w:r>
        <w:rPr>
          <w:rFonts w:ascii="Calibri" w:cs="Calibri" w:eastAsia="Calibri" w:hAnsi="Calibri"/>
          <w:sz w:val="19"/>
          <w:szCs w:val="19"/>
          <w:color w:val="0E0E0E"/>
        </w:rPr>
        <w:t>or modifying the plan in good faith and not as part of a plan or scheme to evade the prohibitons of Exchange Act Rule 10b-5</w:t>
      </w:r>
      <w:r>
        <w:rPr>
          <w:rFonts w:ascii="Calibri" w:cs="Calibri" w:eastAsia="Calibri" w:hAnsi="Calibri"/>
          <w:sz w:val="19"/>
          <w:szCs w:val="19"/>
          <w:color w:val="000000"/>
        </w:rPr>
        <w:t>-1</w:t>
      </w:r>
      <w:r>
        <w:rPr>
          <w:rFonts w:ascii="Calibri" w:cs="Calibri" w:eastAsia="Calibri" w:hAnsi="Calibri"/>
          <w:sz w:val="19"/>
          <w:szCs w:val="19"/>
          <w:color w:val="0E0E0E"/>
        </w:rPr>
        <w:t>.</w:t>
      </w:r>
    </w:p>
    <w:p>
      <w:pPr>
        <w:spacing w:after="0" w:line="234" w:lineRule="exact"/>
        <w:rPr>
          <w:rFonts w:ascii="Calibri" w:cs="Calibri" w:eastAsia="Calibri" w:hAnsi="Calibri"/>
          <w:sz w:val="19"/>
          <w:szCs w:val="19"/>
          <w:color w:val="auto"/>
        </w:rPr>
      </w:pPr>
    </w:p>
    <w:p>
      <w:pPr>
        <w:ind w:left="640" w:hanging="316"/>
        <w:spacing w:after="0" w:line="229" w:lineRule="auto"/>
        <w:tabs>
          <w:tab w:leader="none" w:pos="633" w:val="left"/>
        </w:tabs>
        <w:numPr>
          <w:ilvl w:val="0"/>
          <w:numId w:val="8"/>
        </w:numPr>
        <w:rPr>
          <w:rFonts w:ascii="Calibri" w:cs="Calibri" w:eastAsia="Calibri" w:hAnsi="Calibri"/>
          <w:sz w:val="19"/>
          <w:szCs w:val="19"/>
          <w:color w:val="auto"/>
        </w:rPr>
      </w:pPr>
      <w:r>
        <w:rPr>
          <w:rFonts w:ascii="Calibri" w:cs="Calibri" w:eastAsia="Calibri" w:hAnsi="Calibri"/>
          <w:sz w:val="19"/>
          <w:szCs w:val="19"/>
          <w:color w:val="auto"/>
        </w:rPr>
        <w:t>No ofcer, director or designated insider may have in place more than one Rule 10b5-1 trading plan for open market purchases or sales of the Company’s securites, other than:</w:t>
      </w:r>
    </w:p>
    <w:p>
      <w:pPr>
        <w:spacing w:after="0" w:line="232" w:lineRule="exact"/>
        <w:rPr>
          <w:rFonts w:ascii="Calibri" w:cs="Calibri" w:eastAsia="Calibri" w:hAnsi="Calibri"/>
          <w:sz w:val="19"/>
          <w:szCs w:val="19"/>
          <w:color w:val="auto"/>
        </w:rPr>
      </w:pPr>
    </w:p>
    <w:p>
      <w:pPr>
        <w:ind w:left="1280" w:hanging="321"/>
        <w:spacing w:after="0" w:line="212" w:lineRule="auto"/>
        <w:tabs>
          <w:tab w:leader="none" w:pos="1306" w:val="left"/>
        </w:tabs>
        <w:numPr>
          <w:ilvl w:val="2"/>
          <w:numId w:val="8"/>
        </w:numPr>
        <w:rPr>
          <w:rFonts w:ascii="Courier New" w:cs="Courier New" w:eastAsia="Courier New" w:hAnsi="Courier New"/>
          <w:sz w:val="19"/>
          <w:szCs w:val="19"/>
          <w:color w:val="auto"/>
        </w:rPr>
      </w:pPr>
      <w:r>
        <w:rPr>
          <w:rFonts w:ascii="Calibri" w:cs="Calibri" w:eastAsia="Calibri" w:hAnsi="Calibri"/>
          <w:sz w:val="19"/>
          <w:szCs w:val="19"/>
          <w:color w:val="auto"/>
        </w:rPr>
        <w:t>Contracts with multple brokers – A series of separate contracts with diferent broker- dealers or other agents may be treated as a single trading plan if each, when taken as a</w:t>
      </w:r>
    </w:p>
    <w:p>
      <w:pPr>
        <w:sectPr>
          <w:pgSz w:w="11900" w:h="16838" w:orient="portrait"/>
          <w:cols w:equalWidth="0" w:num="1">
            <w:col w:w="11240"/>
          </w:cols>
          <w:pgMar w:left="320" w:top="1440" w:right="339" w:bottom="1440" w:gutter="0" w:footer="0" w:header="0"/>
        </w:sectPr>
      </w:pPr>
    </w:p>
    <w:bookmarkStart w:id="44" w:name="page45"/>
    <w:bookmarkEnd w:id="44"/>
    <w:p>
      <w:pPr>
        <w:ind w:left="1280"/>
        <w:spacing w:after="0"/>
        <w:rPr>
          <w:sz w:val="20"/>
          <w:szCs w:val="20"/>
          <w:color w:val="auto"/>
        </w:rPr>
      </w:pPr>
      <w:r>
        <w:rPr>
          <w:rFonts w:ascii="Calibri" w:cs="Calibri" w:eastAsia="Calibri" w:hAnsi="Calibri"/>
          <w:sz w:val="19"/>
          <w:szCs w:val="19"/>
          <w:color w:val="auto"/>
        </w:rPr>
        <w:t>whole, meets the applicable conditons of and remain collectvely subject to Rule 10b5-1.</w:t>
      </w:r>
    </w:p>
    <w:p>
      <w:pPr>
        <w:spacing w:after="0" w:line="192" w:lineRule="exact"/>
        <w:rPr>
          <w:sz w:val="20"/>
          <w:szCs w:val="20"/>
          <w:color w:val="auto"/>
        </w:rPr>
      </w:pPr>
    </w:p>
    <w:p>
      <w:pPr>
        <w:jc w:val="both"/>
        <w:ind w:left="1280" w:hanging="321"/>
        <w:spacing w:after="0" w:line="212" w:lineRule="auto"/>
        <w:tabs>
          <w:tab w:leader="none" w:pos="1282" w:val="left"/>
        </w:tabs>
        <w:numPr>
          <w:ilvl w:val="1"/>
          <w:numId w:val="9"/>
        </w:numPr>
        <w:rPr>
          <w:rFonts w:ascii="Arial" w:cs="Arial" w:eastAsia="Arial" w:hAnsi="Arial"/>
          <w:sz w:val="19"/>
          <w:szCs w:val="19"/>
          <w:color w:val="auto"/>
        </w:rPr>
      </w:pPr>
      <w:r>
        <w:rPr>
          <w:rFonts w:ascii="Calibri" w:cs="Calibri" w:eastAsia="Calibri" w:hAnsi="Calibri"/>
          <w:sz w:val="19"/>
          <w:szCs w:val="19"/>
          <w:color w:val="auto"/>
        </w:rPr>
        <w:t>Later-commencing plans – An ofcer, director or designated insider may maintain separate Rule 10b5-1 plans at the same tme so long as trading under the later- commencing Rule 10b5-1 plan is not authorized to begin untl afer all trades under the earlier-commencing trading plan are completed or expired without executon.</w:t>
      </w:r>
    </w:p>
    <w:p>
      <w:pPr>
        <w:spacing w:after="0" w:line="192" w:lineRule="exact"/>
        <w:rPr>
          <w:rFonts w:ascii="Arial" w:cs="Arial" w:eastAsia="Arial" w:hAnsi="Arial"/>
          <w:sz w:val="19"/>
          <w:szCs w:val="19"/>
          <w:color w:val="auto"/>
        </w:rPr>
      </w:pPr>
    </w:p>
    <w:p>
      <w:pPr>
        <w:jc w:val="both"/>
        <w:ind w:left="1280" w:hanging="321"/>
        <w:spacing w:after="0" w:line="212" w:lineRule="auto"/>
        <w:tabs>
          <w:tab w:leader="none" w:pos="1322" w:val="left"/>
        </w:tabs>
        <w:numPr>
          <w:ilvl w:val="1"/>
          <w:numId w:val="9"/>
        </w:numPr>
        <w:rPr>
          <w:rFonts w:ascii="Arial" w:cs="Arial" w:eastAsia="Arial" w:hAnsi="Arial"/>
          <w:sz w:val="19"/>
          <w:szCs w:val="19"/>
          <w:color w:val="auto"/>
        </w:rPr>
      </w:pPr>
      <w:r>
        <w:rPr>
          <w:rFonts w:ascii="Calibri" w:cs="Calibri" w:eastAsia="Calibri" w:hAnsi="Calibri"/>
          <w:sz w:val="19"/>
          <w:szCs w:val="19"/>
          <w:color w:val="auto"/>
        </w:rPr>
        <w:t>Sell-to-cover plans – An ofcer, director or designated insider may enter into additonal Rule 10b5-1 plans that only authorize qualifed “sell-to-cover” transactons to satsfy tax withholding obligatons at the tme an equity award vests and the person does not otherwise exercise control over the tming of such sales..</w:t>
      </w:r>
    </w:p>
    <w:p>
      <w:pPr>
        <w:spacing w:after="0" w:line="245" w:lineRule="exact"/>
        <w:rPr>
          <w:rFonts w:ascii="Arial" w:cs="Arial" w:eastAsia="Arial" w:hAnsi="Arial"/>
          <w:sz w:val="19"/>
          <w:szCs w:val="19"/>
          <w:color w:val="auto"/>
        </w:rPr>
      </w:pPr>
    </w:p>
    <w:p>
      <w:pPr>
        <w:jc w:val="both"/>
        <w:ind w:left="640" w:hanging="316"/>
        <w:spacing w:after="0" w:line="227" w:lineRule="auto"/>
        <w:tabs>
          <w:tab w:leader="none" w:pos="628" w:val="left"/>
        </w:tabs>
        <w:numPr>
          <w:ilvl w:val="0"/>
          <w:numId w:val="9"/>
        </w:numPr>
        <w:rPr>
          <w:rFonts w:ascii="Arial" w:cs="Arial" w:eastAsia="Arial" w:hAnsi="Arial"/>
          <w:sz w:val="19"/>
          <w:szCs w:val="19"/>
          <w:color w:val="auto"/>
        </w:rPr>
      </w:pPr>
      <w:r>
        <w:rPr>
          <w:rFonts w:ascii="Calibri" w:cs="Calibri" w:eastAsia="Calibri" w:hAnsi="Calibri"/>
          <w:sz w:val="19"/>
          <w:szCs w:val="19"/>
          <w:color w:val="auto"/>
        </w:rPr>
        <w:t>In any twelve month period, no ofcer, director or designated insider may enter into more than one “single trade plan” (one designed to efect the purchase or sale of the total amount of the securites subject to the plan as a single transacton), with the excepton of “sell-to-cover” plans as described above. The determinaton of whether a Rule 10b5-1 plan consttutes a single-trade plan pursuant to the excepton provided in Rule 10b5-1 will be made by the General Counsel in his or her sole determinaton.</w:t>
      </w:r>
    </w:p>
    <w:p>
      <w:pPr>
        <w:spacing w:after="0" w:line="207" w:lineRule="exact"/>
        <w:rPr>
          <w:rFonts w:ascii="Arial" w:cs="Arial" w:eastAsia="Arial" w:hAnsi="Arial"/>
          <w:sz w:val="19"/>
          <w:szCs w:val="19"/>
          <w:color w:val="auto"/>
        </w:rPr>
      </w:pPr>
    </w:p>
    <w:p>
      <w:pPr>
        <w:ind w:left="640" w:hanging="316"/>
        <w:spacing w:after="0" w:line="222" w:lineRule="auto"/>
        <w:tabs>
          <w:tab w:leader="none" w:pos="633" w:val="left"/>
        </w:tabs>
        <w:numPr>
          <w:ilvl w:val="0"/>
          <w:numId w:val="9"/>
        </w:numPr>
        <w:rPr>
          <w:rFonts w:ascii="Calibri" w:cs="Calibri" w:eastAsia="Calibri" w:hAnsi="Calibri"/>
          <w:sz w:val="19"/>
          <w:szCs w:val="19"/>
          <w:color w:val="auto"/>
        </w:rPr>
      </w:pPr>
      <w:r>
        <w:rPr>
          <w:rFonts w:ascii="Calibri" w:cs="Calibri" w:eastAsia="Calibri" w:hAnsi="Calibri"/>
          <w:sz w:val="19"/>
          <w:szCs w:val="19"/>
          <w:color w:val="auto"/>
        </w:rPr>
        <w:t>With respect to any 10b5-1 plan, the ofcer, director or designated insider must act in good faith at all tmes throughout the duraton of such plan.</w:t>
      </w:r>
    </w:p>
    <w:p>
      <w:pPr>
        <w:spacing w:after="0" w:line="206"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Blackout Period for Ofcers, Directors, and Other Designated Insiders</w:t>
      </w:r>
    </w:p>
    <w:p>
      <w:pPr>
        <w:jc w:val="both"/>
        <w:spacing w:after="0" w:line="223" w:lineRule="auto"/>
        <w:rPr>
          <w:sz w:val="20"/>
          <w:szCs w:val="20"/>
          <w:color w:val="auto"/>
        </w:rPr>
      </w:pPr>
      <w:r>
        <w:rPr>
          <w:rFonts w:ascii="Calibri" w:cs="Calibri" w:eastAsia="Calibri" w:hAnsi="Calibri"/>
          <w:sz w:val="19"/>
          <w:szCs w:val="19"/>
          <w:color w:val="auto"/>
        </w:rPr>
        <w:t xml:space="preserve">The “Blackout Period” is a period established by the Company during which an ofcer, director or designated insider may not trade in Company securites. </w:t>
      </w:r>
      <w:r>
        <w:rPr>
          <w:rFonts w:ascii="Calibri" w:cs="Calibri" w:eastAsia="Calibri" w:hAnsi="Calibri"/>
          <w:sz w:val="19"/>
          <w:szCs w:val="19"/>
          <w:b w:val="1"/>
          <w:bCs w:val="1"/>
          <w:i w:val="1"/>
          <w:iCs w:val="1"/>
          <w:color w:val="auto"/>
        </w:rPr>
        <w:t>At present under Company policy, this period commences 20 days before the end of each fscal quarter and ends at</w:t>
      </w:r>
      <w:r>
        <w:rPr>
          <w:rFonts w:ascii="Calibri" w:cs="Calibri" w:eastAsia="Calibri" w:hAnsi="Calibri"/>
          <w:sz w:val="19"/>
          <w:szCs w:val="19"/>
          <w:color w:val="auto"/>
        </w:rPr>
        <w:t xml:space="preserve"> </w:t>
      </w:r>
      <w:r>
        <w:rPr>
          <w:rFonts w:ascii="Calibri" w:cs="Calibri" w:eastAsia="Calibri" w:hAnsi="Calibri"/>
          <w:sz w:val="19"/>
          <w:szCs w:val="19"/>
          <w:b w:val="1"/>
          <w:bCs w:val="1"/>
          <w:i w:val="1"/>
          <w:iCs w:val="1"/>
          <w:color w:val="auto"/>
        </w:rPr>
        <w:t>the close of business on the second business day following the date of the Company’s earnings announcement for that quarter.</w:t>
      </w:r>
    </w:p>
    <w:p>
      <w:pPr>
        <w:spacing w:after="0" w:line="234" w:lineRule="exact"/>
        <w:rPr>
          <w:sz w:val="20"/>
          <w:szCs w:val="20"/>
          <w:color w:val="auto"/>
        </w:rPr>
      </w:pPr>
    </w:p>
    <w:p>
      <w:pPr>
        <w:jc w:val="both"/>
        <w:spacing w:after="0" w:line="225" w:lineRule="auto"/>
        <w:rPr>
          <w:sz w:val="20"/>
          <w:szCs w:val="20"/>
          <w:color w:val="auto"/>
        </w:rPr>
      </w:pPr>
      <w:r>
        <w:rPr>
          <w:rFonts w:ascii="Calibri" w:cs="Calibri" w:eastAsia="Calibri" w:hAnsi="Calibri"/>
          <w:sz w:val="19"/>
          <w:szCs w:val="19"/>
          <w:color w:val="auto"/>
        </w:rPr>
        <w:t xml:space="preserve">The safest period for trading in the Company’s securites, assuming the absence of actual awareness of material non-public informaton, is generally the frst ten business days following the end of a Blackout Period. Even during this period, any person with </w:t>
      </w:r>
      <w:r>
        <w:rPr>
          <w:rFonts w:ascii="Calibri" w:cs="Calibri" w:eastAsia="Calibri" w:hAnsi="Calibri"/>
          <w:sz w:val="19"/>
          <w:szCs w:val="19"/>
          <w:b w:val="1"/>
          <w:bCs w:val="1"/>
          <w:i w:val="1"/>
          <w:iCs w:val="1"/>
          <w:color w:val="auto"/>
        </w:rPr>
        <w:t>actual knowledge</w:t>
      </w:r>
      <w:r>
        <w:rPr>
          <w:rFonts w:ascii="Calibri" w:cs="Calibri" w:eastAsia="Calibri" w:hAnsi="Calibri"/>
          <w:sz w:val="19"/>
          <w:szCs w:val="19"/>
          <w:color w:val="auto"/>
        </w:rPr>
        <w:t xml:space="preserve"> of material non-public informaton is prohibited from trading in the Company’s securites. In other words, if you possess any material non-public informaton at any tme, you are subject to a personal blackout period untl such tme as that informaton either (i) becomes public or (ii) becomes non-material. </w:t>
      </w:r>
      <w:r>
        <w:rPr>
          <w:rFonts w:ascii="Calibri" w:cs="Calibri" w:eastAsia="Calibri" w:hAnsi="Calibri"/>
          <w:sz w:val="19"/>
          <w:szCs w:val="19"/>
          <w:b w:val="1"/>
          <w:bCs w:val="1"/>
          <w:color w:val="auto"/>
        </w:rPr>
        <w:t>If you have any doubt about whether you possess material non-public informaton, contact the Chief</w:t>
      </w:r>
    </w:p>
    <w:p>
      <w:pPr>
        <w:spacing w:after="0" w:line="237" w:lineRule="auto"/>
        <w:rPr>
          <w:sz w:val="20"/>
          <w:szCs w:val="20"/>
          <w:color w:val="auto"/>
        </w:rPr>
      </w:pPr>
      <w:r>
        <w:rPr>
          <w:rFonts w:ascii="Calibri" w:cs="Calibri" w:eastAsia="Calibri" w:hAnsi="Calibri"/>
          <w:sz w:val="19"/>
          <w:szCs w:val="19"/>
          <w:b w:val="1"/>
          <w:bCs w:val="1"/>
          <w:color w:val="auto"/>
        </w:rPr>
        <w:t>Financial Ofcer or the General Counsel before trading in any securites.</w:t>
      </w:r>
    </w:p>
    <w:p>
      <w:pPr>
        <w:spacing w:after="0" w:line="219" w:lineRule="exact"/>
        <w:rPr>
          <w:sz w:val="20"/>
          <w:szCs w:val="20"/>
          <w:color w:val="auto"/>
        </w:rPr>
      </w:pPr>
    </w:p>
    <w:p>
      <w:pPr>
        <w:spacing w:after="0"/>
        <w:rPr>
          <w:sz w:val="20"/>
          <w:szCs w:val="20"/>
          <w:color w:val="auto"/>
        </w:rPr>
      </w:pPr>
      <w:r>
        <w:rPr>
          <w:rFonts w:ascii="Calibri" w:cs="Calibri" w:eastAsia="Calibri" w:hAnsi="Calibri"/>
          <w:sz w:val="19"/>
          <w:szCs w:val="19"/>
          <w:color w:val="auto"/>
        </w:rPr>
        <w:t>Trading Rules and Procedures</w:t>
      </w:r>
    </w:p>
    <w:p>
      <w:pPr>
        <w:spacing w:after="0" w:line="231"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If You Possess Material Non-Public Informaton</w:t>
      </w:r>
    </w:p>
    <w:p>
      <w:pPr>
        <w:jc w:val="both"/>
        <w:spacing w:after="0" w:line="222" w:lineRule="auto"/>
        <w:rPr>
          <w:sz w:val="20"/>
          <w:szCs w:val="20"/>
          <w:color w:val="auto"/>
        </w:rPr>
      </w:pPr>
      <w:r>
        <w:rPr>
          <w:rFonts w:ascii="Calibri" w:cs="Calibri" w:eastAsia="Calibri" w:hAnsi="Calibri"/>
          <w:sz w:val="19"/>
          <w:szCs w:val="19"/>
          <w:color w:val="auto"/>
        </w:rPr>
        <w:t xml:space="preserve">Any associate </w:t>
      </w:r>
      <w:r>
        <w:rPr>
          <w:rFonts w:ascii="Calibri" w:cs="Calibri" w:eastAsia="Calibri" w:hAnsi="Calibri"/>
          <w:sz w:val="19"/>
          <w:szCs w:val="19"/>
          <w:i w:val="1"/>
          <w:iCs w:val="1"/>
          <w:color w:val="auto"/>
        </w:rPr>
        <w:t>(employees, directors, and independent agents and consultants actng on behalf of the Company)</w:t>
      </w:r>
      <w:r>
        <w:rPr>
          <w:rFonts w:ascii="Calibri" w:cs="Calibri" w:eastAsia="Calibri" w:hAnsi="Calibri"/>
          <w:sz w:val="19"/>
          <w:szCs w:val="19"/>
          <w:color w:val="auto"/>
        </w:rPr>
        <w:t xml:space="preserve"> aware of any material non-public informaton relatng to the Company that has not been made available to the public shall not trade directly or indirectly in the Company’s securites </w:t>
      </w:r>
      <w:r>
        <w:rPr>
          <w:rFonts w:ascii="Calibri" w:cs="Calibri" w:eastAsia="Calibri" w:hAnsi="Calibri"/>
          <w:sz w:val="19"/>
          <w:szCs w:val="19"/>
          <w:i w:val="1"/>
          <w:iCs w:val="1"/>
          <w:color w:val="auto"/>
        </w:rPr>
        <w:t>(unless done so pursuant to a trading program, properly implemented during a previous non-Blackout Period, that</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meets the requirements of SEC Rule 10b5-1).</w:t>
      </w:r>
    </w:p>
    <w:p>
      <w:pPr>
        <w:spacing w:after="0" w:line="234" w:lineRule="exact"/>
        <w:rPr>
          <w:sz w:val="20"/>
          <w:szCs w:val="20"/>
          <w:color w:val="auto"/>
        </w:rPr>
      </w:pPr>
    </w:p>
    <w:p>
      <w:pPr>
        <w:jc w:val="both"/>
        <w:spacing w:after="0" w:line="229" w:lineRule="auto"/>
        <w:rPr>
          <w:sz w:val="20"/>
          <w:szCs w:val="20"/>
          <w:color w:val="auto"/>
        </w:rPr>
      </w:pPr>
      <w:r>
        <w:rPr>
          <w:rFonts w:ascii="Calibri" w:cs="Calibri" w:eastAsia="Calibri" w:hAnsi="Calibri"/>
          <w:sz w:val="19"/>
          <w:szCs w:val="19"/>
          <w:color w:val="auto"/>
        </w:rPr>
        <w:t>Any associate with knowledge of material informaton shall not disclose it to anyone else, including spouses, relatves, friends, co-workers or stockbrokers, untl the informaton has been disclosed publicly and the public has had tme to react to it.</w:t>
      </w:r>
    </w:p>
    <w:p>
      <w:pPr>
        <w:spacing w:after="0" w:line="232" w:lineRule="exact"/>
        <w:rPr>
          <w:sz w:val="20"/>
          <w:szCs w:val="20"/>
          <w:color w:val="auto"/>
        </w:rPr>
      </w:pPr>
    </w:p>
    <w:p>
      <w:pPr>
        <w:jc w:val="both"/>
        <w:spacing w:after="0" w:line="229" w:lineRule="auto"/>
        <w:rPr>
          <w:sz w:val="20"/>
          <w:szCs w:val="20"/>
          <w:color w:val="auto"/>
        </w:rPr>
      </w:pPr>
      <w:r>
        <w:rPr>
          <w:rFonts w:ascii="Calibri" w:cs="Calibri" w:eastAsia="Calibri" w:hAnsi="Calibri"/>
          <w:sz w:val="19"/>
          <w:szCs w:val="19"/>
          <w:color w:val="auto"/>
        </w:rPr>
        <w:t xml:space="preserve">When there is any doubt as to whether informaton is </w:t>
      </w:r>
      <w:r>
        <w:rPr>
          <w:rFonts w:ascii="Calibri" w:cs="Calibri" w:eastAsia="Calibri" w:hAnsi="Calibri"/>
          <w:sz w:val="19"/>
          <w:szCs w:val="19"/>
          <w:i w:val="1"/>
          <w:iCs w:val="1"/>
          <w:color w:val="auto"/>
        </w:rPr>
        <w:t>“material,”</w:t>
      </w:r>
      <w:r>
        <w:rPr>
          <w:rFonts w:ascii="Calibri" w:cs="Calibri" w:eastAsia="Calibri" w:hAnsi="Calibri"/>
          <w:sz w:val="19"/>
          <w:szCs w:val="19"/>
          <w:color w:val="auto"/>
        </w:rPr>
        <w:t xml:space="preserve"> associates must consult with the Company’s Chief Financial Ofcer or General Counsel.</w:t>
      </w:r>
    </w:p>
    <w:p>
      <w:pPr>
        <w:sectPr>
          <w:pgSz w:w="11900" w:h="16838" w:orient="portrait"/>
          <w:cols w:equalWidth="0" w:num="1">
            <w:col w:w="11240"/>
          </w:cols>
          <w:pgMar w:left="320" w:top="1358" w:right="339" w:bottom="1440" w:gutter="0" w:footer="0" w:header="0"/>
        </w:sectPr>
      </w:pPr>
    </w:p>
    <w:bookmarkStart w:id="45" w:name="page46"/>
    <w:bookmarkEnd w:id="45"/>
    <w:p>
      <w:pPr>
        <w:spacing w:after="0" w:line="171" w:lineRule="exact"/>
        <w:rPr>
          <w:sz w:val="20"/>
          <w:szCs w:val="20"/>
          <w:color w:val="auto"/>
        </w:rPr>
      </w:pPr>
    </w:p>
    <w:p>
      <w:pPr>
        <w:jc w:val="both"/>
        <w:spacing w:after="0" w:line="227" w:lineRule="auto"/>
        <w:rPr>
          <w:sz w:val="20"/>
          <w:szCs w:val="20"/>
          <w:color w:val="auto"/>
        </w:rPr>
      </w:pPr>
      <w:r>
        <w:rPr>
          <w:rFonts w:ascii="Calibri" w:cs="Calibri" w:eastAsia="Calibri" w:hAnsi="Calibri"/>
          <w:sz w:val="19"/>
          <w:szCs w:val="19"/>
          <w:color w:val="auto"/>
        </w:rPr>
        <w:t xml:space="preserve">These rules can apply not only to the Company’s securites, but also to the securites of other companies. Any associate aware of material non-public informaton concerning a possible signifcant transacton between the Company and another public company, must not disclose that informaton to persons outside of the Company, </w:t>
      </w:r>
      <w:r>
        <w:rPr>
          <w:rFonts w:ascii="Calibri" w:cs="Calibri" w:eastAsia="Calibri" w:hAnsi="Calibri"/>
          <w:sz w:val="19"/>
          <w:szCs w:val="19"/>
          <w:b w:val="1"/>
          <w:bCs w:val="1"/>
          <w:u w:val="single" w:color="auto"/>
          <w:color w:val="auto"/>
        </w:rPr>
        <w:t>and</w:t>
      </w:r>
      <w:r>
        <w:rPr>
          <w:rFonts w:ascii="Calibri" w:cs="Calibri" w:eastAsia="Calibri" w:hAnsi="Calibri"/>
          <w:sz w:val="19"/>
          <w:szCs w:val="19"/>
          <w:color w:val="auto"/>
        </w:rPr>
        <w:t xml:space="preserve"> must not trade directly or indirectly in the securites of the other company untl such informaton has been publicly disclosed or ceases to be material.</w:t>
      </w:r>
    </w:p>
    <w:p>
      <w:pPr>
        <w:spacing w:after="0" w:line="247"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Blackout Period for Ofcers, Directors, and Other Designated Insiders</w:t>
      </w:r>
    </w:p>
    <w:p>
      <w:pPr>
        <w:jc w:val="both"/>
        <w:spacing w:after="0" w:line="223" w:lineRule="auto"/>
        <w:rPr>
          <w:sz w:val="20"/>
          <w:szCs w:val="20"/>
          <w:color w:val="auto"/>
        </w:rPr>
      </w:pPr>
      <w:r>
        <w:rPr>
          <w:rFonts w:ascii="Calibri" w:cs="Calibri" w:eastAsia="Calibri" w:hAnsi="Calibri"/>
          <w:sz w:val="19"/>
          <w:szCs w:val="19"/>
          <w:color w:val="auto"/>
        </w:rPr>
        <w:t>Except for complying transactons, all directors and executve ofcers and all other ofcers and employees who receive monthly consolidated fnancial informaton must comply with the Blackout Period restrictons. Each person is individually responsible at all tmes for compliance with the prohibitons against insider trading.</w:t>
      </w:r>
    </w:p>
    <w:p>
      <w:pPr>
        <w:spacing w:after="0" w:line="234" w:lineRule="exact"/>
        <w:rPr>
          <w:sz w:val="20"/>
          <w:szCs w:val="20"/>
          <w:color w:val="auto"/>
        </w:rPr>
      </w:pPr>
    </w:p>
    <w:p>
      <w:pPr>
        <w:jc w:val="both"/>
        <w:spacing w:after="0" w:line="229" w:lineRule="auto"/>
        <w:rPr>
          <w:sz w:val="20"/>
          <w:szCs w:val="20"/>
          <w:color w:val="auto"/>
        </w:rPr>
      </w:pPr>
      <w:r>
        <w:rPr>
          <w:rFonts w:ascii="Calibri" w:cs="Calibri" w:eastAsia="Calibri" w:hAnsi="Calibri"/>
          <w:sz w:val="19"/>
          <w:szCs w:val="19"/>
          <w:color w:val="auto"/>
        </w:rPr>
        <w:t>Except for complying transactons, trading in the Company’s securites outside a Blackout Period should not be considered an automatc “safe harbor”, and all directors, ofcers, and employees should use careful and conservatve judgment before deciding to trade.</w:t>
      </w:r>
    </w:p>
    <w:p>
      <w:pPr>
        <w:spacing w:after="0" w:line="232"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 xml:space="preserve">From tme to tme, the Company may recommend that directors, ofcers, selected employees and others suspend trading because of developments known to the Company and not yet disclosed to the public. In such an event, except for complying transactons, such persons shall not engage in any transactons involving the purchase or sale of the Company’s securites </w:t>
      </w:r>
      <w:r>
        <w:rPr>
          <w:rFonts w:ascii="Calibri" w:cs="Calibri" w:eastAsia="Calibri" w:hAnsi="Calibri"/>
          <w:sz w:val="19"/>
          <w:szCs w:val="19"/>
          <w:b w:val="1"/>
          <w:bCs w:val="1"/>
          <w:u w:val="single" w:color="auto"/>
          <w:color w:val="auto"/>
        </w:rPr>
        <w:t>and must not</w:t>
      </w:r>
      <w:r>
        <w:rPr>
          <w:rFonts w:ascii="Calibri" w:cs="Calibri" w:eastAsia="Calibri" w:hAnsi="Calibri"/>
          <w:sz w:val="19"/>
          <w:szCs w:val="19"/>
          <w:color w:val="auto"/>
        </w:rPr>
        <w:t>, in any event, disclose to others the fact of such suspension of trading since that fact alone may have the efect of “tpping” someone to the existence of important developments.</w:t>
      </w:r>
    </w:p>
    <w:p>
      <w:pPr>
        <w:spacing w:after="0" w:line="395"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Pre-Clearance of Trades by Ofcers, Directors and Designated Insiders</w:t>
      </w:r>
    </w:p>
    <w:p>
      <w:pPr>
        <w:jc w:val="both"/>
        <w:spacing w:after="0" w:line="224" w:lineRule="auto"/>
        <w:rPr>
          <w:sz w:val="20"/>
          <w:szCs w:val="20"/>
          <w:color w:val="auto"/>
        </w:rPr>
      </w:pPr>
      <w:r>
        <w:rPr>
          <w:rFonts w:ascii="Calibri" w:cs="Calibri" w:eastAsia="Calibri" w:hAnsi="Calibri"/>
          <w:sz w:val="19"/>
          <w:szCs w:val="19"/>
          <w:color w:val="auto"/>
        </w:rPr>
        <w:t xml:space="preserve">Because of their positons, the Company has determined that all ofcers and directors, and certain designated insiders, should refrain from trading in the Company’s securites, even outside of the Blackout Periods, without frst undertaking a “pre-clearance” conference. The “pre-clearance” conference requires each such person to confer with the Chief Financial Ofcer or General Counsel prior to initatng any purchase or sale of the Company’s securites in order to analyze whether such trading would be within the guidelines outlined above and those promulgated by the SEC. </w:t>
      </w:r>
      <w:r>
        <w:rPr>
          <w:rFonts w:ascii="Calibri" w:cs="Calibri" w:eastAsia="Calibri" w:hAnsi="Calibri"/>
          <w:sz w:val="19"/>
          <w:szCs w:val="19"/>
          <w:b w:val="1"/>
          <w:bCs w:val="1"/>
          <w:i w:val="1"/>
          <w:iCs w:val="1"/>
          <w:color w:val="auto"/>
        </w:rPr>
        <w:t>Such a “pre-clearance” conference is required for the Company’s Directors, Chief Executve Ofcer, Senior</w:t>
      </w:r>
    </w:p>
    <w:p>
      <w:pPr>
        <w:spacing w:after="0" w:line="222" w:lineRule="auto"/>
        <w:rPr>
          <w:sz w:val="20"/>
          <w:szCs w:val="20"/>
          <w:color w:val="auto"/>
        </w:rPr>
      </w:pPr>
      <w:r>
        <w:rPr>
          <w:rFonts w:ascii="Calibri" w:cs="Calibri" w:eastAsia="Calibri" w:hAnsi="Calibri"/>
          <w:sz w:val="19"/>
          <w:szCs w:val="19"/>
          <w:b w:val="1"/>
          <w:bCs w:val="1"/>
          <w:i w:val="1"/>
          <w:iCs w:val="1"/>
          <w:color w:val="auto"/>
        </w:rPr>
        <w:t>Vice Presidents, Vice Presidents, Division Presidents and General Managers and all designated insiders.</w:t>
      </w:r>
    </w:p>
    <w:p>
      <w:pPr>
        <w:spacing w:after="0" w:line="232" w:lineRule="exact"/>
        <w:rPr>
          <w:sz w:val="20"/>
          <w:szCs w:val="20"/>
          <w:color w:val="auto"/>
        </w:rPr>
      </w:pPr>
    </w:p>
    <w:p>
      <w:pPr>
        <w:jc w:val="both"/>
        <w:spacing w:after="0" w:line="225" w:lineRule="auto"/>
        <w:rPr>
          <w:sz w:val="20"/>
          <w:szCs w:val="20"/>
          <w:color w:val="auto"/>
        </w:rPr>
      </w:pPr>
      <w:r>
        <w:rPr>
          <w:rFonts w:ascii="Calibri" w:cs="Calibri" w:eastAsia="Calibri" w:hAnsi="Calibri"/>
          <w:sz w:val="19"/>
          <w:szCs w:val="19"/>
          <w:b w:val="1"/>
          <w:bCs w:val="1"/>
          <w:i w:val="1"/>
          <w:iCs w:val="1"/>
          <w:color w:val="auto"/>
        </w:rPr>
        <w:t xml:space="preserve">If you are an associate who is required to obtain pre-clearance before buying or selling securites, you should also notfy your personal stock broker about the need for pre-clearance. </w:t>
      </w:r>
      <w:r>
        <w:rPr>
          <w:rFonts w:ascii="Calibri" w:cs="Calibri" w:eastAsia="Calibri" w:hAnsi="Calibri"/>
          <w:sz w:val="19"/>
          <w:szCs w:val="19"/>
          <w:color w:val="auto"/>
        </w:rPr>
        <w:t>This will allow your stock broker to contact the General Counsel as necessary in order to</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color w:val="auto"/>
        </w:rPr>
        <w:t>ensure that necessary pre-clearance has been received.</w:t>
      </w:r>
    </w:p>
    <w:p>
      <w:pPr>
        <w:spacing w:after="0" w:line="234"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Sale/Cancellaton of Shares to Cover Taxes</w:t>
      </w:r>
    </w:p>
    <w:p>
      <w:pPr>
        <w:spacing w:after="0" w:line="218"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From tme to tme, an employee or director may become liable for the payment of taxes in connecton with the vestng of equity awards. In any such case, all required tax payments will be covered through the sale or cancellaton of an appropriate porton of the awards that have so vested.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Summary</w:t>
      </w:r>
    </w:p>
    <w:p>
      <w:pPr>
        <w:jc w:val="both"/>
        <w:spacing w:after="0" w:line="222" w:lineRule="auto"/>
        <w:rPr>
          <w:sz w:val="20"/>
          <w:szCs w:val="20"/>
          <w:color w:val="auto"/>
        </w:rPr>
      </w:pPr>
      <w:r>
        <w:rPr>
          <w:rFonts w:ascii="Calibri" w:cs="Calibri" w:eastAsia="Calibri" w:hAnsi="Calibri"/>
          <w:sz w:val="19"/>
          <w:szCs w:val="19"/>
          <w:color w:val="auto"/>
        </w:rPr>
        <w:t>Any Company associate must not trade in Company securites while in possession of material non-public informaton, except as specifcally allowed by this Insider Trading Policy. In additon, any ofcer, director, or designated insider must not trade during any designated Blackout Period, whether or not they possess material non-public informaton. Lastly, ofcers, directors, and other designated insiders must get “pre- clearance” to trade in Company securites from the Company’s Chief Financial Ofcer or</w:t>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rPr>
          <w:sz w:val="20"/>
          <w:szCs w:val="20"/>
          <w:color w:val="auto"/>
        </w:rPr>
      </w:pPr>
      <w:r>
        <w:rPr>
          <w:rFonts w:ascii="Calibri" w:cs="Calibri" w:eastAsia="Calibri" w:hAnsi="Calibri"/>
          <w:sz w:val="19"/>
          <w:szCs w:val="19"/>
          <w:color w:val="auto"/>
        </w:rPr>
        <w:t>General Counsel when they intend to trade securites outside the Blackout Period or when they intend to adopt or modify a Rule 10b5-1 plan.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Communicatng with Securites Analysts, Investors, and Others outside the Company</w:t>
      </w:r>
    </w:p>
    <w:p>
      <w:pPr>
        <w:jc w:val="both"/>
        <w:spacing w:after="0" w:line="225" w:lineRule="auto"/>
        <w:rPr>
          <w:sz w:val="20"/>
          <w:szCs w:val="20"/>
          <w:color w:val="auto"/>
        </w:rPr>
      </w:pPr>
      <w:r>
        <w:rPr>
          <w:rFonts w:ascii="Calibri" w:cs="Calibri" w:eastAsia="Calibri" w:hAnsi="Calibri"/>
          <w:sz w:val="19"/>
          <w:szCs w:val="19"/>
          <w:color w:val="auto"/>
        </w:rPr>
        <w:t xml:space="preserve">The Securites and Exchange Commission has adopted rules governing </w:t>
      </w:r>
      <w:r>
        <w:rPr>
          <w:rFonts w:ascii="Calibri" w:cs="Calibri" w:eastAsia="Calibri" w:hAnsi="Calibri"/>
          <w:sz w:val="19"/>
          <w:szCs w:val="19"/>
          <w:i w:val="1"/>
          <w:iCs w:val="1"/>
          <w:color w:val="auto"/>
        </w:rPr>
        <w:t>“Selectve Disclosure and Insider Trading”</w:t>
      </w:r>
      <w:r>
        <w:rPr>
          <w:rFonts w:ascii="Calibri" w:cs="Calibri" w:eastAsia="Calibri" w:hAnsi="Calibri"/>
          <w:sz w:val="19"/>
          <w:szCs w:val="19"/>
          <w:color w:val="auto"/>
        </w:rPr>
        <w:t xml:space="preserve"> which became efectve in 2000. The rules, as amended, are referred to as </w:t>
      </w:r>
      <w:r>
        <w:rPr>
          <w:rFonts w:ascii="Calibri" w:cs="Calibri" w:eastAsia="Calibri" w:hAnsi="Calibri"/>
          <w:sz w:val="19"/>
          <w:szCs w:val="19"/>
          <w:i w:val="1"/>
          <w:iCs w:val="1"/>
          <w:color w:val="auto"/>
        </w:rPr>
        <w:t>Regulaton FD</w:t>
      </w:r>
      <w:r>
        <w:rPr>
          <w:rFonts w:ascii="Calibri" w:cs="Calibri" w:eastAsia="Calibri" w:hAnsi="Calibri"/>
          <w:sz w:val="19"/>
          <w:szCs w:val="19"/>
          <w:color w:val="auto"/>
        </w:rPr>
        <w:t xml:space="preserve"> (for </w:t>
      </w:r>
      <w:r>
        <w:rPr>
          <w:rFonts w:ascii="Calibri" w:cs="Calibri" w:eastAsia="Calibri" w:hAnsi="Calibri"/>
          <w:sz w:val="19"/>
          <w:szCs w:val="19"/>
          <w:i w:val="1"/>
          <w:iCs w:val="1"/>
          <w:color w:val="auto"/>
        </w:rPr>
        <w:t>“Fair Disclosure”</w:t>
      </w:r>
      <w:r>
        <w:rPr>
          <w:rFonts w:ascii="Calibri" w:cs="Calibri" w:eastAsia="Calibri" w:hAnsi="Calibri"/>
          <w:sz w:val="19"/>
          <w:szCs w:val="19"/>
          <w:color w:val="auto"/>
        </w:rPr>
        <w:t>)</w:t>
      </w:r>
      <w:r>
        <w:rPr>
          <w:rFonts w:ascii="Calibri" w:cs="Calibri" w:eastAsia="Calibri" w:hAnsi="Calibri"/>
          <w:sz w:val="19"/>
          <w:szCs w:val="19"/>
          <w:i w:val="1"/>
          <w:iCs w:val="1"/>
          <w:color w:val="auto"/>
        </w:rPr>
        <w:t>.</w:t>
      </w:r>
      <w:r>
        <w:rPr>
          <w:rFonts w:ascii="Calibri" w:cs="Calibri" w:eastAsia="Calibri" w:hAnsi="Calibri"/>
          <w:sz w:val="19"/>
          <w:szCs w:val="19"/>
          <w:color w:val="auto"/>
        </w:rPr>
        <w:t xml:space="preserve"> Regulaton FD provides, in efect, that if an issuer of public securites, or persons actng on its behalf, discloses material non-public informaton to securites market professionals and/or holders of the issuer’s securites, it may not do so selectvely without also making public disclosure of that informaton.</w:t>
      </w:r>
    </w:p>
    <w:p>
      <w:pPr>
        <w:spacing w:after="0" w:line="209" w:lineRule="exact"/>
        <w:rPr>
          <w:sz w:val="20"/>
          <w:szCs w:val="20"/>
          <w:color w:val="auto"/>
        </w:rPr>
      </w:pPr>
    </w:p>
    <w:p>
      <w:pPr>
        <w:jc w:val="both"/>
        <w:spacing w:after="0" w:line="215" w:lineRule="auto"/>
        <w:rPr>
          <w:sz w:val="20"/>
          <w:szCs w:val="20"/>
          <w:color w:val="auto"/>
        </w:rPr>
      </w:pPr>
      <w:r>
        <w:rPr>
          <w:rFonts w:ascii="Calibri" w:cs="Calibri" w:eastAsia="Calibri" w:hAnsi="Calibri"/>
          <w:sz w:val="19"/>
          <w:szCs w:val="19"/>
          <w:color w:val="auto"/>
        </w:rPr>
        <w:t>This secton of this Policy documents how the Company will respond to questons and other communicatons to and from securites analysts and investors (including personal investors).</w:t>
      </w:r>
    </w:p>
    <w:p>
      <w:pPr>
        <w:spacing w:after="0" w:line="220" w:lineRule="exact"/>
        <w:rPr>
          <w:sz w:val="20"/>
          <w:szCs w:val="20"/>
          <w:color w:val="auto"/>
        </w:rPr>
      </w:pPr>
    </w:p>
    <w:p>
      <w:pPr>
        <w:jc w:val="both"/>
        <w:ind w:left="640" w:hanging="316"/>
        <w:spacing w:after="0" w:line="227" w:lineRule="auto"/>
        <w:tabs>
          <w:tab w:leader="none" w:pos="633" w:val="left"/>
        </w:tabs>
        <w:numPr>
          <w:ilvl w:val="0"/>
          <w:numId w:val="10"/>
        </w:numPr>
        <w:rPr>
          <w:rFonts w:ascii="Calibri" w:cs="Calibri" w:eastAsia="Calibri" w:hAnsi="Calibri"/>
          <w:sz w:val="19"/>
          <w:szCs w:val="19"/>
          <w:color w:val="auto"/>
        </w:rPr>
      </w:pPr>
      <w:r>
        <w:rPr>
          <w:rFonts w:ascii="Calibri" w:cs="Calibri" w:eastAsia="Calibri" w:hAnsi="Calibri"/>
          <w:sz w:val="19"/>
          <w:szCs w:val="19"/>
          <w:i w:val="1"/>
          <w:iCs w:val="1"/>
          <w:u w:val="single" w:color="auto"/>
          <w:color w:val="auto"/>
        </w:rPr>
        <w:t>Designated Spokesperson</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 To ensure consistent and concise communicatons to all outside partes, only the Chief Executve Ofcer,</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Chief Financial Ofcer, and General Counsel are designated spokespersons. No unauthorized associate (employees, directors, and independent agents and consultants actng on behalf of the Company) shall disclose material non-public informaton to any person outside of the Company nor shall any associate trade in Company securites if they possess such informaton.</w:t>
      </w:r>
    </w:p>
    <w:p>
      <w:pPr>
        <w:spacing w:after="0" w:line="220" w:lineRule="exact"/>
        <w:rPr>
          <w:rFonts w:ascii="Calibri" w:cs="Calibri" w:eastAsia="Calibri" w:hAnsi="Calibri"/>
          <w:sz w:val="19"/>
          <w:szCs w:val="19"/>
          <w:color w:val="auto"/>
        </w:rPr>
      </w:pPr>
    </w:p>
    <w:p>
      <w:pPr>
        <w:jc w:val="both"/>
        <w:ind w:left="640" w:hanging="316"/>
        <w:spacing w:after="0" w:line="231" w:lineRule="auto"/>
        <w:tabs>
          <w:tab w:leader="none" w:pos="633" w:val="left"/>
        </w:tabs>
        <w:numPr>
          <w:ilvl w:val="0"/>
          <w:numId w:val="10"/>
        </w:numPr>
        <w:rPr>
          <w:rFonts w:ascii="Calibri" w:cs="Calibri" w:eastAsia="Calibri" w:hAnsi="Calibri"/>
          <w:sz w:val="19"/>
          <w:szCs w:val="19"/>
          <w:color w:val="auto"/>
        </w:rPr>
      </w:pPr>
      <w:r>
        <w:rPr>
          <w:rFonts w:ascii="Calibri" w:cs="Calibri" w:eastAsia="Calibri" w:hAnsi="Calibri"/>
          <w:sz w:val="19"/>
          <w:szCs w:val="19"/>
          <w:i w:val="1"/>
          <w:iCs w:val="1"/>
          <w:u w:val="single" w:color="auto"/>
          <w:color w:val="auto"/>
        </w:rPr>
        <w:t>Material Non-Public Informaton</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 Disclosures to one or a group of analysts or investors are viewed as improperly favoring one or a</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 xml:space="preserve">selected group of recipients. These “selectve disclosures” are in violaton of this Policy and the Company’s Code of Business Conduct and Ethics. </w:t>
      </w:r>
      <w:r>
        <w:rPr>
          <w:rFonts w:ascii="Calibri" w:cs="Calibri" w:eastAsia="Calibri" w:hAnsi="Calibri"/>
          <w:sz w:val="19"/>
          <w:szCs w:val="19"/>
          <w:b w:val="1"/>
          <w:bCs w:val="1"/>
          <w:i w:val="1"/>
          <w:iCs w:val="1"/>
          <w:color w:val="auto"/>
        </w:rPr>
        <w:t>Company spokespersons shall not disclose material non-public informaton to analysts and investors without</w:t>
      </w:r>
      <w:r>
        <w:rPr>
          <w:rFonts w:ascii="Calibri" w:cs="Calibri" w:eastAsia="Calibri" w:hAnsi="Calibri"/>
          <w:sz w:val="19"/>
          <w:szCs w:val="19"/>
          <w:color w:val="auto"/>
        </w:rPr>
        <w:t xml:space="preserve"> </w:t>
      </w:r>
      <w:r>
        <w:rPr>
          <w:rFonts w:ascii="Calibri" w:cs="Calibri" w:eastAsia="Calibri" w:hAnsi="Calibri"/>
          <w:sz w:val="19"/>
          <w:szCs w:val="19"/>
          <w:b w:val="1"/>
          <w:bCs w:val="1"/>
          <w:i w:val="1"/>
          <w:iCs w:val="1"/>
          <w:color w:val="auto"/>
        </w:rPr>
        <w:t>simultaneously disclosing informaton publicly.</w:t>
      </w:r>
    </w:p>
    <w:p>
      <w:pPr>
        <w:spacing w:after="0" w:line="218" w:lineRule="exact"/>
        <w:rPr>
          <w:rFonts w:ascii="Calibri" w:cs="Calibri" w:eastAsia="Calibri" w:hAnsi="Calibri"/>
          <w:sz w:val="19"/>
          <w:szCs w:val="19"/>
          <w:color w:val="auto"/>
        </w:rPr>
      </w:pPr>
    </w:p>
    <w:p>
      <w:pPr>
        <w:jc w:val="both"/>
        <w:ind w:left="640" w:hanging="316"/>
        <w:spacing w:after="0" w:line="227" w:lineRule="auto"/>
        <w:tabs>
          <w:tab w:leader="none" w:pos="633" w:val="left"/>
        </w:tabs>
        <w:numPr>
          <w:ilvl w:val="0"/>
          <w:numId w:val="10"/>
        </w:numPr>
        <w:rPr>
          <w:rFonts w:ascii="Calibri" w:cs="Calibri" w:eastAsia="Calibri" w:hAnsi="Calibri"/>
          <w:sz w:val="19"/>
          <w:szCs w:val="19"/>
          <w:color w:val="auto"/>
        </w:rPr>
      </w:pPr>
      <w:r>
        <w:rPr>
          <w:rFonts w:ascii="Calibri" w:cs="Calibri" w:eastAsia="Calibri" w:hAnsi="Calibri"/>
          <w:sz w:val="19"/>
          <w:szCs w:val="19"/>
          <w:i w:val="1"/>
          <w:iCs w:val="1"/>
          <w:u w:val="single" w:color="auto"/>
          <w:color w:val="auto"/>
        </w:rPr>
        <w:t>Telephone Inquiries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w:t>
      </w:r>
      <w:r>
        <w:rPr>
          <w:rFonts w:ascii="Calibri" w:cs="Calibri" w:eastAsia="Calibri" w:hAnsi="Calibri"/>
          <w:sz w:val="19"/>
          <w:szCs w:val="19"/>
          <w:i w:val="1"/>
          <w:iCs w:val="1"/>
          <w:color w:val="auto"/>
        </w:rPr>
        <w:t xml:space="preserve"> </w:t>
      </w:r>
      <w:r>
        <w:rPr>
          <w:rFonts w:ascii="Calibri" w:cs="Calibri" w:eastAsia="Calibri" w:hAnsi="Calibri"/>
          <w:sz w:val="19"/>
          <w:szCs w:val="19"/>
          <w:b w:val="1"/>
          <w:bCs w:val="1"/>
          <w:i w:val="1"/>
          <w:iCs w:val="1"/>
          <w:color w:val="auto"/>
        </w:rPr>
        <w:t>All telephone inquiries from outside sources identfed in this Policy shall be referred to the Chief Executve</w:t>
      </w:r>
      <w:r>
        <w:rPr>
          <w:rFonts w:ascii="Calibri" w:cs="Calibri" w:eastAsia="Calibri" w:hAnsi="Calibri"/>
          <w:sz w:val="19"/>
          <w:szCs w:val="19"/>
          <w:i w:val="1"/>
          <w:iCs w:val="1"/>
          <w:color w:val="auto"/>
        </w:rPr>
        <w:t xml:space="preserve"> </w:t>
      </w:r>
      <w:r>
        <w:rPr>
          <w:rFonts w:ascii="Calibri" w:cs="Calibri" w:eastAsia="Calibri" w:hAnsi="Calibri"/>
          <w:sz w:val="19"/>
          <w:szCs w:val="19"/>
          <w:b w:val="1"/>
          <w:bCs w:val="1"/>
          <w:i w:val="1"/>
          <w:iCs w:val="1"/>
          <w:color w:val="auto"/>
        </w:rPr>
        <w:t xml:space="preserve">Ofcer, the Chief Financial Ofcer, or the General Counsel. </w:t>
      </w:r>
      <w:r>
        <w:rPr>
          <w:rFonts w:ascii="Calibri" w:cs="Calibri" w:eastAsia="Calibri" w:hAnsi="Calibri"/>
          <w:sz w:val="19"/>
          <w:szCs w:val="19"/>
          <w:color w:val="auto"/>
        </w:rPr>
        <w:t>In answer to any such inquiry, no material informaton which has not</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color w:val="auto"/>
        </w:rPr>
        <w:t>been publicly disclosed shall be given. If prior disclosure of any item of informaton is uncertain, that informaton shall not be disclosed without verifcaton that it has been publicly disclosed.</w:t>
      </w:r>
    </w:p>
    <w:p>
      <w:pPr>
        <w:spacing w:after="0" w:line="234" w:lineRule="exact"/>
        <w:rPr>
          <w:rFonts w:ascii="Calibri" w:cs="Calibri" w:eastAsia="Calibri" w:hAnsi="Calibri"/>
          <w:sz w:val="19"/>
          <w:szCs w:val="19"/>
          <w:color w:val="auto"/>
        </w:rPr>
      </w:pPr>
    </w:p>
    <w:p>
      <w:pPr>
        <w:jc w:val="both"/>
        <w:ind w:left="640" w:hanging="316"/>
        <w:spacing w:after="0"/>
        <w:tabs>
          <w:tab w:leader="none" w:pos="633" w:val="left"/>
        </w:tabs>
        <w:numPr>
          <w:ilvl w:val="0"/>
          <w:numId w:val="10"/>
        </w:numPr>
        <w:rPr>
          <w:rFonts w:ascii="Calibri" w:cs="Calibri" w:eastAsia="Calibri" w:hAnsi="Calibri"/>
          <w:sz w:val="19"/>
          <w:szCs w:val="19"/>
          <w:color w:val="auto"/>
        </w:rPr>
      </w:pPr>
      <w:r>
        <w:rPr>
          <w:rFonts w:ascii="Calibri" w:cs="Calibri" w:eastAsia="Calibri" w:hAnsi="Calibri"/>
          <w:sz w:val="19"/>
          <w:szCs w:val="19"/>
          <w:i w:val="1"/>
          <w:iCs w:val="1"/>
          <w:u w:val="single" w:color="auto"/>
          <w:color w:val="auto"/>
        </w:rPr>
        <w:t>Writen Requests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 All writen requests shall be referred to and answered by the Chief Executve Ofcer, the Chief Financial Ofcer,</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or the General Counsel, where such requests are for more than copies of previously issued annual or periodic reports or other routne public informaton. No material informaton which has not been publicly disclosed shall be given in response to such writen requests. Where requests are for routne public informaton, the Chief Financial Ofcer should be advised of the name, afliaton, and nature of the request.</w:t>
      </w:r>
    </w:p>
    <w:p>
      <w:pPr>
        <w:spacing w:after="0" w:line="395" w:lineRule="exact"/>
        <w:rPr>
          <w:rFonts w:ascii="Calibri" w:cs="Calibri" w:eastAsia="Calibri" w:hAnsi="Calibri"/>
          <w:sz w:val="19"/>
          <w:szCs w:val="19"/>
          <w:color w:val="auto"/>
        </w:rPr>
      </w:pPr>
    </w:p>
    <w:p>
      <w:pPr>
        <w:jc w:val="both"/>
        <w:ind w:left="640" w:hanging="316"/>
        <w:spacing w:after="0"/>
        <w:tabs>
          <w:tab w:leader="none" w:pos="633" w:val="left"/>
        </w:tabs>
        <w:numPr>
          <w:ilvl w:val="0"/>
          <w:numId w:val="10"/>
        </w:numPr>
        <w:rPr>
          <w:rFonts w:ascii="Calibri" w:cs="Calibri" w:eastAsia="Calibri" w:hAnsi="Calibri"/>
          <w:sz w:val="19"/>
          <w:szCs w:val="19"/>
          <w:color w:val="auto"/>
        </w:rPr>
      </w:pPr>
      <w:r>
        <w:rPr>
          <w:rFonts w:ascii="Calibri" w:cs="Calibri" w:eastAsia="Calibri" w:hAnsi="Calibri"/>
          <w:sz w:val="19"/>
          <w:szCs w:val="19"/>
          <w:i w:val="1"/>
          <w:iCs w:val="1"/>
          <w:u w:val="single" w:color="auto"/>
          <w:color w:val="auto"/>
        </w:rPr>
        <w:t>Inadvertent Disclosures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 In the event that any associate of the Company, including any designated spokesperson, inadvertently</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discloses any material non-public informaton to an investor or other outside person, the associate must immediately inform the General Counsel of such disclosure so that appropriate correctve public disclosure may be made. If the associate informs the General Counsel of such inadvertent disclosure within twelve hours of the disclosure, no disciplinary acton by the Company will result solely because of the inadvertent disclosure. If circumstances indicate that disciplinary acton is otherwise necessary, then appropriate acton may be taken.</w:t>
      </w:r>
    </w:p>
    <w:p>
      <w:pPr>
        <w:spacing w:after="0" w:line="375" w:lineRule="exact"/>
        <w:rPr>
          <w:rFonts w:ascii="Calibri" w:cs="Calibri" w:eastAsia="Calibri" w:hAnsi="Calibri"/>
          <w:sz w:val="19"/>
          <w:szCs w:val="19"/>
          <w:color w:val="auto"/>
        </w:rPr>
      </w:pPr>
    </w:p>
    <w:p>
      <w:pPr>
        <w:jc w:val="both"/>
        <w:ind w:left="640" w:hanging="316"/>
        <w:spacing w:after="0"/>
        <w:tabs>
          <w:tab w:leader="none" w:pos="633" w:val="left"/>
        </w:tabs>
        <w:numPr>
          <w:ilvl w:val="0"/>
          <w:numId w:val="10"/>
        </w:numPr>
        <w:rPr>
          <w:rFonts w:ascii="Calibri" w:cs="Calibri" w:eastAsia="Calibri" w:hAnsi="Calibri"/>
          <w:sz w:val="19"/>
          <w:szCs w:val="19"/>
          <w:color w:val="auto"/>
        </w:rPr>
      </w:pPr>
      <w:r>
        <w:rPr>
          <w:rFonts w:ascii="Calibri" w:cs="Calibri" w:eastAsia="Calibri" w:hAnsi="Calibri"/>
          <w:sz w:val="19"/>
          <w:szCs w:val="19"/>
          <w:i w:val="1"/>
          <w:iCs w:val="1"/>
          <w:u w:val="single" w:color="auto"/>
          <w:color w:val="auto"/>
        </w:rPr>
        <w:t>Meetngs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 For any face-to-face meetng with any holders of the Company’s securites, brokers, dealers, insttutonal investors,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security analysts, or investment advisers, at least one of the following Quanex employees must be present: CEO, CFO, or General Counsel.</w:t>
      </w:r>
    </w:p>
    <w:p>
      <w:pPr>
        <w:sectPr>
          <w:pgSz w:w="11900" w:h="16838" w:orient="portrait"/>
          <w:cols w:equalWidth="0" w:num="1">
            <w:col w:w="11240"/>
          </w:cols>
          <w:pgMar w:left="320" w:top="1372" w:right="339" w:bottom="1440" w:gutter="0" w:footer="0" w:header="0"/>
        </w:sectPr>
      </w:pPr>
    </w:p>
    <w:bookmarkStart w:id="47" w:name="page48"/>
    <w:bookmarkEnd w:id="47"/>
    <w:p>
      <w:pPr>
        <w:spacing w:after="0" w:line="17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Enforcement</w:t>
      </w:r>
    </w:p>
    <w:p>
      <w:pPr>
        <w:spacing w:after="0" w:line="225" w:lineRule="auto"/>
        <w:rPr>
          <w:sz w:val="20"/>
          <w:szCs w:val="20"/>
          <w:color w:val="auto"/>
        </w:rPr>
      </w:pPr>
      <w:r>
        <w:rPr>
          <w:rFonts w:ascii="Calibri" w:cs="Calibri" w:eastAsia="Calibri" w:hAnsi="Calibri"/>
          <w:sz w:val="19"/>
          <w:szCs w:val="19"/>
          <w:color w:val="auto"/>
        </w:rPr>
        <w:t>In additon to legal sanctons, violaton of this policy or the failure to exercise reasonable judgment in trading in the Company’s securites will also result in disciplinary acton, which could include terminaton of employment with the Company.</w:t>
      </w:r>
    </w:p>
    <w:p>
      <w:pPr>
        <w:sectPr>
          <w:pgSz w:w="11900" w:h="16838" w:orient="portrait"/>
          <w:cols w:equalWidth="0" w:num="1">
            <w:col w:w="10980"/>
          </w:cols>
          <w:pgMar w:left="320" w:top="1440" w:right="5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50" w:lineRule="exact"/>
        <w:rPr>
          <w:sz w:val="20"/>
          <w:szCs w:val="20"/>
          <w:color w:val="auto"/>
        </w:rPr>
      </w:pPr>
    </w:p>
    <w:p>
      <w:pPr>
        <w:ind w:left="960" w:hanging="319"/>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0" w:lineRule="exact"/>
        <w:rPr>
          <w:rFonts w:ascii="Times New Roman" w:cs="Times New Roman" w:eastAsia="Times New Roman" w:hAnsi="Times New Roman"/>
          <w:sz w:val="18"/>
          <w:szCs w:val="18"/>
          <w:color w:val="auto"/>
        </w:rPr>
      </w:pPr>
    </w:p>
    <w:p>
      <w:pPr>
        <w:jc w:val="both"/>
        <w:ind w:left="960" w:hanging="319"/>
        <w:spacing w:after="0" w:line="25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960" w:hanging="319"/>
        <w:spacing w:after="0" w:line="27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Times New Roman" w:cs="Times New Roman" w:eastAsia="Times New Roman" w:hAnsi="Times New Roman"/>
          <w:sz w:val="18"/>
          <w:szCs w:val="18"/>
          <w:color w:val="auto"/>
        </w:rPr>
      </w:pPr>
    </w:p>
    <w:p>
      <w:pPr>
        <w:jc w:val="both"/>
        <w:ind w:left="960" w:hanging="319"/>
        <w:spacing w:after="0" w:line="25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8"/>
          <w:szCs w:val="18"/>
          <w:color w:val="auto"/>
        </w:rPr>
      </w:pPr>
    </w:p>
    <w:p>
      <w:pPr>
        <w:jc w:val="both"/>
        <w:ind w:left="1600" w:hanging="324"/>
        <w:spacing w:after="0" w:line="258" w:lineRule="auto"/>
        <w:tabs>
          <w:tab w:leader="none" w:pos="15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jc w:val="both"/>
        <w:ind w:left="1600" w:hanging="324"/>
        <w:spacing w:after="0" w:line="258" w:lineRule="auto"/>
        <w:tabs>
          <w:tab w:leader="none" w:pos="1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8"/>
          <w:szCs w:val="18"/>
          <w:color w:val="auto"/>
        </w:rPr>
      </w:pPr>
    </w:p>
    <w:p>
      <w:pPr>
        <w:ind w:left="1600" w:hanging="324"/>
        <w:spacing w:after="0" w:line="301" w:lineRule="auto"/>
        <w:tabs>
          <w:tab w:leader="none" w:pos="159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Times New Roman" w:cs="Times New Roman" w:eastAsia="Times New Roman" w:hAnsi="Times New Roman"/>
          <w:sz w:val="17"/>
          <w:szCs w:val="17"/>
          <w:color w:val="auto"/>
        </w:rPr>
      </w:pPr>
    </w:p>
    <w:p>
      <w:pPr>
        <w:jc w:val="both"/>
        <w:ind w:left="1600" w:hanging="324"/>
        <w:spacing w:after="0" w:line="258" w:lineRule="auto"/>
        <w:tabs>
          <w:tab w:leader="none" w:pos="1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960" w:hanging="319"/>
        <w:spacing w:after="0" w:line="27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Times New Roman" w:cs="Times New Roman" w:eastAsia="Times New Roman" w:hAnsi="Times New Roman"/>
          <w:sz w:val="18"/>
          <w:szCs w:val="18"/>
          <w:color w:val="auto"/>
        </w:rPr>
      </w:pPr>
    </w:p>
    <w:p>
      <w:pPr>
        <w:ind w:left="1600" w:hanging="324"/>
        <w:spacing w:after="0" w:line="271" w:lineRule="auto"/>
        <w:tabs>
          <w:tab w:leader="none" w:pos="15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Times New Roman" w:cs="Times New Roman" w:eastAsia="Times New Roman" w:hAnsi="Times New Roman"/>
          <w:sz w:val="18"/>
          <w:szCs w:val="18"/>
          <w:color w:val="auto"/>
        </w:rPr>
      </w:pPr>
    </w:p>
    <w:p>
      <w:pPr>
        <w:ind w:left="1600" w:hanging="324"/>
        <w:spacing w:after="0" w:line="271" w:lineRule="auto"/>
        <w:tabs>
          <w:tab w:leader="none" w:pos="1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4471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4471035" cy="8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L. Wilson</w:t>
      </w:r>
    </w:p>
    <w:p>
      <w:pPr>
        <w:ind w:left="40"/>
        <w:spacing w:after="0" w:line="199" w:lineRule="auto"/>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50" w:lineRule="exact"/>
        <w:rPr>
          <w:sz w:val="20"/>
          <w:szCs w:val="20"/>
          <w:color w:val="auto"/>
        </w:rPr>
      </w:pPr>
    </w:p>
    <w:p>
      <w:pPr>
        <w:ind w:left="960" w:hanging="319"/>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0" w:lineRule="exact"/>
        <w:rPr>
          <w:rFonts w:ascii="Times New Roman" w:cs="Times New Roman" w:eastAsia="Times New Roman" w:hAnsi="Times New Roman"/>
          <w:sz w:val="18"/>
          <w:szCs w:val="18"/>
          <w:color w:val="auto"/>
        </w:rPr>
      </w:pPr>
    </w:p>
    <w:p>
      <w:pPr>
        <w:jc w:val="both"/>
        <w:ind w:left="960" w:hanging="319"/>
        <w:spacing w:after="0" w:line="258"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960" w:hanging="319"/>
        <w:spacing w:after="0" w:line="27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Times New Roman" w:cs="Times New Roman" w:eastAsia="Times New Roman" w:hAnsi="Times New Roman"/>
          <w:sz w:val="18"/>
          <w:szCs w:val="18"/>
          <w:color w:val="auto"/>
        </w:rPr>
      </w:pPr>
    </w:p>
    <w:p>
      <w:pPr>
        <w:jc w:val="both"/>
        <w:ind w:left="960" w:hanging="319"/>
        <w:spacing w:after="0" w:line="258"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8"/>
          <w:szCs w:val="18"/>
          <w:color w:val="auto"/>
        </w:rPr>
      </w:pPr>
    </w:p>
    <w:p>
      <w:pPr>
        <w:jc w:val="both"/>
        <w:ind w:left="1600" w:hanging="324"/>
        <w:spacing w:after="0" w:line="258" w:lineRule="auto"/>
        <w:tabs>
          <w:tab w:leader="none" w:pos="15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jc w:val="both"/>
        <w:ind w:left="1600" w:hanging="324"/>
        <w:spacing w:after="0" w:line="258" w:lineRule="auto"/>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8"/>
          <w:szCs w:val="18"/>
          <w:color w:val="auto"/>
        </w:rPr>
      </w:pPr>
    </w:p>
    <w:p>
      <w:pPr>
        <w:ind w:left="1600" w:hanging="324"/>
        <w:spacing w:after="0" w:line="301" w:lineRule="auto"/>
        <w:tabs>
          <w:tab w:leader="none" w:pos="15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Times New Roman" w:cs="Times New Roman" w:eastAsia="Times New Roman" w:hAnsi="Times New Roman"/>
          <w:sz w:val="17"/>
          <w:szCs w:val="17"/>
          <w:color w:val="auto"/>
        </w:rPr>
      </w:pPr>
    </w:p>
    <w:p>
      <w:pPr>
        <w:jc w:val="both"/>
        <w:ind w:left="1600" w:hanging="324"/>
        <w:spacing w:after="0" w:line="258" w:lineRule="auto"/>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960" w:hanging="319"/>
        <w:spacing w:after="0" w:line="27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Times New Roman" w:cs="Times New Roman" w:eastAsia="Times New Roman" w:hAnsi="Times New Roman"/>
          <w:sz w:val="18"/>
          <w:szCs w:val="18"/>
          <w:color w:val="auto"/>
        </w:rPr>
      </w:pPr>
    </w:p>
    <w:p>
      <w:pPr>
        <w:ind w:left="1600" w:hanging="324"/>
        <w:spacing w:after="0" w:line="271" w:lineRule="auto"/>
        <w:tabs>
          <w:tab w:leader="none" w:pos="15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Times New Roman" w:cs="Times New Roman" w:eastAsia="Times New Roman" w:hAnsi="Times New Roman"/>
          <w:sz w:val="18"/>
          <w:szCs w:val="18"/>
          <w:color w:val="auto"/>
        </w:rPr>
      </w:pPr>
    </w:p>
    <w:p>
      <w:pPr>
        <w:ind w:left="1600" w:hanging="324"/>
        <w:spacing w:after="0" w:line="271" w:lineRule="auto"/>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4471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4471035" cy="8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M. Zuehlke</w:t>
      </w:r>
    </w:p>
    <w:p>
      <w:pPr>
        <w:ind w:left="40"/>
        <w:spacing w:after="0" w:line="199"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w:t>
      </w: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39"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We hereby certify that the accompanying Quarterly Report on Form 10-Q of Quanex Building Products Corporation for the quarter ended January 31, 2025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11, 2025</w:t>
            </w:r>
          </w:p>
        </w:tc>
        <w:tc>
          <w:tcPr>
            <w:tcW w:w="5400" w:type="dxa"/>
            <w:vAlign w:val="bottom"/>
          </w:tcPr>
          <w:p>
            <w:pPr>
              <w:spacing w:after="0"/>
              <w:rPr>
                <w:sz w:val="19"/>
                <w:szCs w:val="19"/>
                <w:color w:val="auto"/>
              </w:rPr>
            </w:pPr>
          </w:p>
        </w:tc>
      </w:tr>
      <w:tr>
        <w:trPr>
          <w:trHeight w:val="503"/>
        </w:trPr>
        <w:tc>
          <w:tcPr>
            <w:tcW w:w="20" w:type="dxa"/>
            <w:vAlign w:val="bottom"/>
          </w:tcPr>
          <w:p>
            <w:pPr>
              <w:spacing w:after="0"/>
              <w:rPr>
                <w:sz w:val="24"/>
                <w:szCs w:val="24"/>
                <w:color w:val="auto"/>
              </w:rPr>
            </w:pPr>
          </w:p>
        </w:tc>
        <w:tc>
          <w:tcPr>
            <w:tcW w:w="58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/s/ George L. Wilson</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Scott M. Zuehlke</w:t>
            </w:r>
          </w:p>
        </w:tc>
      </w:tr>
      <w:tr>
        <w:trPr>
          <w:trHeight w:val="166"/>
        </w:trPr>
        <w:tc>
          <w:tcPr>
            <w:tcW w:w="20" w:type="dxa"/>
            <w:vAlign w:val="bottom"/>
          </w:tcPr>
          <w:p>
            <w:pPr>
              <w:spacing w:after="0"/>
              <w:rPr>
                <w:sz w:val="14"/>
                <w:szCs w:val="14"/>
                <w:color w:val="auto"/>
              </w:rPr>
            </w:pPr>
          </w:p>
        </w:tc>
        <w:tc>
          <w:tcPr>
            <w:tcW w:w="538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color w:val="auto"/>
                <w:w w:val="97"/>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color w:val="auto"/>
                <w:w w:val="98"/>
              </w:rPr>
              <w:t>Scott M. Zuehlke</w:t>
            </w:r>
          </w:p>
        </w:tc>
      </w:tr>
      <w:tr>
        <w:trPr>
          <w:trHeight w:val="178"/>
        </w:trPr>
        <w:tc>
          <w:tcPr>
            <w:tcW w:w="20" w:type="dxa"/>
            <w:vAlign w:val="bottom"/>
          </w:tcPr>
          <w:p>
            <w:pPr>
              <w:spacing w:after="0"/>
              <w:rPr>
                <w:sz w:val="15"/>
                <w:szCs w:val="15"/>
                <w:color w:val="auto"/>
              </w:rPr>
            </w:pPr>
          </w:p>
        </w:tc>
        <w:tc>
          <w:tcPr>
            <w:tcW w:w="5820" w:type="dxa"/>
            <w:vAlign w:val="bottom"/>
            <w:gridSpan w:val="2"/>
          </w:tcPr>
          <w:p>
            <w:pPr>
              <w:jc w:val="center"/>
              <w:ind w:right="460"/>
              <w:spacing w:after="0" w:line="178" w:lineRule="exact"/>
              <w:rPr>
                <w:sz w:val="20"/>
                <w:szCs w:val="20"/>
                <w:color w:val="auto"/>
              </w:rPr>
            </w:pPr>
            <w:r>
              <w:rPr>
                <w:rFonts w:ascii="Times New Roman" w:cs="Times New Roman" w:eastAsia="Times New Roman" w:hAnsi="Times New Roman"/>
                <w:sz w:val="18"/>
                <w:szCs w:val="18"/>
                <w:i w:val="1"/>
                <w:iCs w:val="1"/>
                <w:color w:val="auto"/>
                <w:w w:val="97"/>
              </w:rPr>
              <w:t>Chairman of the Board, President and Chief Executive Officer</w:t>
            </w:r>
          </w:p>
        </w:tc>
        <w:tc>
          <w:tcPr>
            <w:tcW w:w="54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i w:val="1"/>
                <w:iCs w:val="1"/>
                <w:color w:val="auto"/>
                <w:w w:val="96"/>
              </w:rPr>
              <w:t>Senior Vice President—Chief Financial Officer and Treasurer</w:t>
            </w:r>
          </w:p>
        </w:tc>
      </w:tr>
      <w:tr>
        <w:trPr>
          <w:trHeight w:val="231"/>
        </w:trPr>
        <w:tc>
          <w:tcPr>
            <w:tcW w:w="20" w:type="dxa"/>
            <w:vAlign w:val="bottom"/>
          </w:tcPr>
          <w:p>
            <w:pPr>
              <w:spacing w:after="0"/>
              <w:rPr>
                <w:sz w:val="20"/>
                <w:szCs w:val="20"/>
                <w:color w:val="auto"/>
              </w:rPr>
            </w:pPr>
          </w:p>
        </w:tc>
        <w:tc>
          <w:tcPr>
            <w:tcW w:w="58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pacing w:after="0" w:line="1" w:lineRule="exact"/>
        <w:rPr>
          <w:sz w:val="20"/>
          <w:szCs w:val="20"/>
          <w:color w:val="auto"/>
        </w:rPr>
      </w:pP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63" Type="http://schemas.openxmlformats.org/officeDocument/2006/relationships/hyperlink" Target="https://www.sec.gov/Archives/edgar/data/1423221/000110465924049723/tm2412350d1_ex2-1.htm" TargetMode="External"/><Relationship Id="rId64" Type="http://schemas.openxmlformats.org/officeDocument/2006/relationships/hyperlink" Target="https://www.sec.gov/Archives/edgar/data/1423221/000110465924049723/tm2412350d1_ex2-2.htm" TargetMode="External"/><Relationship Id="rId65" Type="http://schemas.openxmlformats.org/officeDocument/2006/relationships/hyperlink" Target="https://www.sec.gov/Archives/edgar/data/1423221/000110465924049723/tm2412350d1_ex2-3.htm" TargetMode="External"/><Relationship Id="rId66" Type="http://schemas.openxmlformats.org/officeDocument/2006/relationships/hyperlink" Target="https://www.sec.gov/Archives/edgar/data/1423221/000119312516495257/d156158dex31.htm" TargetMode="External"/><Relationship Id="rId67" Type="http://schemas.openxmlformats.org/officeDocument/2006/relationships/hyperlink" Target="https://www.sec.gov/Archives/edgar/data/1423221/000142322120000005/nx01312020ex32.htm" TargetMode="External"/><Relationship Id="rId68" Type="http://schemas.openxmlformats.org/officeDocument/2006/relationships/hyperlink" Target="https://www.sec.gov/Archives/edgar/data/1423221/000095012908000988/h52992a1exv4w1.htm" TargetMode="External"/><Relationship Id="rId69" Type="http://schemas.openxmlformats.org/officeDocument/2006/relationships/hyperlink" Target="https://www.sec.gov/Archives/edgar/data/1423221/000110465922077705/tm2220473d1_ex10-1.htm" TargetMode="External"/><Relationship Id="rId70" Type="http://schemas.openxmlformats.org/officeDocument/2006/relationships/hyperlink" Target="https://www.sec.gov/Archives/edgar/data/1423221/000110465924071335/tm241718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2025-03-11T15:24:52Z</dcterms:created>
  <dcterms:modified xsi:type="dcterms:W3CDTF">2025-03-11T15:24:52Z</dcterms:modified>
</cp:coreProperties>
</file>