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139"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31, 2022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17" w:lineRule="exact"/>
        <w:rPr>
          <w:sz w:val="24"/>
          <w:szCs w:val="24"/>
          <w:color w:val="auto"/>
        </w:rPr>
      </w:pPr>
    </w:p>
    <w:p>
      <w:pPr>
        <w:ind w:left="2460"/>
        <w:spacing w:after="0"/>
        <w:tabs>
          <w:tab w:leader="none" w:pos="804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26-1561397</w:t>
      </w:r>
    </w:p>
    <w:p>
      <w:pPr>
        <w:spacing w:after="0" w:line="26" w:lineRule="exact"/>
        <w:rPr>
          <w:sz w:val="24"/>
          <w:szCs w:val="24"/>
          <w:color w:val="auto"/>
        </w:rPr>
      </w:pPr>
    </w:p>
    <w:p>
      <w:pPr>
        <w:ind w:left="1900"/>
        <w:spacing w:after="0"/>
        <w:tabs>
          <w:tab w:leader="none" w:pos="79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860"/>
        <w:spacing w:after="0"/>
        <w:tabs>
          <w:tab w:leader="none" w:pos="78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7" w:right="339" w:bottom="1440" w:gutter="0" w:footer="0" w:header="0"/>
        </w:sectPr>
      </w:pPr>
    </w:p>
    <w:p>
      <w:pPr>
        <w:spacing w:after="0" w:line="70"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65"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62" w:lineRule="exact"/>
        <w:rPr>
          <w:sz w:val="24"/>
          <w:szCs w:val="24"/>
          <w:color w:val="auto"/>
        </w:rPr>
      </w:pPr>
    </w:p>
    <w:p>
      <w:pPr>
        <w:ind w:right="1260"/>
        <w:spacing w:after="0" w:line="25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as of August 31, 2022 was 33,129,250.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880" w:type="dxa"/>
            <w:vAlign w:val="bottom"/>
            <w:gridSpan w:val="9"/>
          </w:tcPr>
          <w:p>
            <w:pPr>
              <w:jc w:val="center"/>
              <w:ind w:right="960"/>
              <w:spacing w:after="0"/>
              <w:rPr>
                <w:sz w:val="20"/>
                <w:szCs w:val="20"/>
                <w:color w:val="auto"/>
              </w:rPr>
            </w:pPr>
            <w:r>
              <w:rPr>
                <w:rFonts w:ascii="Arial" w:cs="Arial" w:eastAsia="Arial" w:hAnsi="Arial"/>
                <w:sz w:val="18"/>
                <w:szCs w:val="18"/>
                <w:b w:val="1"/>
                <w:bCs w:val="1"/>
                <w:color w:val="auto"/>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PART I.</w:t>
            </w:r>
          </w:p>
        </w:tc>
        <w:tc>
          <w:tcPr>
            <w:tcW w:w="9880" w:type="dxa"/>
            <w:vAlign w:val="bottom"/>
            <w:gridSpan w:val="9"/>
          </w:tcPr>
          <w:p>
            <w:pPr>
              <w:spacing w:after="0"/>
              <w:rPr>
                <w:sz w:val="20"/>
                <w:szCs w:val="20"/>
                <w:color w:val="auto"/>
              </w:rPr>
            </w:pPr>
            <w:r>
              <w:rPr>
                <w:rFonts w:ascii="Arial" w:cs="Arial" w:eastAsia="Arial" w:hAnsi="Arial"/>
                <w:sz w:val="18"/>
                <w:szCs w:val="18"/>
                <w:color w:val="0000FF"/>
              </w:rPr>
              <w:t>FINANCIAL INFORMATION</w:t>
            </w:r>
          </w:p>
        </w:tc>
        <w:tc>
          <w:tcPr>
            <w:tcW w:w="180" w:type="dxa"/>
            <w:vAlign w:val="bottom"/>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Item 1:</w:t>
            </w:r>
          </w:p>
        </w:tc>
        <w:tc>
          <w:tcPr>
            <w:tcW w:w="988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vMerge w:val="continue"/>
          </w:tcPr>
          <w:p>
            <w:pPr>
              <w:spacing w:after="0"/>
              <w:rPr>
                <w:sz w:val="24"/>
                <w:szCs w:val="24"/>
                <w:color w:val="auto"/>
              </w:rPr>
            </w:pPr>
          </w:p>
        </w:tc>
        <w:tc>
          <w:tcPr>
            <w:tcW w:w="9880" w:type="dxa"/>
            <w:vAlign w:val="bottom"/>
            <w:gridSpan w:val="9"/>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0E32E1"/>
                <w:w w:val="88"/>
              </w:rPr>
              <w:t>Condensed Consolidated Balance Sheets – July 31, 2022 and October 31, 2021</w:t>
            </w:r>
          </w:p>
        </w:tc>
        <w:tc>
          <w:tcPr>
            <w:tcW w:w="418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0000FF"/>
                <w:w w:val="89"/>
              </w:rPr>
              <w:t>Condensed Consolidated Statements of Income – Three and Nine Months Ended July 31, 2022 and 2021</w:t>
            </w:r>
          </w:p>
        </w:tc>
        <w:tc>
          <w:tcPr>
            <w:tcW w:w="2340" w:type="dxa"/>
            <w:vAlign w:val="bottom"/>
            <w:gridSpan w:val="3"/>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FF"/>
              </w:rPr>
              <w:t xml:space="preserve">Condensed Consolidated Statements of Comprehensive Income </w:t>
            </w:r>
            <w:r>
              <w:rPr>
                <w:rFonts w:ascii="Arial" w:cs="Arial" w:eastAsia="Arial" w:hAnsi="Arial"/>
                <w:sz w:val="18"/>
                <w:szCs w:val="18"/>
                <w:color w:val="0E32E1"/>
              </w:rPr>
              <w:t>–</w:t>
            </w:r>
            <w:r>
              <w:rPr>
                <w:rFonts w:ascii="Arial" w:cs="Arial" w:eastAsia="Arial" w:hAnsi="Arial"/>
                <w:sz w:val="18"/>
                <w:szCs w:val="18"/>
                <w:color w:val="0000FF"/>
              </w:rPr>
              <w:t xml:space="preserve"> Three and Nine Months Ended July 31, 2022 and 2021</w:t>
            </w:r>
          </w:p>
        </w:tc>
        <w:tc>
          <w:tcPr>
            <w:tcW w:w="180" w:type="dxa"/>
            <w:vAlign w:val="bottom"/>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080" w:type="dxa"/>
            <w:vAlign w:val="bottom"/>
            <w:gridSpan w:val="5"/>
          </w:tcPr>
          <w:p>
            <w:pPr>
              <w:spacing w:after="0"/>
              <w:rPr>
                <w:sz w:val="20"/>
                <w:szCs w:val="20"/>
                <w:color w:val="auto"/>
              </w:rPr>
            </w:pPr>
            <w:r>
              <w:rPr>
                <w:rFonts w:ascii="Arial" w:cs="Arial" w:eastAsia="Arial" w:hAnsi="Arial"/>
                <w:sz w:val="18"/>
                <w:szCs w:val="18"/>
                <w:color w:val="0000FF"/>
                <w:w w:val="89"/>
              </w:rPr>
              <w:t>Condensed Consolidated Statements of Cash Flows – Nine Months Ended July 31, 2022 and 2021</w:t>
            </w:r>
          </w:p>
        </w:tc>
        <w:tc>
          <w:tcPr>
            <w:tcW w:w="2800" w:type="dxa"/>
            <w:vAlign w:val="bottom"/>
            <w:gridSpan w:val="4"/>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FF"/>
              </w:rPr>
              <w:t>Condensed Consolidated Statement of Stockholders’ Equity – Nine Months Ended July 31, 2022 and 2021</w:t>
            </w:r>
          </w:p>
        </w:tc>
        <w:tc>
          <w:tcPr>
            <w:tcW w:w="180" w:type="dxa"/>
            <w:vAlign w:val="bottom"/>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80" w:type="dxa"/>
            <w:vAlign w:val="bottom"/>
            <w:gridSpan w:val="7"/>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220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2:</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3:</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4:</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Arial" w:cs="Arial" w:eastAsia="Arial" w:hAnsi="Arial"/>
                <w:sz w:val="18"/>
                <w:szCs w:val="18"/>
                <w:color w:val="auto"/>
              </w:rPr>
              <w:t>PART II.</w:t>
            </w:r>
          </w:p>
        </w:tc>
        <w:tc>
          <w:tcPr>
            <w:tcW w:w="988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2:</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Unregistered Sales of Equity Securities and Use of Proceeds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6:</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300" w:type="dxa"/>
            <w:vAlign w:val="bottom"/>
          </w:tcPr>
          <w:p>
            <w:pPr>
              <w:spacing w:after="0"/>
              <w:rPr>
                <w:sz w:val="14"/>
                <w:szCs w:val="14"/>
                <w:color w:val="auto"/>
              </w:rPr>
            </w:pPr>
          </w:p>
        </w:tc>
        <w:tc>
          <w:tcPr>
            <w:tcW w:w="1140" w:type="dxa"/>
            <w:vAlign w:val="bottom"/>
          </w:tcPr>
          <w:p>
            <w:pPr>
              <w:jc w:val="right"/>
              <w:ind w:right="27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4"/>
          </w:tcPr>
          <w:p>
            <w:pPr>
              <w:jc w:val="right"/>
              <w:ind w:right="591"/>
              <w:spacing w:after="0" w:line="135"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2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40,061</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credit losses of $837 and $340</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109,467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108,309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306,385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249,047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Property, plant and equipment, net of accumulated depreciation of $345,111 and $336,493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175,404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178,630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141,249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149,205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743,607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84,527</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86,765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56,156</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13,709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158,731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55,458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52,094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pension and postretirement benefits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297,541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Common stock, $0.01 par value, shares authorized 125,000,000; issued 37,211,056 and 37,273,510,</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 outstanding 33,119,361 and 33,274,785, respectively</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251,359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254,162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315,471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259,718</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(41,365)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(21,770)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Treasury stock at cost, 4,091,695 and 3,998,725 shares,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450,137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419,782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743,607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6"/>
                <w:szCs w:val="16"/>
                <w:color w:val="auto"/>
              </w:rPr>
            </w:pPr>
          </w:p>
        </w:tc>
        <w:tc>
          <w:tcPr>
            <w:tcW w:w="25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July 31,</w:t>
            </w:r>
          </w:p>
        </w:tc>
        <w:tc>
          <w:tcPr>
            <w:tcW w:w="320" w:type="dxa"/>
            <w:vAlign w:val="bottom"/>
          </w:tcPr>
          <w:p>
            <w:pPr>
              <w:spacing w:after="0"/>
              <w:rPr>
                <w:sz w:val="17"/>
                <w:szCs w:val="17"/>
                <w:color w:val="auto"/>
              </w:rPr>
            </w:pPr>
          </w:p>
        </w:tc>
        <w:tc>
          <w:tcPr>
            <w:tcW w:w="15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July 31,</w:t>
            </w:r>
          </w:p>
        </w:tc>
        <w:tc>
          <w:tcPr>
            <w:tcW w:w="1020" w:type="dxa"/>
            <w:vAlign w:val="bottom"/>
          </w:tcPr>
          <w:p>
            <w:pPr>
              <w:spacing w:after="0"/>
              <w:rPr>
                <w:sz w:val="17"/>
                <w:szCs w:val="17"/>
                <w:color w:val="auto"/>
              </w:rPr>
            </w:pPr>
          </w:p>
        </w:tc>
      </w:tr>
      <w:tr>
        <w:trPr>
          <w:trHeight w:val="26"/>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194"/>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279,877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780,381</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Cost and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(excluding depreciation and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604,723</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87,774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88,299</w:t>
            </w: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32,543</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54,777</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29"/>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(17,352)</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5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5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380" w:type="dxa"/>
            <w:vAlign w:val="bottom"/>
          </w:tcPr>
          <w:p>
            <w:pPr>
              <w:ind w:left="5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33,359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33,194</w:t>
            </w:r>
          </w:p>
        </w:tc>
      </w:tr>
      <w:tr>
        <w:trPr>
          <w:trHeight w:val="230"/>
        </w:trPr>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33,518</w:t>
            </w:r>
          </w:p>
        </w:tc>
      </w:tr>
      <w:tr>
        <w:trPr>
          <w:trHeight w:val="270"/>
        </w:trPr>
        <w:tc>
          <w:tcPr>
            <w:tcW w:w="5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920" w:type="dxa"/>
            <w:vAlign w:val="bottom"/>
          </w:tcPr>
          <w:p>
            <w:pPr>
              <w:spacing w:after="0"/>
              <w:rPr>
                <w:sz w:val="16"/>
                <w:szCs w:val="16"/>
                <w:color w:val="auto"/>
              </w:rPr>
            </w:pPr>
          </w:p>
        </w:tc>
      </w:tr>
      <w:tr>
        <w:trPr>
          <w:trHeight w:val="203"/>
        </w:trPr>
        <w:tc>
          <w:tcPr>
            <w:tcW w:w="4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20" w:type="dxa"/>
            <w:vAlign w:val="bottom"/>
            <w:gridSpan w:val="3"/>
          </w:tcPr>
          <w:p>
            <w:pPr>
              <w:ind w:left="440"/>
              <w:spacing w:after="0"/>
              <w:rPr>
                <w:sz w:val="20"/>
                <w:szCs w:val="20"/>
                <w:color w:val="auto"/>
              </w:rPr>
            </w:pPr>
            <w:r>
              <w:rPr>
                <w:rFonts w:ascii="Arial" w:cs="Arial" w:eastAsia="Arial" w:hAnsi="Arial"/>
                <w:sz w:val="14"/>
                <w:szCs w:val="14"/>
                <w:b w:val="1"/>
                <w:bCs w:val="1"/>
                <w:color w:val="auto"/>
              </w:rPr>
              <w:t>July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July 31,</w:t>
            </w:r>
          </w:p>
        </w:tc>
        <w:tc>
          <w:tcPr>
            <w:tcW w:w="920" w:type="dxa"/>
            <w:vAlign w:val="bottom"/>
          </w:tcPr>
          <w:p>
            <w:pPr>
              <w:spacing w:after="0"/>
              <w:rPr>
                <w:sz w:val="17"/>
                <w:szCs w:val="17"/>
                <w:color w:val="auto"/>
              </w:rPr>
            </w:pPr>
          </w:p>
        </w:tc>
      </w:tr>
      <w:tr>
        <w:trPr>
          <w:trHeight w:val="26"/>
        </w:trPr>
        <w:tc>
          <w:tcPr>
            <w:tcW w:w="4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94"/>
        </w:trPr>
        <w:tc>
          <w:tcPr>
            <w:tcW w:w="4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8"/>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25,908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13,679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63,669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36,082</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Other comprehensive (loss)income:</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 gain</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1"/>
              </w:rPr>
              <w:t>(5,168)</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(19,595)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10,056</w:t>
            </w:r>
          </w:p>
        </w:tc>
      </w:tr>
      <w:tr>
        <w:trPr>
          <w:trHeight w:val="223"/>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(loss) income</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1"/>
              </w:rPr>
              <w:t>(5,168)</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(19,595)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10,056</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20,740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14,103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44,074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6"/>
                <w:szCs w:val="16"/>
                <w:color w:val="auto"/>
              </w:rPr>
            </w:pPr>
          </w:p>
        </w:tc>
      </w:tr>
      <w:tr>
        <w:trPr>
          <w:trHeight w:val="203"/>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3"/>
              </w:rPr>
              <w:t>July 31,</w:t>
            </w:r>
          </w:p>
        </w:tc>
        <w:tc>
          <w:tcPr>
            <w:tcW w:w="860" w:type="dxa"/>
            <w:vAlign w:val="bottom"/>
          </w:tcPr>
          <w:p>
            <w:pPr>
              <w:spacing w:after="0"/>
              <w:rPr>
                <w:sz w:val="17"/>
                <w:szCs w:val="17"/>
                <w:color w:val="auto"/>
              </w:rPr>
            </w:pPr>
          </w:p>
        </w:tc>
      </w:tr>
      <w:tr>
        <w:trPr>
          <w:trHeight w:val="26"/>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2021</w:t>
            </w:r>
          </w:p>
        </w:tc>
      </w:tr>
      <w:tr>
        <w:trPr>
          <w:trHeight w:val="194"/>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6"/>
                <w:szCs w:val="16"/>
                <w:color w:val="auto"/>
              </w:rPr>
            </w:pPr>
          </w:p>
        </w:tc>
      </w:tr>
      <w:tr>
        <w:trPr>
          <w:trHeight w:val="23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63,669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36,082</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2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32,543</w:t>
            </w:r>
          </w:p>
        </w:tc>
      </w:tr>
      <w:tr>
        <w:trPr>
          <w:trHeight w:val="229"/>
        </w:trPr>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30"/>
        </w:trPr>
        <w:tc>
          <w:tcPr>
            <w:tcW w:w="8280" w:type="dxa"/>
            <w:vAlign w:val="bottom"/>
          </w:tcPr>
          <w:p>
            <w:pPr>
              <w:ind w:left="480"/>
              <w:spacing w:after="0"/>
              <w:rPr>
                <w:sz w:val="20"/>
                <w:szCs w:val="20"/>
                <w:color w:val="auto"/>
              </w:rPr>
            </w:pPr>
            <w:r>
              <w:rPr>
                <w:rFonts w:ascii="Arial" w:cs="Arial" w:eastAsia="Arial" w:hAnsi="Arial"/>
                <w:sz w:val="18"/>
                <w:szCs w:val="18"/>
                <w:color w:val="auto"/>
              </w:rPr>
              <w:t>Deferred income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5,429</w:t>
            </w:r>
          </w:p>
        </w:tc>
      </w:tr>
      <w:tr>
        <w:trPr>
          <w:trHeight w:val="229"/>
        </w:trPr>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in 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r>
      <w:tr>
        <w:trPr>
          <w:trHeight w:val="229"/>
        </w:trPr>
        <w:tc>
          <w:tcPr>
            <w:tcW w:w="8280" w:type="dxa"/>
            <w:vAlign w:val="bottom"/>
          </w:tcPr>
          <w:p>
            <w:pPr>
              <w:ind w:left="480"/>
              <w:spacing w:after="0"/>
              <w:rPr>
                <w:sz w:val="20"/>
                <w:szCs w:val="20"/>
                <w:color w:val="auto"/>
              </w:rPr>
            </w:pPr>
            <w:r>
              <w:rPr>
                <w:rFonts w:ascii="Arial" w:cs="Arial" w:eastAsia="Arial" w:hAnsi="Arial"/>
                <w:sz w:val="18"/>
                <w:szCs w:val="18"/>
                <w:color w:val="auto"/>
              </w:rPr>
              <w:t>Increase in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(32,113)</w:t>
            </w:r>
          </w:p>
        </w:tc>
      </w:tr>
      <w:tr>
        <w:trPr>
          <w:trHeight w:val="230"/>
        </w:trPr>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in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r>
      <w:tr>
        <w:trPr>
          <w:trHeight w:val="229"/>
        </w:trPr>
        <w:tc>
          <w:tcPr>
            <w:tcW w:w="8280" w:type="dxa"/>
            <w:vAlign w:val="bottom"/>
          </w:tcPr>
          <w:p>
            <w:pPr>
              <w:ind w:left="480"/>
              <w:spacing w:after="0"/>
              <w:rPr>
                <w:sz w:val="20"/>
                <w:szCs w:val="20"/>
                <w:color w:val="auto"/>
              </w:rPr>
            </w:pPr>
            <w:r>
              <w:rPr>
                <w:rFonts w:ascii="Arial" w:cs="Arial" w:eastAsia="Arial" w:hAnsi="Arial"/>
                <w:sz w:val="18"/>
                <w:szCs w:val="18"/>
                <w:color w:val="auto"/>
              </w:rPr>
              <w:t>Increase in 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increase in 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w:t>
            </w:r>
          </w:p>
        </w:tc>
      </w:tr>
      <w:tr>
        <w:trPr>
          <w:trHeight w:val="230"/>
        </w:trPr>
        <w:tc>
          <w:tcPr>
            <w:tcW w:w="8280" w:type="dxa"/>
            <w:vAlign w:val="bottom"/>
          </w:tcPr>
          <w:p>
            <w:pPr>
              <w:ind w:left="480"/>
              <w:spacing w:after="0"/>
              <w:rPr>
                <w:sz w:val="20"/>
                <w:szCs w:val="20"/>
                <w:color w:val="auto"/>
              </w:rPr>
            </w:pPr>
            <w:r>
              <w:rPr>
                <w:rFonts w:ascii="Arial" w:cs="Arial" w:eastAsia="Arial" w:hAnsi="Arial"/>
                <w:sz w:val="18"/>
                <w:szCs w:val="18"/>
                <w:color w:val="auto"/>
              </w:rPr>
              <w:t>Increase (decrease) in 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(5,158)</w:t>
            </w:r>
          </w:p>
        </w:tc>
      </w:tr>
      <w:tr>
        <w:trPr>
          <w:trHeight w:val="229"/>
        </w:trPr>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deferred pension and postretirement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8280" w:type="dxa"/>
            <w:vAlign w:val="bottom"/>
          </w:tcPr>
          <w:p>
            <w:pPr>
              <w:ind w:left="480"/>
              <w:spacing w:after="0"/>
              <w:rPr>
                <w:sz w:val="20"/>
                <w:szCs w:val="20"/>
                <w:color w:val="auto"/>
              </w:rPr>
            </w:pPr>
            <w:r>
              <w:rPr>
                <w:rFonts w:ascii="Arial" w:cs="Arial" w:eastAsia="Arial" w:hAnsi="Arial"/>
                <w:sz w:val="18"/>
                <w:szCs w:val="18"/>
                <w:color w:val="auto"/>
              </w:rPr>
              <w:t>Increase in other long-term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30"/>
        </w:trPr>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47,435</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(16,006)</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disposition of capital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(12,868)</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Borrowings under credit facilities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credit facility borrowings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other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Common stock dividends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(8,017)</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treasury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(5,741)</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Cash used for 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(43,480)</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(7,958)</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51,621</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43,663</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Nine Months Ended July 31, 2022</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2"/>
              <w:spacing w:after="0" w:line="144"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April 30, 2022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250,756</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292,221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(70,979)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July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251,359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(75,701)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Nine Months Ended July 31, 2021</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 purchased, at cost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January 31, 2021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252,277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218,732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(69,250)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377,708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April 30, 2021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253,147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230,590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(23,392)</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(65,621)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July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253,662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241,582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have organized our business into three reportable business segments. For additional discussion of our reportable business segments, see Note 11,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2021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2021.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summarizes our product sales for the three and nine months ended July 31, 2022 and 2021 into groupings by segment which we believe depicts how the nature, amount, timing and uncertainty of our revenues and cash flows are affected by economic factors. For further details regarding our results by segment, refer to Note 11, “Segment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3"/>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July 31,</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July 31,</w:t>
            </w:r>
          </w:p>
        </w:tc>
        <w:tc>
          <w:tcPr>
            <w:tcW w:w="880" w:type="dxa"/>
            <w:vAlign w:val="bottom"/>
          </w:tcPr>
          <w:p>
            <w:pPr>
              <w:spacing w:after="0"/>
              <w:rPr>
                <w:sz w:val="17"/>
                <w:szCs w:val="17"/>
                <w:color w:val="auto"/>
              </w:rPr>
            </w:pPr>
          </w:p>
        </w:tc>
      </w:tr>
      <w:tr>
        <w:trPr>
          <w:trHeight w:val="26"/>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2021</w:t>
            </w:r>
          </w:p>
        </w:tc>
      </w:tr>
      <w:tr>
        <w:trPr>
          <w:trHeight w:val="19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Fenestration: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162,215</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129,291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447,425</w:t>
            </w:r>
          </w:p>
        </w:tc>
        <w:tc>
          <w:tcPr>
            <w:tcW w:w="16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369,809</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25,756</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United States - non-fenestration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22,117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17,543</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r>
      <w:tr>
        <w:trPr>
          <w:trHeight w:val="223"/>
        </w:trPr>
        <w:tc>
          <w:tcPr>
            <w:tcW w:w="5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184,744</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147,818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509,283</w:t>
            </w:r>
          </w:p>
        </w:tc>
        <w:tc>
          <w:tcPr>
            <w:tcW w:w="16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422,077</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European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International - fenestration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49,041</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54,883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148,525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147,072</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51,429</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34,790</w:t>
            </w:r>
          </w:p>
        </w:tc>
      </w:tr>
      <w:tr>
        <w:trPr>
          <w:trHeight w:val="223"/>
        </w:trPr>
        <w:tc>
          <w:tcPr>
            <w:tcW w:w="5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67,613</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71,114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199,954</w:t>
            </w:r>
          </w:p>
        </w:tc>
        <w:tc>
          <w:tcPr>
            <w:tcW w:w="16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181,862</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Cabinet Components: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4,857</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13,288</w:t>
            </w:r>
          </w:p>
        </w:tc>
        <w:tc>
          <w:tcPr>
            <w:tcW w:w="16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9,711</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non-fenestration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168,308</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 non-fenestration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r>
      <w:tr>
        <w:trPr>
          <w:trHeight w:val="223"/>
        </w:trPr>
        <w:tc>
          <w:tcPr>
            <w:tcW w:w="5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179,492</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Unallocated Corporate &amp; Other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23"/>
        </w:trPr>
        <w:tc>
          <w:tcPr>
            <w:tcW w:w="5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324,037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913,970</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780,381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and Intangible Assets with Defined Lives</w:t>
      </w:r>
    </w:p>
    <w:p>
      <w:pPr>
        <w:spacing w:after="0" w:line="17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During the three months ended July 31, 2022, our North American vinyl extrusion operations in our NA Fenestration segment experienced lower-than-expected operating results due to the continued impact of inflation and historical customer contracts which prevent us from passing on the full impact of higher costs to our customers. We determined that this condition was an indicator of a triggering event which necessitated an evaluation of certain long-term assets used in this business for potential impairment. We compared the projected undiscounted cash flows we expected to realize associated with these assets over the remaining useful lives of the primary operating assets to the net book value of the long-term assets and determined that these assets were not impaired. Therefore, we did not record an impairment charge related to property, plant and equipment or intangible assets with defined lives during the nine months ended July 31, 2022, however, should we be unable to successfully increase prices to offset inflation, it is possible that we could incur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in the future. There were no indicators of triggering events noted for any period in the year ended October 31,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sales for the nine months ended July 31, 2022 included approximately $1.6 million of transactions with a customer which is a related party with one of our non-employee directors. We performed a review of these transactions, of which no single transaction or series of related transactions exceeded $120,000 in amount, and determined that these transactions were enacted independently of each other in fair transactions. We are not aware of any other related party transactions with any of our current non-employee directors or officers outside of their normal business functions or expected contractual duties.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at July 31, 2022 and October 31, 2021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4"/>
                <w:szCs w:val="14"/>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October 31,</w:t>
            </w:r>
          </w:p>
        </w:tc>
      </w:tr>
      <w:tr>
        <w:trPr>
          <w:trHeight w:val="196"/>
        </w:trPr>
        <w:tc>
          <w:tcPr>
            <w:tcW w:w="8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49,867</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43,499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141,786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95,465</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Inventory reserves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r>
      <w:tr>
        <w:trPr>
          <w:trHeight w:val="223"/>
        </w:trPr>
        <w:tc>
          <w:tcPr>
            <w:tcW w:w="822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138,237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92,529</w:t>
            </w:r>
          </w:p>
        </w:tc>
      </w:tr>
      <w:tr>
        <w:trPr>
          <w:trHeight w:val="21"/>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for the nine months ended July 31, 2022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ind w:right="315"/>
              <w:spacing w:after="0"/>
              <w:rPr>
                <w:sz w:val="20"/>
                <w:szCs w:val="20"/>
                <w:color w:val="auto"/>
              </w:rPr>
            </w:pPr>
            <w:r>
              <w:rPr>
                <w:rFonts w:ascii="Arial" w:cs="Arial" w:eastAsia="Arial" w:hAnsi="Arial"/>
                <w:sz w:val="16"/>
                <w:szCs w:val="16"/>
                <w:b w:val="1"/>
                <w:bCs w:val="1"/>
                <w:color w:val="auto"/>
              </w:rPr>
              <w:t>Nine Months Ended</w:t>
            </w:r>
          </w:p>
        </w:tc>
      </w:tr>
      <w:tr>
        <w:trPr>
          <w:trHeight w:val="186"/>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ind w:right="615"/>
              <w:spacing w:after="0"/>
              <w:rPr>
                <w:sz w:val="20"/>
                <w:szCs w:val="20"/>
                <w:color w:val="auto"/>
              </w:rPr>
            </w:pPr>
            <w:r>
              <w:rPr>
                <w:rFonts w:ascii="Arial" w:cs="Arial" w:eastAsia="Arial" w:hAnsi="Arial"/>
                <w:sz w:val="14"/>
                <w:szCs w:val="14"/>
                <w:b w:val="1"/>
                <w:bCs w:val="1"/>
                <w:color w:val="auto"/>
              </w:rPr>
              <w:t>July 31, 2022</w:t>
            </w:r>
          </w:p>
        </w:tc>
      </w:tr>
      <w:tr>
        <w:trPr>
          <w:trHeight w:val="25"/>
        </w:trPr>
        <w:tc>
          <w:tcPr>
            <w:tcW w:w="9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149,205</w:t>
            </w:r>
          </w:p>
        </w:tc>
      </w:tr>
      <w:tr>
        <w:trPr>
          <w:trHeight w:val="230"/>
        </w:trPr>
        <w:tc>
          <w:tcPr>
            <w:tcW w:w="9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the end of the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our last annual test date, August 31, 2021, we evaluated the recoverability of goodwill at each of our five reporting units with goodwill balances and determined that our goodwill was not impaired. We evaluated for indicators of impairment during the three and nine months ended July 31, 2022 and determined that there were no triggering events. For a summary of the change in the carrying amount of goodwill by segment, see Note 11, “Segment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July 31, 2022 and October 31, 2021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920"/>
              <w:spacing w:after="0"/>
              <w:rPr>
                <w:sz w:val="20"/>
                <w:szCs w:val="20"/>
                <w:color w:val="auto"/>
              </w:rPr>
            </w:pPr>
            <w:r>
              <w:rPr>
                <w:rFonts w:ascii="Arial" w:cs="Arial" w:eastAsia="Arial" w:hAnsi="Arial"/>
                <w:sz w:val="14"/>
                <w:szCs w:val="14"/>
                <w:b w:val="1"/>
                <w:bCs w:val="1"/>
                <w:color w:val="auto"/>
              </w:rPr>
              <w:t>July 31, 2022</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October 31, 2021</w:t>
            </w:r>
          </w:p>
        </w:tc>
      </w:tr>
      <w:tr>
        <w:trPr>
          <w:trHeight w:val="25"/>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3"/>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3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rPr>
              <w:t>Amortization</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141,722</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86,984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81,086</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55,046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39,589</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22,084</w:t>
            </w: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219,204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149,534</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225,169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142,759</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had aggregate amortization expense related to intangible assets for the three and nine months ended July 31, 2022 of $3.0 million and $9.0 million, respectively, and $3.0 million and $9.7 million for the comparable prior year periods.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 (remaining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 and Finance Lease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Long-term debt consisted of the following at July 31, 2022 and October 31, 2021 (in thousands):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20" w:type="dxa"/>
            <w:vAlign w:val="bottom"/>
          </w:tcPr>
          <w:p>
            <w:pPr>
              <w:jc w:val="right"/>
              <w:ind w:right="694"/>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 Expense</w:t>
            </w:r>
          </w:p>
        </w:tc>
      </w:t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2,949</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11,060</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10,309</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9,082</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9,007</w:t>
            </w:r>
          </w:p>
        </w:tc>
      </w:tr>
      <w:tr>
        <w:trPr>
          <w:trHeight w:val="230"/>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27,263</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69,670</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July 31,</w:t>
      </w:r>
      <w:r>
        <w:rPr>
          <w:sz w:val="20"/>
          <w:szCs w:val="20"/>
          <w:color w:val="auto"/>
        </w:rPr>
        <w:tab/>
      </w:r>
      <w:r>
        <w:rPr>
          <w:rFonts w:ascii="Arial" w:cs="Arial" w:eastAsia="Arial" w:hAnsi="Arial"/>
          <w:sz w:val="13"/>
          <w:szCs w:val="13"/>
          <w:b w:val="1"/>
          <w:bCs w:val="1"/>
          <w:color w:val="auto"/>
        </w:rPr>
        <w:t>October 31,</w:t>
      </w:r>
    </w:p>
    <w:p>
      <w:pPr>
        <w:spacing w:after="0" w:line="4"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9" w:lineRule="exact"/>
        <w:rPr>
          <w:sz w:val="20"/>
          <w:szCs w:val="20"/>
          <w:color w:val="auto"/>
        </w:rPr>
      </w:pPr>
    </w:p>
    <w:p>
      <w:pPr>
        <w:sectPr>
          <w:pgSz w:w="11900" w:h="16838" w:orient="portrait"/>
          <w:cols w:equalWidth="0" w:num="2">
            <w:col w:w="7960" w:space="720"/>
            <w:col w:w="25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15,537</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fees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56,528</w:t>
            </w:r>
          </w:p>
        </w:tc>
        <w:tc>
          <w:tcPr>
            <w:tcW w:w="16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52,940</w:t>
            </w:r>
          </w:p>
        </w:tc>
      </w:tr>
      <w:tr>
        <w:trPr>
          <w:trHeight w:val="229"/>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23"/>
        </w:trPr>
        <w:tc>
          <w:tcPr>
            <w:tcW w:w="8200" w:type="dxa"/>
            <w:vAlign w:val="bottom"/>
          </w:tcPr>
          <w:p>
            <w:pPr>
              <w:ind w:left="480"/>
              <w:spacing w:after="0"/>
              <w:rPr>
                <w:sz w:val="20"/>
                <w:szCs w:val="20"/>
                <w:color w:val="auto"/>
              </w:rPr>
            </w:pPr>
            <w:r>
              <w:rPr>
                <w:rFonts w:ascii="Arial" w:cs="Arial" w:eastAsia="Arial" w:hAnsi="Arial"/>
                <w:sz w:val="18"/>
                <w:szCs w:val="18"/>
                <w:color w:val="auto"/>
              </w:rPr>
              <w:t>Long-term debt</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55,458</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52,094</w:t>
            </w:r>
          </w:p>
        </w:tc>
      </w:tr>
      <w:tr>
        <w:trPr>
          <w:trHeight w:val="20"/>
        </w:trPr>
        <w:tc>
          <w:tcPr>
            <w:tcW w:w="8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the Credit Facility during the three months ended July 31, 2022. This $325.0 million revolving credit facility has a five-year term, maturing on July 6, 2027, and replaces our previous credit facility. Our previous credit facility is more fully described in our Annual Report on Form 10-K for the fiscal year ended October 31, 2021.</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payments for the Credit Facility are calculated, at our election and depending upon the Consolidated Net Leverage Ratio, at a Base Rate plus an applicable margin or at the same rate as Risk-Free Rate (“RFR”) Loans for domestic borrowings or Eurocurrency Rate Loans plus an applicable margin. In addition, we are subject to commitment fees for the unused portion of the Credit Facility.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34" w:lineRule="exact"/>
        <w:rPr>
          <w:sz w:val="20"/>
          <w:szCs w:val="20"/>
          <w:color w:val="auto"/>
        </w:rPr>
      </w:pPr>
    </w:p>
    <w:p>
      <w:pPr>
        <w:ind w:left="240"/>
        <w:spacing w:after="0"/>
        <w:tabs>
          <w:tab w:leader="none" w:pos="7180" w:val="left"/>
        </w:tabs>
        <w:rPr>
          <w:sz w:val="20"/>
          <w:szCs w:val="20"/>
          <w:color w:val="auto"/>
        </w:rPr>
      </w:pPr>
      <w:r>
        <w:rPr>
          <w:rFonts w:ascii="Arial" w:cs="Arial" w:eastAsia="Arial" w:hAnsi="Arial"/>
          <w:sz w:val="18"/>
          <w:szCs w:val="18"/>
          <w:b w:val="1"/>
          <w:bCs w:val="1"/>
          <w:color w:val="auto"/>
        </w:rPr>
        <w:t>Pricing</w:t>
      </w:r>
      <w:r>
        <w:rPr>
          <w:sz w:val="20"/>
          <w:szCs w:val="20"/>
          <w:color w:val="auto"/>
        </w:rPr>
        <w:tab/>
      </w:r>
      <w:r>
        <w:rPr>
          <w:rFonts w:ascii="Arial" w:cs="Arial" w:eastAsia="Arial" w:hAnsi="Arial"/>
          <w:sz w:val="18"/>
          <w:szCs w:val="18"/>
          <w:b w:val="1"/>
          <w:bCs w:val="1"/>
          <w:color w:val="auto"/>
        </w:rPr>
        <w:t>Eurocurrency Rate Loans</w:t>
      </w:r>
    </w:p>
    <w:p>
      <w:pPr>
        <w:ind w:left="300"/>
        <w:spacing w:after="0"/>
        <w:tabs>
          <w:tab w:leader="none" w:pos="1800" w:val="left"/>
          <w:tab w:leader="none" w:pos="5360" w:val="left"/>
          <w:tab w:leader="none" w:pos="7580" w:val="left"/>
          <w:tab w:leader="none" w:pos="9700" w:val="left"/>
        </w:tabs>
        <w:rPr>
          <w:sz w:val="20"/>
          <w:szCs w:val="20"/>
          <w:color w:val="auto"/>
        </w:rPr>
      </w:pPr>
      <w:r>
        <w:rPr>
          <w:rFonts w:ascii="Arial" w:cs="Arial" w:eastAsia="Arial" w:hAnsi="Arial"/>
          <w:sz w:val="18"/>
          <w:szCs w:val="18"/>
          <w:b w:val="1"/>
          <w:bCs w:val="1"/>
          <w:color w:val="auto"/>
        </w:rPr>
        <w:t>Level</w:t>
      </w:r>
      <w:r>
        <w:rPr>
          <w:sz w:val="20"/>
          <w:szCs w:val="20"/>
          <w:color w:val="auto"/>
        </w:rPr>
        <w:tab/>
      </w:r>
      <w:r>
        <w:rPr>
          <w:rFonts w:ascii="Arial" w:cs="Arial" w:eastAsia="Arial" w:hAnsi="Arial"/>
          <w:sz w:val="18"/>
          <w:szCs w:val="18"/>
          <w:b w:val="1"/>
          <w:bCs w:val="1"/>
          <w:color w:val="auto"/>
        </w:rPr>
        <w:t>Consolidated Net Leverage Ratio</w:t>
      </w:r>
      <w:r>
        <w:rPr>
          <w:sz w:val="20"/>
          <w:szCs w:val="20"/>
          <w:color w:val="auto"/>
        </w:rPr>
        <w:tab/>
      </w:r>
      <w:r>
        <w:rPr>
          <w:rFonts w:ascii="Arial" w:cs="Arial" w:eastAsia="Arial" w:hAnsi="Arial"/>
          <w:sz w:val="18"/>
          <w:szCs w:val="18"/>
          <w:b w:val="1"/>
          <w:bCs w:val="1"/>
          <w:color w:val="auto"/>
        </w:rPr>
        <w:t>Commitment Fee</w:t>
      </w:r>
      <w:r>
        <w:rPr>
          <w:sz w:val="20"/>
          <w:szCs w:val="20"/>
          <w:color w:val="auto"/>
        </w:rPr>
        <w:tab/>
      </w:r>
      <w:r>
        <w:rPr>
          <w:rFonts w:ascii="Arial" w:cs="Arial" w:eastAsia="Arial" w:hAnsi="Arial"/>
          <w:sz w:val="18"/>
          <w:szCs w:val="18"/>
          <w:b w:val="1"/>
          <w:bCs w:val="1"/>
          <w:color w:val="auto"/>
        </w:rPr>
        <w:t>and RFR Loans</w:t>
      </w:r>
      <w:r>
        <w:rPr>
          <w:sz w:val="20"/>
          <w:szCs w:val="20"/>
          <w:color w:val="auto"/>
        </w:rPr>
        <w:tab/>
      </w:r>
      <w:r>
        <w:rPr>
          <w:rFonts w:ascii="Arial" w:cs="Arial" w:eastAsia="Arial" w:hAnsi="Arial"/>
          <w:sz w:val="15"/>
          <w:szCs w:val="15"/>
          <w:b w:val="1"/>
          <w:bCs w:val="1"/>
          <w:color w:val="auto"/>
        </w:rPr>
        <w:t>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Less than or equal to 1.50 to 1.00</w:t>
      </w:r>
    </w:p>
    <w:p>
      <w:pPr>
        <w:spacing w:after="0" w:line="23"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Greater than 1.50 to 1.00, but less than or equal to 2.25 to 1.00</w:t>
      </w:r>
    </w:p>
    <w:p>
      <w:pPr>
        <w:spacing w:after="0" w:line="1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Greater than 2.25 to 1.00, but less than or equal to 3.00 to 1.00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0.150%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1.25%</w:t>
            </w:r>
          </w:p>
        </w:tc>
        <w:tc>
          <w:tcPr>
            <w:tcW w:w="13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24"/>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0.175%</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1.50%</w:t>
            </w:r>
          </w:p>
        </w:tc>
        <w:tc>
          <w:tcPr>
            <w:tcW w:w="13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19"/>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0.200%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1.75%</w:t>
            </w:r>
          </w:p>
        </w:tc>
        <w:tc>
          <w:tcPr>
            <w:tcW w:w="132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0.250%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2.00%</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-410845</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0" w:space="580"/>
            <w:col w:w="3860" w:space="720"/>
            <w:col w:w="5480"/>
          </w:cols>
          <w:pgMar w:left="320" w:top="125" w:right="339" w:bottom="1440" w:gutter="0" w:footer="0" w:header="0"/>
          <w:type w:val="continuous"/>
        </w:sectPr>
      </w:pPr>
    </w:p>
    <w:p>
      <w:pPr>
        <w:spacing w:after="0" w:line="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Credit Facility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Credit Agreement.</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July 31, 2022, we had $38.0 million of borrowings outstanding under the Credit Facility (reduced by unamortized debt issuance costs of $1.6 million), $5.1 million of outstanding letters of credit and $20.1 million outstanding primarily under finance leases and other debt. We had $281.9 million available for use under the Credit Facility at July 31, 2022. Outstanding borrowings under the Credit Facility accrue interest at 3.08% per annum. Our weighted average borrowing rate for borrowings outstanding during the nine months ended July 31, 2022 and 2021 was 1.81% and 1.43%, respectively. We were in compliance with our debt covenants as of July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Our non-contributory, single employer defined benefit pension plan covers certain of our employees in the U.S. The net periodic pension cost for this plan for the three and nine months ended July 31, 2022 and 2021 was as follows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5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July 31,</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July 31,</w:t>
            </w:r>
          </w:p>
        </w:tc>
        <w:tc>
          <w:tcPr>
            <w:tcW w:w="880" w:type="dxa"/>
            <w:vAlign w:val="bottom"/>
          </w:tcPr>
          <w:p>
            <w:pPr>
              <w:spacing w:after="0"/>
              <w:rPr>
                <w:sz w:val="17"/>
                <w:szCs w:val="17"/>
                <w:color w:val="auto"/>
              </w:rPr>
            </w:pPr>
          </w:p>
        </w:tc>
      </w:tr>
      <w:tr>
        <w:trPr>
          <w:trHeight w:val="25"/>
        </w:trPr>
        <w:tc>
          <w:tcPr>
            <w:tcW w:w="5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0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(1,493)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48"/>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periodic pension benefit</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September 2021, we contributed $0.5 million to fund our plan. During fiscal 2022</w:t>
      </w:r>
      <w:r>
        <w:rPr>
          <w:rFonts w:ascii="Arial" w:cs="Arial" w:eastAsia="Arial" w:hAnsi="Arial"/>
          <w:sz w:val="16"/>
          <w:szCs w:val="16"/>
          <w:color w:val="auto"/>
        </w:rPr>
        <w:t>,</w:t>
      </w:r>
      <w:r>
        <w:rPr>
          <w:rFonts w:ascii="Arial" w:cs="Arial" w:eastAsia="Arial" w:hAnsi="Arial"/>
          <w:sz w:val="18"/>
          <w:szCs w:val="18"/>
          <w:color w:val="auto"/>
        </w:rPr>
        <w:t xml:space="preserve"> we do not expect to need to make a contribution to the pension plan to maintain targeted funding levels and meet minimum contribution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also have a supplemental benefit plan covering certain executive officers and key employees and a non-qualified deferred compensation plan covering members of the Board of Directors and certain key employees. As of July 31, 2022 and October 31, 2021, our liability under the supplemental benefit plan was approximately $2.9 million. As of July 31, 2022 and October 31, 2021, the liability associated with the deferred compensation plan was approximately $3.5 million and $3.4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 or decrease in valuation allowances on deferred tax assets. Our effective tax rates from continuing operations for the nine months ended July 31, 2022 and 2021 were 22.2% and 32.5%, respectively. The difference between our effective income tax rate and the U.S. federal statutory rate of 21% principally results from discrete tax items, U.S. state tax, non-U.S. tax rate differential and other permanent differences. The primary discrete items affecting the 2022 effective rate were a benefit of $0.2 million related to the vesting or exercise of equity-based compensation awards and a benefit of $1.0 million for the true-up of our accruals and related deferred taxes from prior year. The primary discrete items affecting the 2021 effective rate were the $3.1 million remeasurement of our deferred income tax assets and liabilities related to the increase in the corporate tax rate in the U.K. from 19% to 25%, a charge of $0.6 million related to the vesting or exercise of equity-based compensation awards and a benefit of $0.6 million for the true-up of our accruals and related deferred taxes from prior year filings.</w:t>
      </w:r>
    </w:p>
    <w:p>
      <w:pPr>
        <w:spacing w:after="0" w:line="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July 31, 2022, our liability for uncertain tax positions (UTP) of $1.4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 Our total unrecognized tax benefits, if recognized, would not materially affect our effective tax rate. We do not believe that the recorded amount of unrecognized tax benefits will decrease significantly within the next twelve months.</w:t>
      </w:r>
    </w:p>
    <w:p>
      <w:pPr>
        <w:spacing w:after="0" w:line="13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$1.3 million as of July 31, 2022 and October 31, 2021.</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August 16, 2002 the Inflation Reduction Act of 2022 was signed into law. We are evaluating the regulations but do not believe they will result in a material impact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2022.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480" w:hanging="14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July 31, 2022, foreign currency derivatives were being measured on a recurring basis. Less than $0.1 million of foreign currency derivatives were included in total liabilities as of July 31, 2022. There were no outstanding foreign currency derivatives as of October 31, 2021. All of our derivative contracts are valued using quoted market prices from brokers or exchanges and are classified within Level 2 of the fair value hierarchy.</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July 31, 2022, and October 31, 2021 (Level 2 measurement).</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performance share awards are marked-to-market on a quarterly basis during a three-year vesting period based on market data (Level 2 measurement). For further information, refer to Note 9, “Stock-Based Compensation - Performance Share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stock awards activity during the nine months ended July 31, 2022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Restricted Stock Awards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spacing w:after="0"/>
              <w:rPr>
                <w:sz w:val="20"/>
                <w:szCs w:val="20"/>
                <w:color w:val="auto"/>
              </w:rPr>
            </w:pPr>
            <w:r>
              <w:rPr>
                <w:rFonts w:ascii="Arial" w:cs="Arial" w:eastAsia="Arial" w:hAnsi="Arial"/>
                <w:sz w:val="18"/>
                <w:szCs w:val="18"/>
                <w:color w:val="auto"/>
              </w:rPr>
              <w:t>84,400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31,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212,100</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weighted average grant-date fair value of restricted stock awards that vested during each of the nine months ended July 31, 2022 and 2021 was $1.2 million and $0.9 million, respectively. As of July 31, 2022, total unrecognized compensation cost related to unamortized restricted stock awards was $2.3 million. We expect to recognize this expense over the remaining weighted average vesting period of 2.0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recognized stock option expense ratably over the shorter of the vesting period or the period from the grant-date to the retirement-eligibility date.</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2021.</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nine months ended July 31,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Vested at July 31, 2022</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190,993</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19.37</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July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Intrinsic value is the amount by which the market price of the common stock on the date of exercise exceeds the exercise price of the stock option.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stock options exercised during the nine months ended July 31, 2022 and 2021 was $0.1 million and $4.2 million,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During the nine months ended July 31, 2022 and 2021, non-employee directors received 36,669 and 28,826 restricted stock units, respectively, at a weighted average grant date fair value of $22.52 per share and $18.79 per share, respectively, which vested immediately. As of July 31, 2022, there were 21,774 non-vested restricted stock units, which were awarded in January 2020 to key employees at a weighted average grant date fair value of $17.08. During the nine months ended July 31, 2022 we paid $1.0 million and $0.8 million for the comparable prior year to settle vested restricted stock units.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awarded annual grants of performance shares to key employees and officers. Performance share awards vest with return on net assets (RONA) as the vesting condition and pay out 100% in cash, and are accounted for as liability.</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98"/>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2, 2020</w:t>
            </w:r>
          </w:p>
        </w:tc>
        <w:tc>
          <w:tcPr>
            <w:tcW w:w="1040" w:type="dxa"/>
            <w:vAlign w:val="bottom"/>
          </w:tcPr>
          <w:p>
            <w:pPr>
              <w:jc w:val="right"/>
              <w:spacing w:after="0"/>
              <w:rPr>
                <w:sz w:val="20"/>
                <w:szCs w:val="20"/>
                <w:color w:val="auto"/>
              </w:rPr>
            </w:pPr>
            <w:r>
              <w:rPr>
                <w:rFonts w:ascii="Arial" w:cs="Arial" w:eastAsia="Arial" w:hAnsi="Arial"/>
                <w:sz w:val="18"/>
                <w:szCs w:val="18"/>
                <w:color w:val="auto"/>
              </w:rPr>
              <w:t>65,300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9,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2021, 183,000 shares vested pursuant to the December 2018 grant, which were settled with a cash payment of $3.8 million.</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Performance share awards are payable in cash based upon the number of performance shares ultimately earned, and are therefore not considered outstanding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98"/>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2, 2020</w:t>
            </w:r>
          </w:p>
        </w:tc>
        <w:tc>
          <w:tcPr>
            <w:tcW w:w="1040" w:type="dxa"/>
            <w:vAlign w:val="bottom"/>
          </w:tcPr>
          <w:p>
            <w:pPr>
              <w:jc w:val="right"/>
              <w:spacing w:after="0"/>
              <w:rPr>
                <w:sz w:val="20"/>
                <w:szCs w:val="20"/>
                <w:color w:val="auto"/>
              </w:rPr>
            </w:pPr>
            <w:r>
              <w:rPr>
                <w:rFonts w:ascii="Arial" w:cs="Arial" w:eastAsia="Arial" w:hAnsi="Arial"/>
                <w:sz w:val="18"/>
                <w:szCs w:val="18"/>
                <w:color w:val="auto"/>
              </w:rPr>
              <w:t>38,400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9,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July 31, 2022, 87,919 performance restricted stock units vested.</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July 31, 2022, we have deemed 41,269 shares related to the December 2019 grant of performance restricted stock units as probable to vest.</w:t>
      </w:r>
    </w:p>
    <w:p>
      <w:pPr>
        <w:spacing w:after="0" w:line="21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and nine months ended July 31, 2022 and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5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3"/>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July 31, 2022</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July 31, 2022</w:t>
            </w:r>
          </w:p>
        </w:tc>
        <w:tc>
          <w:tcPr>
            <w:tcW w:w="880" w:type="dxa"/>
            <w:vAlign w:val="bottom"/>
          </w:tcPr>
          <w:p>
            <w:pPr>
              <w:spacing w:after="0"/>
              <w:rPr>
                <w:sz w:val="17"/>
                <w:szCs w:val="17"/>
                <w:color w:val="auto"/>
              </w:rPr>
            </w:pPr>
          </w:p>
        </w:tc>
      </w:tr>
      <w:tr>
        <w:trPr>
          <w:trHeight w:val="25"/>
        </w:trPr>
        <w:tc>
          <w:tcPr>
            <w:tcW w:w="5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Performance share awards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4,020</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Total compensation expense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1,775</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7,307</w:t>
            </w:r>
          </w:p>
        </w:tc>
      </w:tr>
      <w:tr>
        <w:trPr>
          <w:trHeight w:val="20"/>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nine months ended July 31, 2022.</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treasury stock activity during the nine months ended July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180" w:type="dxa"/>
            <w:vAlign w:val="bottom"/>
          </w:tcPr>
          <w:p>
            <w:pPr>
              <w:jc w:val="right"/>
              <w:ind w:right="395"/>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9060" w:type="dxa"/>
            <w:vAlign w:val="bottom"/>
          </w:tcPr>
          <w:p>
            <w:pPr>
              <w:spacing w:after="0"/>
              <w:rPr>
                <w:sz w:val="17"/>
                <w:szCs w:val="17"/>
                <w:color w:val="auto"/>
              </w:rPr>
            </w:pPr>
          </w:p>
        </w:tc>
        <w:tc>
          <w:tcPr>
            <w:tcW w:w="2180" w:type="dxa"/>
            <w:vAlign w:val="bottom"/>
          </w:tcPr>
          <w:p>
            <w:pPr>
              <w:jc w:val="right"/>
              <w:ind w:right="615"/>
              <w:spacing w:after="0"/>
              <w:rPr>
                <w:sz w:val="20"/>
                <w:szCs w:val="20"/>
                <w:color w:val="auto"/>
              </w:rPr>
            </w:pPr>
            <w:r>
              <w:rPr>
                <w:rFonts w:ascii="Arial" w:cs="Arial" w:eastAsia="Arial" w:hAnsi="Arial"/>
                <w:sz w:val="14"/>
                <w:szCs w:val="14"/>
                <w:b w:val="1"/>
                <w:bCs w:val="1"/>
                <w:color w:val="auto"/>
              </w:rPr>
              <w:t>July 31, 2022</w:t>
            </w:r>
          </w:p>
        </w:tc>
      </w:tr>
      <w:tr>
        <w:trPr>
          <w:trHeight w:val="26"/>
        </w:trPr>
        <w:tc>
          <w:tcPr>
            <w:tcW w:w="90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2021</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3,998,725</w:t>
            </w:r>
          </w:p>
        </w:tc>
      </w:tr>
      <w:tr>
        <w:trPr>
          <w:trHeight w:val="229"/>
        </w:trPr>
        <w:tc>
          <w:tcPr>
            <w:tcW w:w="9060" w:type="dxa"/>
            <w:vAlign w:val="bottom"/>
          </w:tcPr>
          <w:p>
            <w:pPr>
              <w:ind w:left="140"/>
              <w:spacing w:after="0"/>
              <w:rPr>
                <w:sz w:val="20"/>
                <w:szCs w:val="20"/>
                <w:color w:val="auto"/>
              </w:rPr>
            </w:pPr>
            <w:r>
              <w:rPr>
                <w:rFonts w:ascii="Arial" w:cs="Arial" w:eastAsia="Arial" w:hAnsi="Arial"/>
                <w:sz w:val="18"/>
                <w:szCs w:val="18"/>
                <w:color w:val="auto"/>
              </w:rPr>
              <w:t>Restricted stock awards 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(84,400)</w:t>
            </w: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restricted stock units vested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(87,919)</w:t>
            </w:r>
          </w:p>
        </w:tc>
      </w:tr>
      <w:tr>
        <w:trPr>
          <w:trHeight w:val="229"/>
        </w:trPr>
        <w:tc>
          <w:tcPr>
            <w:tcW w:w="906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2180" w:type="dxa"/>
            <w:vAlign w:val="bottom"/>
          </w:tcPr>
          <w:p>
            <w:pPr>
              <w:jc w:val="right"/>
              <w:spacing w:after="0"/>
              <w:rPr>
                <w:sz w:val="20"/>
                <w:szCs w:val="20"/>
                <w:color w:val="auto"/>
              </w:rPr>
            </w:pPr>
            <w:r>
              <w:rPr>
                <w:rFonts w:ascii="Arial" w:cs="Arial" w:eastAsia="Arial" w:hAnsi="Arial"/>
                <w:sz w:val="18"/>
                <w:szCs w:val="18"/>
                <w:color w:val="auto"/>
              </w:rPr>
              <w:t>(25,711)</w:t>
            </w:r>
          </w:p>
        </w:tc>
      </w:tr>
      <w:tr>
        <w:trPr>
          <w:trHeight w:val="229"/>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repurchases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291,000</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Balance at July 31, 2022</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4,091,695</w:t>
            </w:r>
          </w:p>
        </w:tc>
      </w:tr>
      <w:tr>
        <w:trPr>
          <w:trHeight w:val="21"/>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net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net on the condensed consolidated statements of income consisted of the following for the three and nine months ended July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54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3"/>
        </w:trPr>
        <w:tc>
          <w:tcPr>
            <w:tcW w:w="5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July 31,</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July 31,</w:t>
            </w:r>
          </w:p>
        </w:tc>
        <w:tc>
          <w:tcPr>
            <w:tcW w:w="880" w:type="dxa"/>
            <w:vAlign w:val="bottom"/>
          </w:tcPr>
          <w:p>
            <w:pPr>
              <w:spacing w:after="0"/>
              <w:rPr>
                <w:sz w:val="17"/>
                <w:szCs w:val="17"/>
                <w:color w:val="auto"/>
              </w:rPr>
            </w:pPr>
          </w:p>
        </w:tc>
      </w:tr>
      <w:tr>
        <w:trPr>
          <w:trHeight w:val="26"/>
        </w:trPr>
        <w:tc>
          <w:tcPr>
            <w:tcW w:w="5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0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gains (losses)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Foreign currency derivative gains</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service benefit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1"/>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and nine month period ended July 31, 2022 was $5.8 million and $17.1 million, respectively, and $4.9 million and $15.6 million for the comparable prior year periods.</w:t>
      </w:r>
    </w:p>
    <w:p>
      <w:pPr>
        <w:spacing w:after="0" w:line="13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Segment information for the three and nine months ended July 31, 2022 and 2021, and total assets as of July 31, 2022 and October 31, 2021 are summarized in the following table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 Cabinet Comp.</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CCEEFF"/>
            </w:tcBorders>
            <w:gridSpan w:val="5"/>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Three Months Ended July 31, 2022</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sales</w:t>
            </w: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184,744</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67,613</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72,480</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324,037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9,818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Three Months Ended July 31, 2021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Nine Months Ended July 31, 2022</w:t>
            </w:r>
          </w:p>
        </w:tc>
        <w:tc>
          <w:tcPr>
            <w:tcW w:w="19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509,283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199,954</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207,711</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(2,978)</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913,970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30,229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Nine Months Ended July 31, 2021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422,077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179,492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 of July 31, 2022</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2960" w:type="dxa"/>
            <w:vAlign w:val="bottom"/>
            <w:tcBorders>
              <w:top w:val="single" w:sz="8" w:color="CCEEFF"/>
            </w:tcBorders>
            <w:gridSpan w:val="4"/>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296,443</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223,803</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184,683</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38,678</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743,607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As of October 31, 2021</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268,773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236,755</w:t>
            </w:r>
          </w:p>
        </w:tc>
        <w:tc>
          <w:tcPr>
            <w:tcW w:w="1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178,671</w:t>
            </w:r>
          </w:p>
        </w:tc>
        <w:tc>
          <w:tcPr>
            <w:tcW w:w="1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33,124</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717,323</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change in the carrying amount of goodwill by reportable business segment for the nine months ended July 31, 2022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Unallocated Corp.</w:t>
            </w:r>
          </w:p>
        </w:tc>
        <w:tc>
          <w:tcPr>
            <w:tcW w:w="280" w:type="dxa"/>
            <w:vAlign w:val="bottom"/>
          </w:tcPr>
          <w:p>
            <w:pPr>
              <w:spacing w:after="0"/>
              <w:rPr>
                <w:sz w:val="14"/>
                <w:szCs w:val="14"/>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8"/>
              </w:rPr>
              <w:t>71,346</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w w:val="91"/>
              </w:rPr>
              <w:t>(7,956)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8"/>
              </w:rPr>
              <w:t>63,390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3,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as reported above to net income for the three and nine months ended July 31, 2022 and 2021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42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July 31,</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July 31,</w:t>
            </w:r>
          </w:p>
        </w:tc>
        <w:tc>
          <w:tcPr>
            <w:tcW w:w="880" w:type="dxa"/>
            <w:vAlign w:val="bottom"/>
          </w:tcPr>
          <w:p>
            <w:pPr>
              <w:spacing w:after="0"/>
              <w:rPr>
                <w:sz w:val="17"/>
                <w:szCs w:val="17"/>
                <w:color w:val="auto"/>
              </w:rPr>
            </w:pPr>
          </w:p>
        </w:tc>
      </w:tr>
      <w:tr>
        <w:trPr>
          <w:trHeight w:val="26"/>
        </w:trPr>
        <w:tc>
          <w:tcPr>
            <w:tcW w:w="5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34,035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21,562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54,777</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(7,801)</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(7,474)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(18,098)</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(17,352)</w:t>
            </w:r>
          </w:p>
        </w:tc>
      </w:tr>
      <w:tr>
        <w:trPr>
          <w:trHeight w:val="248"/>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25,908</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13,679</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63,669</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per share for the three and nine months ended July 31, 2022 and 2021 were calculated as follows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460" w:type="dxa"/>
            <w:vAlign w:val="bottom"/>
          </w:tcPr>
          <w:p>
            <w:pPr>
              <w:jc w:val="right"/>
              <w:ind w:right="72"/>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6480" w:type="dxa"/>
            <w:vAlign w:val="bottom"/>
            <w:tcBorders>
              <w:top w:val="single" w:sz="8" w:color="CCEEFF"/>
            </w:tcBorders>
            <w:gridSpan w:val="3"/>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Three Months Ended July 31, 2022</w:t>
            </w: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25,908</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32,999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Three Months Ended July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13,679</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1"/>
              </w:rPr>
              <w:t>Nine Months Ended July 31, 2022</w:t>
            </w:r>
          </w:p>
        </w:tc>
        <w:tc>
          <w:tcPr>
            <w:tcW w:w="4140" w:type="dxa"/>
            <w:vAlign w:val="bottom"/>
            <w:tcBorders>
              <w:bottom w:val="single" w:sz="8" w:color="CCEEFF"/>
            </w:tcBorders>
            <w:gridSpan w:val="2"/>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63,669</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33,093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33,256</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Nine Months Ended July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36,082</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36,082</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There were no anti-dilutive instruments for the three and nine months ended July 31, 2022 and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New Accounting Guidance</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nine months ended July 31, 2022. As of July 31, 2022,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98" w:lineRule="exact"/>
        <w:rPr>
          <w:sz w:val="20"/>
          <w:szCs w:val="20"/>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availability and prices of raw material including inflationary pressures and supply chain challenges, which could be exacerbated by political or global unrest such as the current situation in Ukraine;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skilled labor;</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energy costs and the availability of energy;</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suppliers, subcontractors, and key customers;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4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for the fiscal year ended October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July 31, 2022, and for the three and nine months ended July 31, 2022 and 2021, included elsewhere herein. For additional information pertaining to our business, including risk factors which should be considered before investing in our common stock, refer to our Annual Report on Form 10-K for the fiscal year ended October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7"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U.S. and global markets are experiencing volatility and disruption following the escalation of geopolitical tensions and the start of the military conflict between Russia and Ukraine. Although the length and impact of the ongoing military conflict is highly unpredictable, the conflict in Ukraine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same time last year resulting in the increase in natural gas prices and the potential for natural gas shortages. If this trend continues, this would not only negatively impact our European manufacturing facilities, this may also impact our customers and their demand for our products. We continue to monitor these situations and their impact on our business.</w:t>
      </w:r>
    </w:p>
    <w:p>
      <w:pPr>
        <w:spacing w:after="0" w:line="14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March 11, 2020, the 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essential role the construction industry plays in providing housing and necessary infrastructure. As federal, state and local governments react to the public health crisis, significant uncertainties have been created in the economy. The COVID-19</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pandemic and its related effects continue to have a significant adverse effect on many sectors of the economy and we may be further impacted.</w:t>
      </w:r>
    </w:p>
    <w:p>
      <w:pPr>
        <w:spacing w:after="0" w:line="18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war in Ukraine and the impact of COVID-19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August 2022, the NAHB forecasted calendar-year housing starts to be 1.5 million in both the 2022 and 2023 calendar-years and 1.6 million in 2024. In August 2022, the Ducker forecast indicated that total window shipments are expected to remain essentially flat for calendar-year 2022 and increase 1.9% in 2023. In August 2022, Catalina Research estimated that residential semi-custom cabinet sales in the U.S. is estimated to increase 8.4% in 2022 and decrease 3.8% in 2023.</w:t>
      </w:r>
    </w:p>
    <w:p>
      <w:pPr>
        <w:spacing w:after="0" w:line="11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2022 Compared to Three Months Ended July 31, 2021</w:t>
      </w:r>
    </w:p>
    <w:p>
      <w:pPr>
        <w:spacing w:after="0" w:line="145" w:lineRule="exact"/>
        <w:rPr>
          <w:sz w:val="20"/>
          <w:szCs w:val="20"/>
          <w:color w:val="auto"/>
        </w:rPr>
      </w:pPr>
    </w:p>
    <w:p>
      <w:pPr>
        <w:jc w:val="right"/>
        <w:ind w:right="1400"/>
        <w:spacing w:after="0"/>
        <w:rPr>
          <w:sz w:val="20"/>
          <w:szCs w:val="20"/>
          <w:color w:val="auto"/>
        </w:rPr>
      </w:pPr>
      <w:r>
        <w:rPr>
          <w:rFonts w:ascii="Arial" w:cs="Arial" w:eastAsia="Arial" w:hAnsi="Arial"/>
          <w:sz w:val="16"/>
          <w:szCs w:val="16"/>
          <w:b w:val="1"/>
          <w:bCs w:val="1"/>
          <w:color w:val="auto"/>
        </w:rPr>
        <w:t>Three Months Ended July 31,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sales (excluding depreciation and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Selling, general and administrative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 amortization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period-over-period results by reportable segment follow.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Related to Operating Income by Reportable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196"/>
        </w:trPr>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right"/>
              <w:ind w:right="432"/>
              <w:spacing w:after="0"/>
              <w:rPr>
                <w:sz w:val="20"/>
                <w:szCs w:val="20"/>
                <w:color w:val="auto"/>
              </w:rPr>
            </w:pPr>
            <w:r>
              <w:rPr>
                <w:rFonts w:ascii="Arial" w:cs="Arial" w:eastAsia="Arial" w:hAnsi="Arial"/>
                <w:sz w:val="13"/>
                <w:szCs w:val="13"/>
                <w:b w:val="1"/>
                <w:bCs w:val="1"/>
                <w:color w:val="auto"/>
              </w:rPr>
              <w:t>(Dollars in millions)</w:t>
            </w:r>
          </w:p>
        </w:tc>
        <w:tc>
          <w:tcPr>
            <w:tcW w:w="1360" w:type="dxa"/>
            <w:vAlign w:val="bottom"/>
          </w:tcPr>
          <w:p>
            <w:pPr>
              <w:spacing w:after="0"/>
              <w:rPr>
                <w:sz w:val="17"/>
                <w:szCs w:val="17"/>
                <w:color w:val="auto"/>
              </w:rPr>
            </w:pPr>
          </w:p>
        </w:tc>
      </w:tr>
      <w:tr>
        <w:trPr>
          <w:trHeight w:val="245"/>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w:t>
            </w: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2"/>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36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360" w:type="dxa"/>
            <w:vAlign w:val="bottom"/>
          </w:tcPr>
          <w:p>
            <w:pPr>
              <w:jc w:val="right"/>
              <w:spacing w:after="0"/>
              <w:rPr>
                <w:sz w:val="20"/>
                <w:szCs w:val="20"/>
                <w:color w:val="auto"/>
              </w:rPr>
            </w:pPr>
            <w:r>
              <w:rPr>
                <w:rFonts w:ascii="Arial" w:cs="Arial" w:eastAsia="Arial" w:hAnsi="Arial"/>
                <w:sz w:val="18"/>
                <w:szCs w:val="18"/>
                <w:color w:val="auto"/>
              </w:rPr>
              <w:t>300 %</w:t>
            </w:r>
          </w:p>
        </w:tc>
      </w:tr>
      <w:tr>
        <w:trPr>
          <w:trHeight w:val="230"/>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36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-1362710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-1071245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-779145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-479425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-187960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Three Months Ended July 31,</w:t>
      </w:r>
    </w:p>
    <w:p>
      <w:pPr>
        <w:spacing w:after="0" w:line="26" w:lineRule="exact"/>
        <w:rPr>
          <w:sz w:val="20"/>
          <w:szCs w:val="20"/>
          <w:color w:val="auto"/>
        </w:rPr>
      </w:pPr>
    </w:p>
    <w:p>
      <w:pPr>
        <w:sectPr>
          <w:pgSz w:w="11900" w:h="16838" w:orient="portrait"/>
          <w:cols w:equalWidth="0" w:num="2">
            <w:col w:w="5680" w:space="720"/>
            <w:col w:w="48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77"/>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13 %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$37.1 million, or 25%, for the three months ended July 31, 2022 compared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an increase in price and raw material surcharges of $19.6 million and a $17.5 million increase in volumes.</w:t>
      </w:r>
    </w:p>
    <w:p>
      <w:pPr>
        <w:spacing w:after="0" w:line="10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increased $26.5 million, or 23%, for the three months ended July 31, 2022 compared to the same period in 2021.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including labor, increased primarily due to higher volumes during the period as well as the inflation of raw materials.</w:t>
      </w:r>
    </w:p>
    <w:p>
      <w:pPr>
        <w:spacing w:after="0" w:line="65"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i w:val="1"/>
          <w:iCs w:val="1"/>
          <w:color w:val="auto"/>
        </w:rPr>
        <w:t>Selling, General and Administrative. S</w:t>
      </w:r>
      <w:r>
        <w:rPr>
          <w:rFonts w:ascii="Arial" w:cs="Arial" w:eastAsia="Arial" w:hAnsi="Arial"/>
          <w:sz w:val="16"/>
          <w:szCs w:val="16"/>
          <w:color w:val="auto"/>
        </w:rPr>
        <w:t>elling, general and administrative expenses increased $1.3 million, or 10%, for the three months ended July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compared to the same period in 2021, primarily due an increase in compensation expense, professional fees and general expenses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6"/>
                <w:szCs w:val="16"/>
                <w:b w:val="1"/>
                <w:bCs w:val="1"/>
                <w:color w:val="auto"/>
                <w:w w:val="91"/>
              </w:rPr>
              <w:t>Three Months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77"/>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7"/>
              </w:rPr>
              <w:t>(3.5)</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left="413"/>
              <w:spacing w:after="0"/>
              <w:rPr>
                <w:sz w:val="20"/>
                <w:szCs w:val="20"/>
                <w:color w:val="auto"/>
              </w:rPr>
            </w:pPr>
            <w:r>
              <w:rPr>
                <w:rFonts w:ascii="Arial" w:cs="Arial" w:eastAsia="Arial" w:hAnsi="Arial"/>
                <w:sz w:val="18"/>
                <w:szCs w:val="18"/>
                <w:color w:val="auto"/>
                <w:w w:val="97"/>
              </w:rPr>
              <w:t>(2.2)</w:t>
            </w:r>
          </w:p>
        </w:tc>
        <w:tc>
          <w:tcPr>
            <w:tcW w:w="1200" w:type="dxa"/>
            <w:vAlign w:val="bottom"/>
          </w:tcPr>
          <w:p>
            <w:pPr>
              <w:jc w:val="center"/>
              <w:ind w:left="33"/>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87"/>
              </w:rPr>
              <w:t>0.7</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97"/>
              </w:rPr>
              <w:t>(0.4)</w:t>
            </w:r>
          </w:p>
        </w:tc>
        <w:tc>
          <w:tcPr>
            <w:tcW w:w="120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7"/>
              </w:rPr>
              <w:t>(1.6)</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15 %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$3.5 million, or 5%, for the three months ended July 31, 2022 compared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$7.9 million decrease in volumes and $8.9 million of foreign currency rate changes partially offset by $13.3 million of base price increases.</w:t>
      </w:r>
    </w:p>
    <w:p>
      <w:pPr>
        <w:spacing w:after="0" w:line="103"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decreased $2.2 million, or 4%, for the three months ended July 31, 2022 compared to the same period in 2021.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sales decreased primarily due to lower volumes and foreign currency rate changes during the period partially offset by inflation of raw materials.</w:t>
      </w:r>
    </w:p>
    <w:p>
      <w:pPr>
        <w:spacing w:after="0" w:line="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$0.7 million, or 9%, for the three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the same period in 2021. The increase is primarily due to higher compensation and general expenses partially offset by a decrease in professional fees and foreign currency impacts year-over-year.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6"/>
                <w:szCs w:val="16"/>
                <w:b w:val="1"/>
                <w:bCs w:val="1"/>
                <w:color w:val="auto"/>
                <w:w w:val="91"/>
              </w:rPr>
              <w:t>Three Months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77"/>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291%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(loss)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340" w:firstLine="445"/>
        <w:spacing w:after="0"/>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$10.5 million, or 17%, for the three months ended July 31, 2022 compared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an increase in price and raw material indexes of $15.0 million partially offset by a $4.5 million decrease in volumes due to labor and material shortages throughout the supply chain.</w:t>
      </w:r>
    </w:p>
    <w:p>
      <w:pPr>
        <w:spacing w:after="0" w:line="135"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i w:val="1"/>
          <w:iCs w:val="1"/>
          <w:color w:val="auto"/>
        </w:rPr>
        <w:t>Cost of Sales</w:t>
      </w:r>
      <w:r>
        <w:rPr>
          <w:rFonts w:ascii="Arial" w:cs="Arial" w:eastAsia="Arial" w:hAnsi="Arial"/>
          <w:sz w:val="17"/>
          <w:szCs w:val="17"/>
          <w:color w:val="auto"/>
        </w:rPr>
        <w:t>. Cost of sales increased $7.2 million, or 13%, for the three months ended July 31, 2022 compared to the same period in 2021.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increased primarily due to rising lumber prices, which are recovered on a lag, partially offset by lower volumes during the period.</w:t>
      </w:r>
    </w:p>
    <w:p>
      <w:pPr>
        <w:spacing w:after="0" w:line="7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was similar to the three months ended July 31,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w w:val="93"/>
              </w:rPr>
              <w:t>Three Months Ended July 31,</w:t>
            </w:r>
          </w:p>
        </w:tc>
        <w:tc>
          <w:tcPr>
            <w:tcW w:w="1220" w:type="dxa"/>
            <w:vAlign w:val="bottom"/>
            <w:tcBorders>
              <w:bottom w:val="single" w:sz="8" w:color="auto"/>
            </w:tcBorders>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77"/>
        </w:trPr>
        <w:tc>
          <w:tcPr>
            <w:tcW w:w="6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4"/>
          </w:tcPr>
          <w:p>
            <w:pPr>
              <w:jc w:val="right"/>
              <w:ind w:right="5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3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91"/>
              </w:rPr>
              <w:t>(0.9)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11%</w:t>
            </w:r>
          </w:p>
        </w:tc>
      </w:tr>
      <w:tr>
        <w:trPr>
          <w:trHeight w:val="229"/>
        </w:trPr>
        <w:tc>
          <w:tcPr>
            <w:tcW w:w="64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left="516"/>
              <w:spacing w:after="0"/>
              <w:rPr>
                <w:sz w:val="20"/>
                <w:szCs w:val="20"/>
                <w:color w:val="auto"/>
              </w:rPr>
            </w:pPr>
            <w:r>
              <w:rPr>
                <w:rFonts w:ascii="Arial" w:cs="Arial" w:eastAsia="Arial" w:hAnsi="Arial"/>
                <w:sz w:val="18"/>
                <w:szCs w:val="18"/>
                <w:color w:val="auto"/>
                <w:w w:val="91"/>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5"/>
              </w:rPr>
              <w:t>(40)%</w:t>
            </w:r>
          </w:p>
        </w:tc>
      </w:tr>
      <w:tr>
        <w:trPr>
          <w:trHeight w:val="230"/>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7"/>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65%</w:t>
            </w:r>
          </w:p>
        </w:tc>
      </w:tr>
      <w:tr>
        <w:trPr>
          <w:trHeight w:val="229"/>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56"/>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1"/>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4"/>
              </w:rPr>
              <w:t>45%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July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Selling, general and administrative expenses decreased $1.1 million, or 65%,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July 31, 2022 compared to the same period in 2021. This decrease is primarily attributable to a decrease of $2.6 million related to medical expense claims partially offset by $1.0 million of higher compensation expense including the valuations of our stock based compensation awards and a $0.5 million increase in professional fees during the three months ended July 31, 2022 as compared to the prior 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recorded income tax expense of $7.8 million on pre-tax</w:t>
      </w:r>
      <w:r>
        <w:rPr>
          <w:rFonts w:ascii="Arial" w:cs="Arial" w:eastAsia="Arial" w:hAnsi="Arial"/>
          <w:sz w:val="17"/>
          <w:szCs w:val="17"/>
          <w:i w:val="1"/>
          <w:iCs w:val="1"/>
          <w:color w:val="auto"/>
        </w:rPr>
        <w:t xml:space="preserve"> </w:t>
      </w:r>
      <w:r>
        <w:rPr>
          <w:rFonts w:ascii="Arial" w:cs="Arial" w:eastAsia="Arial" w:hAnsi="Arial"/>
          <w:sz w:val="15"/>
          <w:szCs w:val="15"/>
          <w:color w:val="auto"/>
        </w:rPr>
        <w:t>income</w:t>
      </w:r>
      <w:r>
        <w:rPr>
          <w:rFonts w:ascii="Arial" w:cs="Arial" w:eastAsia="Arial" w:hAnsi="Arial"/>
          <w:sz w:val="17"/>
          <w:szCs w:val="17"/>
          <w:i w:val="1"/>
          <w:iCs w:val="1"/>
          <w:color w:val="auto"/>
        </w:rPr>
        <w:t xml:space="preserve"> </w:t>
      </w:r>
      <w:r>
        <w:rPr>
          <w:rFonts w:ascii="Arial" w:cs="Arial" w:eastAsia="Arial" w:hAnsi="Arial"/>
          <w:sz w:val="17"/>
          <w:szCs w:val="17"/>
          <w:color w:val="auto"/>
        </w:rPr>
        <w:t>of $33.7 million for the three months ended July 31, 2022,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 rate of 23.1%, and income tax </w:t>
      </w:r>
      <w:r>
        <w:rPr>
          <w:rFonts w:ascii="Arial" w:cs="Arial" w:eastAsia="Arial" w:hAnsi="Arial"/>
          <w:sz w:val="15"/>
          <w:szCs w:val="15"/>
          <w:color w:val="auto"/>
        </w:rPr>
        <w:t>expense</w:t>
      </w:r>
      <w:r>
        <w:rPr>
          <w:rFonts w:ascii="Arial" w:cs="Arial" w:eastAsia="Arial" w:hAnsi="Arial"/>
          <w:sz w:val="17"/>
          <w:szCs w:val="17"/>
          <w:color w:val="auto"/>
        </w:rPr>
        <w:t xml:space="preserve"> of $7.5 million on pre-tax </w:t>
      </w:r>
      <w:r>
        <w:rPr>
          <w:rFonts w:ascii="Arial" w:cs="Arial" w:eastAsia="Arial" w:hAnsi="Arial"/>
          <w:sz w:val="15"/>
          <w:szCs w:val="15"/>
          <w:color w:val="auto"/>
        </w:rPr>
        <w:t>income</w:t>
      </w:r>
      <w:r>
        <w:rPr>
          <w:rFonts w:ascii="Arial" w:cs="Arial" w:eastAsia="Arial" w:hAnsi="Arial"/>
          <w:sz w:val="17"/>
          <w:szCs w:val="17"/>
          <w:color w:val="auto"/>
        </w:rPr>
        <w:t xml:space="preserve"> of $21.2 million for the three months ended July 31, 2021, an effective rate of 35.3%. The increase in income tax expense year-over-year was primarily driven by the increase in pre-tax book income during the three months ended July 31, 2022, relative to the three months ended July 31, 2021. The decrease in the effective tax rate for the three months ended July 31, 2022, was primarily driven by a non-recurring tax detriment that occurred during the three months ended July 31, 2021, associated with the remeasurement of U.K. deferred taxes from a 19% to 25% tax rate as a result of an enacted tax law change during the period.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Nine Months Ended </w:t>
      </w:r>
      <w:r>
        <w:rPr>
          <w:rFonts w:ascii="Arial" w:cs="Arial" w:eastAsia="Arial" w:hAnsi="Arial"/>
          <w:sz w:val="17"/>
          <w:szCs w:val="17"/>
          <w:b w:val="1"/>
          <w:bCs w:val="1"/>
          <w:i w:val="1"/>
          <w:iCs w:val="1"/>
          <w:color w:val="auto"/>
        </w:rPr>
        <w:t>July 31, 2022 Compared to</w:t>
      </w:r>
      <w:r>
        <w:rPr>
          <w:rFonts w:ascii="Arial" w:cs="Arial" w:eastAsia="Arial" w:hAnsi="Arial"/>
          <w:sz w:val="16"/>
          <w:szCs w:val="16"/>
          <w:b w:val="1"/>
          <w:bCs w:val="1"/>
          <w:i w:val="1"/>
          <w:iCs w:val="1"/>
          <w:color w:val="auto"/>
        </w:rPr>
        <w:t xml:space="preserve"> Nine Months Ended July 31, </w:t>
      </w:r>
      <w:r>
        <w:rPr>
          <w:rFonts w:ascii="Arial" w:cs="Arial" w:eastAsia="Arial" w:hAnsi="Arial"/>
          <w:sz w:val="17"/>
          <w:szCs w:val="17"/>
          <w:b w:val="1"/>
          <w:bCs w:val="1"/>
          <w:i w:val="1"/>
          <w:iCs w:val="1"/>
          <w:color w:val="auto"/>
        </w:rPr>
        <w:t>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5"/>
              </w:rPr>
              <w:t>Nine Months Ended July 31,</w:t>
            </w:r>
          </w:p>
        </w:tc>
        <w:tc>
          <w:tcPr>
            <w:tcW w:w="1360" w:type="dxa"/>
            <w:vAlign w:val="bottom"/>
            <w:tcBorders>
              <w:bottom w:val="single" w:sz="8" w:color="auto"/>
            </w:tcBorders>
          </w:tcPr>
          <w:p>
            <w:pPr>
              <w:spacing w:after="0"/>
              <w:rPr>
                <w:sz w:val="18"/>
                <w:szCs w:val="18"/>
                <w:color w:val="auto"/>
              </w:rPr>
            </w:pPr>
          </w:p>
        </w:tc>
      </w:tr>
      <w:tr>
        <w:trPr>
          <w:trHeight w:val="187"/>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b w:val="1"/>
                <w:bCs w:val="1"/>
                <w:color w:val="auto"/>
              </w:rPr>
              <w:t>Change $</w:t>
            </w:r>
          </w:p>
        </w:tc>
        <w:tc>
          <w:tcPr>
            <w:tcW w:w="1360" w:type="dxa"/>
            <w:vAlign w:val="bottom"/>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5"/>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Cost of sales (excluding 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6"/>
                <w:szCs w:val="16"/>
                <w:b w:val="1"/>
                <w:bCs w:val="1"/>
                <w:color w:val="auto"/>
                <w:w w:val="92"/>
              </w:rPr>
              <w:t>Nine Months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 Variance</w:t>
            </w: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ind w:right="654"/>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CCEEFF"/>
            </w:tcBorders>
          </w:tcPr>
          <w:p>
            <w:pPr>
              <w:jc w:val="right"/>
              <w:ind w:right="29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11 %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$87.3 million, or 21%, for the nine months ended July 31, 2022 compared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an increase in price and raw material surcharges of $52.6 million and a $34.7 million increase in volumes.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increased $68.2 million, or 21%, for the nine months ended July 31, 2022 as compared to the same period in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including labor, increased primarily due to higher volumes during the period as well as the inflation of raw materials.</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increased $4.2 million, or 11%,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as compared to the same period in 2021. This increase was primarily due to higher compensation expense, professional fees and general expenses year-over-year.</w:t>
      </w:r>
    </w:p>
    <w:p>
      <w:pPr>
        <w:spacing w:after="0" w:line="116"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decreased $2.2 million, or 15%, for the nine months ended July 31, 2022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2021, reflecting the run-off of depreciation expense related to existing assets and disposals during the period.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6"/>
                <w:szCs w:val="16"/>
                <w:b w:val="1"/>
                <w:bCs w:val="1"/>
                <w:color w:val="auto"/>
                <w:w w:val="92"/>
              </w:rPr>
              <w:t>Nine Months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ind w:right="654"/>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15 %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$18.1 million, or 10%, comparing the nine months ended July 31, 2022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$35.8 million of base price increases partially offset by $11.7 million of foreign currency rate changes and $6.0 million decrease in volumes.</w:t>
      </w:r>
    </w:p>
    <w:p>
      <w:pPr>
        <w:spacing w:after="0" w:line="10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increased $15.5 million, or 13%, for the nine months ended July 31, 2022 compared to the same period in 2021.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increased primarily due to inflation of raw materials partially offset by a decrease in volumes and foreign currency impacts.</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$2.6 million, or 12%,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the same period in 2021. The increase is primarily due to higher compensation and general expenses partially offset by foreign currency impacts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6"/>
                <w:szCs w:val="16"/>
                <w:b w:val="1"/>
                <w:bCs w:val="1"/>
                <w:color w:val="auto"/>
                <w:w w:val="92"/>
              </w:rPr>
              <w:t>Nine Months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ind w:right="654"/>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208%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(loss)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$28.2 million, or 16%, for the nine months ended July 31, 2022 compared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$47.7 million increase in price and raw material indexes partially offset by $19.5 million decrease in volumes due to labor and material shortages throughout the supply chain.</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$24.4 million, or 16%, for the nine months ended July 31, 2022 compared with the same period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lumber price inflation, which is recovered on a lag, partially offset by lower volumes during the period.</w:t>
      </w:r>
    </w:p>
    <w:p>
      <w:pPr>
        <w:spacing w:after="0" w:line="10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increased $0.4 million, or 3%,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the same period in 2021 due to an increase in general expenses year-over-year.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6"/>
                <w:szCs w:val="16"/>
                <w:b w:val="1"/>
                <w:bCs w:val="1"/>
                <w:color w:val="auto"/>
                <w:w w:val="93"/>
              </w:rPr>
              <w:t>Nine Months Ended July 31,</w:t>
            </w:r>
          </w:p>
        </w:tc>
        <w:tc>
          <w:tcPr>
            <w:tcW w:w="1220" w:type="dxa"/>
            <w:vAlign w:val="bottom"/>
            <w:tcBorders>
              <w:bottom w:val="single" w:sz="8" w:color="auto"/>
            </w:tcBorders>
          </w:tcPr>
          <w:p>
            <w:pPr>
              <w:spacing w:after="0"/>
              <w:rPr>
                <w:sz w:val="18"/>
                <w:szCs w:val="18"/>
                <w:color w:val="auto"/>
              </w:rPr>
            </w:pPr>
          </w:p>
        </w:tc>
      </w:tr>
      <w:tr>
        <w:trPr>
          <w:trHeight w:val="193"/>
        </w:trPr>
        <w:tc>
          <w:tcPr>
            <w:tcW w:w="64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81"/>
        </w:trPr>
        <w:tc>
          <w:tcPr>
            <w:tcW w:w="6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right"/>
              <w:ind w:right="534"/>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3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r>
      <w:tr>
        <w:trPr>
          <w:trHeight w:val="229"/>
        </w:trPr>
        <w:tc>
          <w:tcPr>
            <w:tcW w:w="64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94"/>
              </w:rPr>
              <w:t>(6)%</w:t>
            </w:r>
          </w:p>
        </w:tc>
      </w:tr>
      <w:tr>
        <w:trPr>
          <w:trHeight w:val="230"/>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4"/>
              </w:rPr>
              <w:t>62%</w:t>
            </w:r>
          </w:p>
        </w:tc>
      </w:tr>
      <w:tr>
        <w:trPr>
          <w:trHeight w:val="230"/>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9"/>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2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4"/>
              </w:rPr>
              <w:t>54%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nine months ended July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57" w:lineRule="exact"/>
        <w:rPr>
          <w:sz w:val="20"/>
          <w:szCs w:val="20"/>
          <w:color w:val="auto"/>
        </w:rPr>
      </w:pPr>
    </w:p>
    <w:p>
      <w:pPr>
        <w:ind w:left="460"/>
        <w:spacing w:after="0" w:line="396"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r>
        <w:rPr>
          <w:rFonts w:ascii="Arial" w:cs="Arial" w:eastAsia="Arial" w:hAnsi="Arial"/>
          <w:sz w:val="16"/>
          <w:szCs w:val="16"/>
          <w:i w:val="1"/>
          <w:iCs w:val="1"/>
          <w:color w:val="auto"/>
        </w:rPr>
        <w:t xml:space="preserve"> Selling, General and Administrative</w:t>
      </w:r>
      <w:r>
        <w:rPr>
          <w:rFonts w:ascii="Arial" w:cs="Arial" w:eastAsia="Arial" w:hAnsi="Arial"/>
          <w:sz w:val="16"/>
          <w:szCs w:val="16"/>
          <w:color w:val="auto"/>
        </w:rPr>
        <w:t>. Selling, general and administrative expenses decreased $7.7 million, or 62%, for the nine months ended July 31,</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2022 compared to the same period in 2021. This decrease is primarily attributable to $3.7 million of decreased compensation expense including the valuations of our stock based compensation awards, a decrease of $2.9 million related to medical expense claims and a decrease of $0.5 million related to workers’ compensation claims partially offset by an increase of $0.8 million professional fees during the nine months ended July 31, 2022 as compared to the prior year period. Additionally, we recorded a $1.4 million loss on the sale of a plant during the nine months ended July 31, 2021, for which we did not have a comparable expense in the corresponding nine months ended July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36"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recorded income tax expense of $18.1 million on pre-tax</w:t>
      </w:r>
      <w:r>
        <w:rPr>
          <w:rFonts w:ascii="Arial" w:cs="Arial" w:eastAsia="Arial" w:hAnsi="Arial"/>
          <w:sz w:val="16"/>
          <w:szCs w:val="16"/>
          <w:i w:val="1"/>
          <w:iCs w:val="1"/>
          <w:color w:val="auto"/>
        </w:rPr>
        <w:t xml:space="preserve"> </w:t>
      </w:r>
      <w:r>
        <w:rPr>
          <w:rFonts w:ascii="Arial" w:cs="Arial" w:eastAsia="Arial" w:hAnsi="Arial"/>
          <w:sz w:val="14"/>
          <w:szCs w:val="14"/>
          <w:color w:val="auto"/>
        </w:rPr>
        <w:t>income</w:t>
      </w:r>
      <w:r>
        <w:rPr>
          <w:rFonts w:ascii="Arial" w:cs="Arial" w:eastAsia="Arial" w:hAnsi="Arial"/>
          <w:sz w:val="16"/>
          <w:szCs w:val="16"/>
          <w:i w:val="1"/>
          <w:iCs w:val="1"/>
          <w:color w:val="auto"/>
        </w:rPr>
        <w:t xml:space="preserve"> </w:t>
      </w:r>
      <w:r>
        <w:rPr>
          <w:rFonts w:ascii="Arial" w:cs="Arial" w:eastAsia="Arial" w:hAnsi="Arial"/>
          <w:sz w:val="16"/>
          <w:szCs w:val="16"/>
          <w:color w:val="auto"/>
        </w:rPr>
        <w:t>of $81.8 million for the nine months ended July 31, 2022,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rate of 22.2%, and income tax </w:t>
      </w:r>
      <w:r>
        <w:rPr>
          <w:rFonts w:ascii="Arial" w:cs="Arial" w:eastAsia="Arial" w:hAnsi="Arial"/>
          <w:sz w:val="14"/>
          <w:szCs w:val="14"/>
          <w:color w:val="auto"/>
        </w:rPr>
        <w:t>expense</w:t>
      </w:r>
      <w:r>
        <w:rPr>
          <w:rFonts w:ascii="Arial" w:cs="Arial" w:eastAsia="Arial" w:hAnsi="Arial"/>
          <w:sz w:val="16"/>
          <w:szCs w:val="16"/>
          <w:color w:val="auto"/>
        </w:rPr>
        <w:t xml:space="preserve"> of $17.4 million on a pre-tax income of $53.4 million for the nine months ended July 31, 2021, an effective</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rate of 32.5%. The increase in income tax expense year-over-year was primarily driven by the increase in pre-tax book income during the nine months ended July 31, 2022, relative to the nine months ended July 31, 2021. The decrease in the effective tax rate for the nine months ended July 31, 2022, was primarily driven by a non-recurring tax detriment that occurred during the nine months ended July 31, 2021, associated with the remeasurement of U.K. deferred taxes from a 19% to 25% tax rate as a result of an enacted tax law change during the period as well as a charge related to the vesting or exercise of equity-based compensation awards.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6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maintain a $325.0 million revolving credit facility (the Credit Facility) that matures in 2027 (5-year term) and requires interest payments calculated at a variable market rate depending upon our Consolidated Net Leverage Ratio. The applicable rate during the nine months ended July 31, 2022 was RFR Rate + 1.25%. Our cost of capital could increase depending upon the Consolidated Net Leverage Ratio at the end of any given quarter. In addition to the Consolidated Net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$25.0 million per year). We are amortizing deferred financing fees of $1.6 million straight-line over the remaining term of the facility. For further details of the Credit Facility, refer to Note 4, “Debt and Finance Lease Obligations” to the accompanying unaudited condensed consolidated financial statements contained elsewhere herein.</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July 31, 2022, we had $50.0 million of cash and equivalents, $38.0 million outstanding under the Credit Facility, $5.1 million of outstanding letters of credit and $20.1 million outstanding under finance leases and other debt. We had $281.9 million available for use under the Credit Facility at July 31, 2022.</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repatriated $18.2 million and $17.7 million of foreign cash during the nine months ended July 31, 2022 and 2021, respectively. We expect to repatriate excess cash moving forward and use the funds to retire debt or meet current working capital needs. In the U.K., we insure against a portion of our credit losses. We believe our business model, our current cash reserves and the recent steps we have taken to strengthen our balance sheet leave us well-positioned to manage our business and remain in compliance with our debt covenants.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nine months ended July 31,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July 31,</w:t>
            </w:r>
          </w:p>
        </w:tc>
        <w:tc>
          <w:tcPr>
            <w:tcW w:w="940" w:type="dxa"/>
            <w:vAlign w:val="bottom"/>
          </w:tcPr>
          <w:p>
            <w:pPr>
              <w:spacing w:after="0"/>
              <w:rPr>
                <w:sz w:val="17"/>
                <w:szCs w:val="17"/>
                <w:color w:val="auto"/>
              </w:rPr>
            </w:pP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2021</w:t>
            </w:r>
          </w:p>
        </w:tc>
      </w:tr>
      <w:tr>
        <w:trPr>
          <w:trHeight w:val="194"/>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4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49.9</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5"/>
              </w:rPr>
              <w:t>47.4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(19.4)</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375"/>
              <w:spacing w:after="0"/>
              <w:rPr>
                <w:sz w:val="20"/>
                <w:szCs w:val="20"/>
                <w:color w:val="auto"/>
              </w:rPr>
            </w:pPr>
            <w:r>
              <w:rPr>
                <w:rFonts w:ascii="Arial" w:cs="Arial" w:eastAsia="Arial" w:hAnsi="Arial"/>
                <w:sz w:val="18"/>
                <w:szCs w:val="18"/>
                <w:color w:val="auto"/>
                <w:w w:val="93"/>
              </w:rPr>
              <w:t>(12.9)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financing activities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(17.9)</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3"/>
              </w:rPr>
              <w:t>(43.5)</w:t>
            </w:r>
          </w:p>
        </w:tc>
      </w:tr>
    </w:tbl>
    <w:p>
      <w:pPr>
        <w:spacing w:after="0" w:line="188"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increased $2.5 million for the nine months ended July 31, 2022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31, 2021. The increase in operating cash flows is primarily due to higher net income year-over-year due to increased demand partially offset by unfavorable changes in working capital. The unfavorable changes in working capital were largely driven by an increase in inventory value due to raw material price inflation and a higher payout of accrued incentives.</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increased $6.5 million for the nine months ended July 31, 2022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primarily as a result of an increase in capital expenditures and a decrease in proceeds from dispositions.</w:t>
      </w:r>
    </w:p>
    <w:p>
      <w:pPr>
        <w:spacing w:after="0" w:line="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$17.9 million for the nine months ended July 31, 2022, which included $7.9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dividends paid to our shareholders, $6.6 million purchase of treasury stock, $1.4 million of payroll tax paid to settle shares forfeited upon vesting of stock, $1.3 million of net repayment of long-term debt and $1.2 million of debt issuance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nine months ended July 31, 2022 and 2021, we repatriated $18.2 million and $17.7 million, respectively, of foreign earnings from our foreign locations. We maintain cash balances in foreign countries which total $14.9 million as of July 31, 2022.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description of our critical accounting policies and estimates, see our Annual Report on Form 10-K for the fiscal year ended October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have not changed materially during the nine months ended July 31, 2022.</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nine months ended July 31, 2022. As of July 31, 2022,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July 31, 2022, a hypothetical 1.0% increase or decrease in interest rates could result in approximately $0.4 million of additional pretax charges or credit to our net income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6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Less than $0.1 million of foreign currency derivatives were included in total liabilities as of July 31, 2022. There were no corresponding foreign currency derivatives as of October 31, 2021.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2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July 31, 2022. Based on that evaluation, the Chief Executive Officer and Chief Financial Officer concluded that, as of July 31, 2022, the disclosure controls and procedures are effective.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July 31, 2022, we repurchased common stock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(a) Total Number of</w:t>
            </w:r>
          </w:p>
        </w:tc>
        <w:tc>
          <w:tcPr>
            <w:tcW w:w="120" w:type="dxa"/>
            <w:vAlign w:val="bottom"/>
          </w:tcPr>
          <w:p>
            <w:pPr>
              <w:spacing w:after="0"/>
              <w:rPr>
                <w:sz w:val="14"/>
                <w:szCs w:val="14"/>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(b) Average Price Paid</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(c) Total Number of Shares</w:t>
            </w: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w w:val="98"/>
              </w:rPr>
              <w:t>(d) Maximum US Dollars Remaining</w:t>
            </w: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40" w:type="dxa"/>
            <w:vAlign w:val="bottom"/>
          </w:tcPr>
          <w:p>
            <w:pPr>
              <w:spacing w:after="0"/>
              <w:rPr>
                <w:sz w:val="12"/>
                <w:szCs w:val="12"/>
                <w:color w:val="auto"/>
              </w:rPr>
            </w:pPr>
          </w:p>
        </w:tc>
        <w:tc>
          <w:tcPr>
            <w:tcW w:w="232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93"/>
              </w:rPr>
              <w:t>that May Yet Be Used to Purchase</w:t>
            </w:r>
          </w:p>
        </w:tc>
        <w:tc>
          <w:tcPr>
            <w:tcW w:w="0" w:type="dxa"/>
            <w:vAlign w:val="bottom"/>
          </w:tcPr>
          <w:p>
            <w:pPr>
              <w:spacing w:after="0"/>
              <w:rPr>
                <w:sz w:val="1"/>
                <w:szCs w:val="1"/>
                <w:color w:val="auto"/>
              </w:rPr>
            </w:pPr>
          </w:p>
        </w:tc>
      </w:tr>
      <w:tr>
        <w:trPr>
          <w:trHeight w:val="203"/>
        </w:trPr>
        <w:tc>
          <w:tcPr>
            <w:tcW w:w="3120" w:type="dxa"/>
            <w:vAlign w:val="bottom"/>
            <w:gridSpan w:val="2"/>
            <w:vMerge w:val="continue"/>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c>
          <w:tcPr>
            <w:tcW w:w="214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1"/>
              </w:rPr>
              <w:t xml:space="preserve">Announced Plans or Programs </w:t>
            </w:r>
            <w:r>
              <w:rPr>
                <w:rFonts w:ascii="Arial" w:cs="Arial" w:eastAsia="Arial" w:hAnsi="Arial"/>
                <w:sz w:val="18"/>
                <w:szCs w:val="18"/>
                <w:b w:val="1"/>
                <w:bCs w:val="1"/>
                <w:color w:val="auto"/>
                <w:w w:val="91"/>
                <w:vertAlign w:val="superscript"/>
              </w:rPr>
              <w:t>(1)</w:t>
            </w:r>
          </w:p>
        </w:tc>
        <w:tc>
          <w:tcPr>
            <w:tcW w:w="2560" w:type="dxa"/>
            <w:vAlign w:val="bottom"/>
            <w:gridSpan w:val="2"/>
          </w:tcPr>
          <w:p>
            <w:pPr>
              <w:ind w:left="140"/>
              <w:spacing w:after="0" w:line="202" w:lineRule="exact"/>
              <w:rPr>
                <w:sz w:val="20"/>
                <w:szCs w:val="20"/>
                <w:color w:val="auto"/>
              </w:rPr>
            </w:pPr>
            <w:r>
              <w:rPr>
                <w:rFonts w:ascii="Arial" w:cs="Arial" w:eastAsia="Arial" w:hAnsi="Arial"/>
                <w:sz w:val="14"/>
                <w:szCs w:val="14"/>
                <w:b w:val="1"/>
                <w:bCs w:val="1"/>
                <w:color w:val="auto"/>
                <w:w w:val="91"/>
              </w:rPr>
              <w:t xml:space="preserve">Shares Under the Plans or Programs </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22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2022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68,399,526</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June 2022</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68,399,526</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2022</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68,399,526</w:t>
            </w: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216,000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216,000</w:t>
            </w:r>
          </w:p>
        </w:tc>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13"/>
        <w:spacing w:after="0" w:line="238" w:lineRule="auto"/>
        <w:tabs>
          <w:tab w:leader="none" w:pos="601"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 December 2021, our Board of Directors approved a stock repurchase program that authorized the repurchase of up to $75.0 million worth of shares of our common stock. Repurchases under the new program are made in open market transactions or privately negotiated transactions, subject to market conditions, applicable legal requirements and other relevant factors. The program does not have an expiration date or a limit on the number of shares that may be purchased.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5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Arial" w:cs="Arial" w:eastAsia="Arial" w:hAnsi="Arial"/>
          <w:sz w:val="18"/>
          <w:szCs w:val="18"/>
          <w:color w:val="auto"/>
        </w:rPr>
        <w:t>Date: September 2, 2022</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4234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Scott M. Zuehlke</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 Chief Financial Officer &amp; Treasurer</w:t>
      </w:r>
    </w:p>
    <w:p>
      <w:pPr>
        <w:jc w:val="center"/>
        <w:ind w:right="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8"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4"/>
          </w:tcPr>
          <w:p>
            <w:pPr>
              <w:jc w:val="center"/>
              <w:ind w:left="450"/>
              <w:spacing w:after="0"/>
              <w:rPr>
                <w:rFonts w:ascii="Arial" w:cs="Arial" w:eastAsia="Arial" w:hAnsi="Arial"/>
                <w:sz w:val="18"/>
                <w:szCs w:val="18"/>
                <w:color w:val="0000FF"/>
                <w:w w:val="87"/>
              </w:rPr>
            </w:pPr>
            <w:hyperlink r:id="rId6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660" w:type="dxa"/>
            <w:vAlign w:val="bottom"/>
          </w:tcPr>
          <w:p>
            <w:pPr>
              <w:spacing w:after="0"/>
              <w:rPr>
                <w:sz w:val="17"/>
                <w:szCs w:val="17"/>
                <w:color w:val="auto"/>
              </w:rPr>
            </w:pPr>
          </w:p>
        </w:tc>
        <w:tc>
          <w:tcPr>
            <w:tcW w:w="8300" w:type="dxa"/>
            <w:vAlign w:val="bottom"/>
            <w:gridSpan w:val="15"/>
          </w:tcPr>
          <w:p>
            <w:pPr>
              <w:spacing w:after="0"/>
              <w:rPr>
                <w:rFonts w:ascii="Arial" w:cs="Arial" w:eastAsia="Arial" w:hAnsi="Arial"/>
                <w:sz w:val="18"/>
                <w:szCs w:val="18"/>
                <w:color w:val="0000FF"/>
                <w:w w:val="97"/>
              </w:rPr>
            </w:pPr>
            <w:hyperlink r:id="rId62">
              <w:r>
                <w:rPr>
                  <w:rFonts w:ascii="Arial" w:cs="Arial" w:eastAsia="Arial" w:hAnsi="Arial"/>
                  <w:sz w:val="18"/>
                  <w:szCs w:val="18"/>
                  <w:color w:val="0000FF"/>
                  <w:w w:val="97"/>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tcBorders>
            <w:gridSpan w:val="11"/>
          </w:tcPr>
          <w:p>
            <w:pPr>
              <w:spacing w:after="0" w:line="156" w:lineRule="exact"/>
              <w:rPr>
                <w:rFonts w:ascii="Arial" w:cs="Arial" w:eastAsia="Arial" w:hAnsi="Arial"/>
                <w:sz w:val="18"/>
                <w:szCs w:val="18"/>
                <w:color w:val="0000FF"/>
                <w:w w:val="98"/>
              </w:rPr>
            </w:pPr>
            <w:hyperlink r:id="rId62">
              <w:r>
                <w:rPr>
                  <w:rFonts w:ascii="Arial" w:cs="Arial" w:eastAsia="Arial" w:hAnsi="Arial"/>
                  <w:sz w:val="18"/>
                  <w:szCs w:val="18"/>
                  <w:color w:val="0000FF"/>
                  <w:w w:val="98"/>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Commission on March 7, 2016, and incorporated herein by reference.</w:t>
              </w:r>
            </w:hyperlink>
          </w:p>
        </w:tc>
        <w:tc>
          <w:tcPr>
            <w:tcW w:w="31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60" w:type="dxa"/>
            <w:vAlign w:val="bottom"/>
            <w:gridSpan w:val="4"/>
          </w:tcPr>
          <w:p>
            <w:pPr>
              <w:jc w:val="center"/>
              <w:ind w:left="450"/>
              <w:spacing w:after="0"/>
              <w:rPr>
                <w:rFonts w:ascii="Arial" w:cs="Arial" w:eastAsia="Arial" w:hAnsi="Arial"/>
                <w:sz w:val="18"/>
                <w:szCs w:val="18"/>
                <w:color w:val="0000FF"/>
                <w:w w:val="87"/>
              </w:rPr>
            </w:pPr>
            <w:hyperlink r:id="rId6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660" w:type="dxa"/>
            <w:vAlign w:val="bottom"/>
          </w:tcPr>
          <w:p>
            <w:pPr>
              <w:spacing w:after="0"/>
              <w:rPr>
                <w:sz w:val="22"/>
                <w:szCs w:val="22"/>
                <w:color w:val="auto"/>
              </w:rPr>
            </w:pPr>
          </w:p>
        </w:tc>
        <w:tc>
          <w:tcPr>
            <w:tcW w:w="8300" w:type="dxa"/>
            <w:vAlign w:val="bottom"/>
            <w:gridSpan w:val="15"/>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Fourth Amended and Restated Bylaws of the Registrant dated as of February 27, 2020, filed as Exhibit 3.2 of the</w:t>
              </w:r>
            </w:hyperlink>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Registrant's Quarterly Report on Form 10-Q (Reg. No. 001-33913) for the quarter ended January 31,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4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63">
              <w:r>
                <w:rPr>
                  <w:rFonts w:ascii="Arial" w:cs="Arial" w:eastAsia="Arial" w:hAnsi="Arial"/>
                  <w:sz w:val="18"/>
                  <w:szCs w:val="18"/>
                  <w:color w:val="0000FF"/>
                </w:rPr>
                <w:t>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gridSpan w:val="4"/>
          </w:tcPr>
          <w:p>
            <w:pPr>
              <w:jc w:val="center"/>
              <w:ind w:left="450"/>
              <w:spacing w:after="0"/>
              <w:rPr>
                <w:rFonts w:ascii="Arial" w:cs="Arial" w:eastAsia="Arial" w:hAnsi="Arial"/>
                <w:sz w:val="18"/>
                <w:szCs w:val="18"/>
                <w:color w:val="0000FF"/>
                <w:w w:val="87"/>
              </w:rPr>
            </w:pPr>
            <w:hyperlink r:id="rId6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60" w:type="dxa"/>
            <w:vAlign w:val="bottom"/>
          </w:tcPr>
          <w:p>
            <w:pPr>
              <w:spacing w:after="0"/>
              <w:rPr>
                <w:sz w:val="22"/>
                <w:szCs w:val="22"/>
                <w:color w:val="auto"/>
              </w:rPr>
            </w:pPr>
          </w:p>
        </w:tc>
        <w:tc>
          <w:tcPr>
            <w:tcW w:w="8300" w:type="dxa"/>
            <w:vAlign w:val="bottom"/>
            <w:gridSpan w:val="15"/>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Registration Statement on Form 10 (Reg. No. 001-33913) as filed with the Securities and Exchange Commission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340" w:type="dxa"/>
            <w:vAlign w:val="bottom"/>
            <w:tcBorders>
              <w:bottom w:val="single" w:sz="8" w:color="0000FF"/>
            </w:tcBorders>
            <w:gridSpan w:val="2"/>
          </w:tcPr>
          <w:p>
            <w:pPr>
              <w:spacing w:after="0" w:line="169"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on February 14, 2008, and incorporated herein by reference.</w:t>
              </w:r>
            </w:hyperlink>
          </w:p>
        </w:tc>
        <w:tc>
          <w:tcPr>
            <w:tcW w:w="39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gridSpan w:val="4"/>
          </w:tcPr>
          <w:p>
            <w:pPr>
              <w:jc w:val="center"/>
              <w:ind w:left="450"/>
              <w:spacing w:after="0"/>
              <w:rPr>
                <w:rFonts w:ascii="Arial" w:cs="Arial" w:eastAsia="Arial" w:hAnsi="Arial"/>
                <w:sz w:val="18"/>
                <w:szCs w:val="18"/>
                <w:color w:val="0000FF"/>
                <w:w w:val="87"/>
              </w:rPr>
            </w:pPr>
            <w:hyperlink r:id="rId6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660" w:type="dxa"/>
            <w:vAlign w:val="bottom"/>
          </w:tcPr>
          <w:p>
            <w:pPr>
              <w:spacing w:after="0"/>
              <w:rPr>
                <w:sz w:val="22"/>
                <w:szCs w:val="22"/>
                <w:color w:val="auto"/>
              </w:rPr>
            </w:pPr>
          </w:p>
        </w:tc>
        <w:tc>
          <w:tcPr>
            <w:tcW w:w="8300" w:type="dxa"/>
            <w:vAlign w:val="bottom"/>
            <w:gridSpan w:val="15"/>
            <w:vMerge w:val="restart"/>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5"/>
        </w:trPr>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30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tcBorders>
              <w:top w:val="single" w:sz="8" w:color="0000FF"/>
            </w:tcBorders>
            <w:gridSpan w:val="10"/>
          </w:tcPr>
          <w:p>
            <w:pPr>
              <w:spacing w:after="0" w:line="156"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lenders party thereto; and Wells Fargo Bank, National Association, as Agent; filed as Exhibit 10.1 of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7"/>
              </w:rPr>
            </w:pPr>
            <w:hyperlink r:id="rId65">
              <w:r>
                <w:rPr>
                  <w:rFonts w:ascii="Arial" w:cs="Arial" w:eastAsia="Arial" w:hAnsi="Arial"/>
                  <w:sz w:val="18"/>
                  <w:szCs w:val="18"/>
                  <w:color w:val="0000FF"/>
                  <w:w w:val="97"/>
                </w:rPr>
                <w:t>Registrant's Current Report on Form 8-K (Reg. No. 001-33913) as filed with the Securities and Exchange</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60" w:type="dxa"/>
            <w:vAlign w:val="bottom"/>
            <w:gridSpan w:val="13"/>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Commission on July 6, 2022, and incorporated herein by reference.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gridSpan w:val="4"/>
          </w:tcPr>
          <w:p>
            <w:pPr>
              <w:jc w:val="center"/>
              <w:ind w:left="470"/>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660" w:type="dxa"/>
            <w:vAlign w:val="bottom"/>
          </w:tcPr>
          <w:p>
            <w:pPr>
              <w:spacing w:after="0"/>
              <w:rPr>
                <w:sz w:val="22"/>
                <w:szCs w:val="22"/>
                <w:color w:val="auto"/>
              </w:rPr>
            </w:pPr>
          </w:p>
        </w:tc>
        <w:tc>
          <w:tcPr>
            <w:tcW w:w="8300" w:type="dxa"/>
            <w:vAlign w:val="bottom"/>
            <w:gridSpan w:val="15"/>
          </w:tcPr>
          <w:p>
            <w:pPr>
              <w:spacing w:after="0"/>
              <w:rPr>
                <w:sz w:val="20"/>
                <w:szCs w:val="20"/>
                <w:color w:val="auto"/>
              </w:rPr>
            </w:pPr>
            <w:r>
              <w:rPr>
                <w:rFonts w:ascii="Arial" w:cs="Arial" w:eastAsia="Arial" w:hAnsi="Arial"/>
                <w:sz w:val="18"/>
                <w:szCs w:val="18"/>
                <w:color w:val="0000FF"/>
              </w:rPr>
              <w:t>Certification by chief executive officer pursuant to Rule 13a-14(a)/15d-14(a).</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gridSpan w:val="4"/>
          </w:tcPr>
          <w:p>
            <w:pPr>
              <w:jc w:val="center"/>
              <w:ind w:left="470"/>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660" w:type="dxa"/>
            <w:vAlign w:val="bottom"/>
          </w:tcPr>
          <w:p>
            <w:pPr>
              <w:spacing w:after="0"/>
              <w:rPr>
                <w:sz w:val="22"/>
                <w:szCs w:val="22"/>
                <w:color w:val="auto"/>
              </w:rPr>
            </w:pPr>
          </w:p>
        </w:tc>
        <w:tc>
          <w:tcPr>
            <w:tcW w:w="55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Certification by chief financial officer pursuant to Rule 13a-14(a)/15d-14(a).</w:t>
            </w:r>
          </w:p>
        </w:tc>
        <w:tc>
          <w:tcPr>
            <w:tcW w:w="27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gridSpan w:val="4"/>
          </w:tcPr>
          <w:p>
            <w:pPr>
              <w:jc w:val="center"/>
              <w:ind w:left="470"/>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p>
        </w:tc>
        <w:tc>
          <w:tcPr>
            <w:tcW w:w="660" w:type="dxa"/>
            <w:vAlign w:val="bottom"/>
          </w:tcPr>
          <w:p>
            <w:pPr>
              <w:spacing w:after="0"/>
              <w:rPr>
                <w:sz w:val="22"/>
                <w:szCs w:val="22"/>
                <w:color w:val="auto"/>
              </w:rPr>
            </w:pPr>
          </w:p>
        </w:tc>
        <w:tc>
          <w:tcPr>
            <w:tcW w:w="8300" w:type="dxa"/>
            <w:vAlign w:val="bottom"/>
            <w:gridSpan w:val="15"/>
          </w:tcPr>
          <w:p>
            <w:pPr>
              <w:spacing w:after="0"/>
              <w:rPr>
                <w:sz w:val="20"/>
                <w:szCs w:val="20"/>
                <w:color w:val="auto"/>
              </w:rPr>
            </w:pPr>
            <w:r>
              <w:rPr>
                <w:rFonts w:ascii="Arial" w:cs="Arial" w:eastAsia="Arial" w:hAnsi="Arial"/>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gridSpan w:val="5"/>
          </w:tcPr>
          <w:p>
            <w:pPr>
              <w:jc w:val="center"/>
              <w:ind w:right="120"/>
              <w:spacing w:after="0"/>
              <w:rPr>
                <w:sz w:val="20"/>
                <w:szCs w:val="20"/>
                <w:color w:val="auto"/>
              </w:rPr>
            </w:pPr>
            <w:r>
              <w:rPr>
                <w:rFonts w:ascii="Arial" w:cs="Arial" w:eastAsia="Arial" w:hAnsi="Arial"/>
                <w:sz w:val="18"/>
                <w:szCs w:val="18"/>
                <w:color w:val="auto"/>
                <w:w w:val="97"/>
              </w:rPr>
              <w:t>*101.INS</w:t>
            </w:r>
          </w:p>
        </w:tc>
        <w:tc>
          <w:tcPr>
            <w:tcW w:w="8300" w:type="dxa"/>
            <w:vAlign w:val="bottom"/>
            <w:gridSpan w:val="15"/>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300" w:type="dxa"/>
            <w:vAlign w:val="bottom"/>
            <w:gridSpan w:val="15"/>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96"/>
        </w:trPr>
        <w:tc>
          <w:tcPr>
            <w:tcW w:w="162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*101.SCH</w:t>
            </w:r>
          </w:p>
        </w:tc>
        <w:tc>
          <w:tcPr>
            <w:tcW w:w="83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620" w:type="dxa"/>
            <w:vAlign w:val="bottom"/>
            <w:gridSpan w:val="5"/>
          </w:tcPr>
          <w:p>
            <w:pPr>
              <w:jc w:val="center"/>
              <w:ind w:right="100"/>
              <w:spacing w:after="0"/>
              <w:rPr>
                <w:sz w:val="20"/>
                <w:szCs w:val="20"/>
                <w:color w:val="auto"/>
              </w:rPr>
            </w:pPr>
            <w:r>
              <w:rPr>
                <w:rFonts w:ascii="Arial" w:cs="Arial" w:eastAsia="Arial" w:hAnsi="Arial"/>
                <w:sz w:val="18"/>
                <w:szCs w:val="18"/>
                <w:color w:val="auto"/>
                <w:w w:val="98"/>
              </w:rPr>
              <w:t>*101.CAL</w:t>
            </w:r>
          </w:p>
        </w:tc>
        <w:tc>
          <w:tcPr>
            <w:tcW w:w="83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62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*101.DEF</w:t>
            </w:r>
          </w:p>
        </w:tc>
        <w:tc>
          <w:tcPr>
            <w:tcW w:w="83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620" w:type="dxa"/>
            <w:vAlign w:val="bottom"/>
            <w:gridSpan w:val="5"/>
          </w:tcPr>
          <w:p>
            <w:pPr>
              <w:jc w:val="center"/>
              <w:ind w:right="100"/>
              <w:spacing w:after="0"/>
              <w:rPr>
                <w:sz w:val="20"/>
                <w:szCs w:val="20"/>
                <w:color w:val="auto"/>
              </w:rPr>
            </w:pPr>
            <w:r>
              <w:rPr>
                <w:rFonts w:ascii="Arial" w:cs="Arial" w:eastAsia="Arial" w:hAnsi="Arial"/>
                <w:sz w:val="18"/>
                <w:szCs w:val="18"/>
                <w:color w:val="auto"/>
                <w:w w:val="99"/>
              </w:rPr>
              <w:t>*101.LAB</w:t>
            </w:r>
          </w:p>
        </w:tc>
        <w:tc>
          <w:tcPr>
            <w:tcW w:w="83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620" w:type="dxa"/>
            <w:vAlign w:val="bottom"/>
            <w:gridSpan w:val="5"/>
          </w:tcPr>
          <w:p>
            <w:pPr>
              <w:jc w:val="center"/>
              <w:ind w:right="120"/>
              <w:spacing w:after="0"/>
              <w:rPr>
                <w:sz w:val="20"/>
                <w:szCs w:val="20"/>
                <w:color w:val="auto"/>
              </w:rPr>
            </w:pPr>
            <w:r>
              <w:rPr>
                <w:rFonts w:ascii="Arial" w:cs="Arial" w:eastAsia="Arial" w:hAnsi="Arial"/>
                <w:sz w:val="18"/>
                <w:szCs w:val="18"/>
                <w:color w:val="auto"/>
                <w:w w:val="93"/>
              </w:rPr>
              <w:t>*101.PRE</w:t>
            </w:r>
          </w:p>
        </w:tc>
        <w:tc>
          <w:tcPr>
            <w:tcW w:w="83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27"/>
        </w:trPr>
        <w:tc>
          <w:tcPr>
            <w:tcW w:w="1620" w:type="dxa"/>
            <w:vAlign w:val="bottom"/>
            <w:gridSpan w:val="5"/>
          </w:tcPr>
          <w:p>
            <w:pPr>
              <w:spacing w:after="0"/>
              <w:rPr>
                <w:sz w:val="20"/>
                <w:szCs w:val="20"/>
                <w:color w:val="auto"/>
              </w:rPr>
            </w:pPr>
            <w:r>
              <w:rPr>
                <w:rFonts w:ascii="Arial" w:cs="Arial" w:eastAsia="Arial" w:hAnsi="Arial"/>
                <w:sz w:val="18"/>
                <w:szCs w:val="18"/>
                <w:color w:val="auto"/>
              </w:rPr>
              <w:t>* Filed herewith</w:t>
            </w:r>
          </w:p>
        </w:tc>
        <w:tc>
          <w:tcPr>
            <w:tcW w:w="2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2022</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ind w:left="40"/>
        <w:spacing w:after="0" w:line="203" w:lineRule="auto"/>
        <w:rPr>
          <w:sz w:val="20"/>
          <w:szCs w:val="20"/>
          <w:color w:val="auto"/>
        </w:rPr>
      </w:pPr>
      <w:r>
        <w:rPr>
          <w:rFonts w:ascii="Arial" w:cs="Arial" w:eastAsia="Arial" w:hAnsi="Arial"/>
          <w:sz w:val="18"/>
          <w:szCs w:val="18"/>
          <w:color w:val="auto"/>
        </w:rPr>
        <w:t>President and Chief Executive Officer</w:t>
      </w: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2022</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ind w:left="40"/>
        <w:spacing w:after="0" w:line="203" w:lineRule="auto"/>
        <w:rPr>
          <w:sz w:val="20"/>
          <w:szCs w:val="20"/>
          <w:color w:val="auto"/>
        </w:rPr>
      </w:pPr>
      <w:r>
        <w:rPr>
          <w:rFonts w:ascii="Arial" w:cs="Arial" w:eastAsia="Arial" w:hAnsi="Arial"/>
          <w:sz w:val="18"/>
          <w:szCs w:val="18"/>
          <w:color w:val="auto"/>
        </w:rPr>
        <w:t>Senior Vice President - Chief Financial Officer and Treasurer</w:t>
      </w: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hereby certify that the accompanying Quarterly Report on Form 10-Q of Quanex Building Products Corporation for the quarter ended July 31, 2022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September 2, 2022</w:t>
            </w:r>
          </w:p>
        </w:tc>
        <w:tc>
          <w:tcPr>
            <w:tcW w:w="5400" w:type="dxa"/>
            <w:vAlign w:val="bottom"/>
          </w:tcPr>
          <w:p>
            <w:pPr>
              <w:spacing w:after="0"/>
              <w:rPr>
                <w:sz w:val="20"/>
                <w:szCs w:val="20"/>
                <w:color w:val="auto"/>
              </w:rPr>
            </w:pPr>
          </w:p>
        </w:tc>
      </w:tr>
      <w:tr>
        <w:trPr>
          <w:trHeight w:val="513"/>
        </w:trPr>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 George L. Wilson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Scott M. Zuehlke</w:t>
            </w:r>
          </w:p>
        </w:tc>
      </w:tr>
      <w:tr>
        <w:trPr>
          <w:trHeight w:val="188"/>
        </w:trPr>
        <w:tc>
          <w:tcPr>
            <w:tcW w:w="5840" w:type="dxa"/>
            <w:vAlign w:val="bottom"/>
            <w:gridSpan w:val="2"/>
          </w:tcPr>
          <w:p>
            <w:pPr>
              <w:jc w:val="center"/>
              <w:ind w:right="420"/>
              <w:spacing w:after="0" w:line="189" w:lineRule="exact"/>
              <w:rPr>
                <w:sz w:val="20"/>
                <w:szCs w:val="20"/>
                <w:color w:val="auto"/>
              </w:rPr>
            </w:pPr>
            <w:r>
              <w:rPr>
                <w:rFonts w:ascii="Arial" w:cs="Arial" w:eastAsia="Arial" w:hAnsi="Arial"/>
                <w:sz w:val="18"/>
                <w:szCs w:val="18"/>
                <w:i w:val="1"/>
                <w:iCs w:val="1"/>
                <w:color w:val="auto"/>
                <w:w w:val="91"/>
              </w:rPr>
              <w:t>President and Chief Executive Officer</w:t>
            </w:r>
          </w:p>
        </w:tc>
        <w:tc>
          <w:tcPr>
            <w:tcW w:w="5400" w:type="dxa"/>
            <w:vAlign w:val="bottom"/>
          </w:tcPr>
          <w:p>
            <w:pPr>
              <w:jc w:val="center"/>
              <w:spacing w:after="0" w:line="189" w:lineRule="exact"/>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4"/>
              </w:rPr>
              <w:t>(Principal Executive Officer)</w:t>
            </w: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2" Type="http://schemas.openxmlformats.org/officeDocument/2006/relationships/hyperlink" Target="http://www.sec.gov/Archives/edgar/data/1423221/000119312516495257/d156158dex31.htm" TargetMode="External"/><Relationship Id="rId63" Type="http://schemas.openxmlformats.org/officeDocument/2006/relationships/hyperlink" Target="http://www.sec.gov/Archives/edgar/data/1423221/000142322120000005/nx01312020ex32.htm" TargetMode="External"/><Relationship Id="rId64" Type="http://schemas.openxmlformats.org/officeDocument/2006/relationships/hyperlink" Target="http://www.sec.gov/Archives/edgar/data/1423221/000095012908000988/h52992a1exv4w1.htm" TargetMode="External"/><Relationship Id="rId65" Type="http://schemas.openxmlformats.org/officeDocument/2006/relationships/hyperlink" Target="http://www.sec.gov/Archives/edgar/data/1423221/000110465922077705/tm222047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2022-09-02T15:11:10Z</dcterms:created>
  <dcterms:modified xsi:type="dcterms:W3CDTF">2022-09-02T15:11:10Z</dcterms:modified>
</cp:coreProperties>
</file>