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125"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30, 2021</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11"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QUANEX BUILDING PRODUCTS CORPORATION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130" w:lineRule="exact"/>
        <w:rPr>
          <w:sz w:val="24"/>
          <w:szCs w:val="24"/>
          <w:color w:val="auto"/>
        </w:rPr>
      </w:pPr>
    </w:p>
    <w:tbl>
      <w:tblPr>
        <w:tblLayout w:type="fixed"/>
        <w:tblInd w:w="1860" w:type="dxa"/>
        <w:tblCellMar>
          <w:top w:w="0" w:type="dxa"/>
          <w:left w:w="0" w:type="dxa"/>
          <w:bottom w:w="0" w:type="dxa"/>
          <w:right w:w="0" w:type="dxa"/>
        </w:tblCellMar>
      </w:tblPr>
      <w:tr>
        <w:trPr>
          <w:trHeight w:val="207"/>
        </w:trPr>
        <w:tc>
          <w:tcPr>
            <w:tcW w:w="3940" w:type="dxa"/>
            <w:vAlign w:val="bottom"/>
          </w:tcPr>
          <w:p>
            <w:pPr>
              <w:jc w:val="center"/>
              <w:ind w:right="2005"/>
              <w:spacing w:after="0"/>
              <w:rPr>
                <w:sz w:val="20"/>
                <w:szCs w:val="20"/>
                <w:color w:val="auto"/>
              </w:rPr>
            </w:pPr>
            <w:r>
              <w:rPr>
                <w:rFonts w:ascii="Arial" w:cs="Arial" w:eastAsia="Arial" w:hAnsi="Arial"/>
                <w:sz w:val="16"/>
                <w:szCs w:val="16"/>
                <w:b w:val="1"/>
                <w:bCs w:val="1"/>
                <w:color w:val="auto"/>
                <w:w w:val="93"/>
              </w:rPr>
              <w:t>Delaware</w:t>
            </w:r>
          </w:p>
        </w:tc>
        <w:tc>
          <w:tcPr>
            <w:tcW w:w="3200" w:type="dxa"/>
            <w:vAlign w:val="bottom"/>
          </w:tcPr>
          <w:p>
            <w:pPr>
              <w:jc w:val="center"/>
              <w:ind w:left="2025"/>
              <w:spacing w:after="0"/>
              <w:rPr>
                <w:sz w:val="20"/>
                <w:szCs w:val="20"/>
                <w:color w:val="auto"/>
              </w:rPr>
            </w:pPr>
            <w:r>
              <w:rPr>
                <w:rFonts w:ascii="Arial" w:cs="Arial" w:eastAsia="Arial" w:hAnsi="Arial"/>
                <w:sz w:val="16"/>
                <w:szCs w:val="16"/>
                <w:b w:val="1"/>
                <w:bCs w:val="1"/>
                <w:color w:val="auto"/>
                <w:w w:val="91"/>
              </w:rPr>
              <w:t>26-1561397</w:t>
            </w:r>
          </w:p>
        </w:tc>
      </w:tr>
      <w:tr>
        <w:trPr>
          <w:trHeight w:val="144"/>
        </w:trPr>
        <w:tc>
          <w:tcPr>
            <w:tcW w:w="3940" w:type="dxa"/>
            <w:vAlign w:val="bottom"/>
          </w:tcPr>
          <w:p>
            <w:pPr>
              <w:jc w:val="center"/>
              <w:ind w:right="2005"/>
              <w:spacing w:after="0" w:line="145" w:lineRule="exact"/>
              <w:rPr>
                <w:sz w:val="20"/>
                <w:szCs w:val="20"/>
                <w:color w:val="auto"/>
              </w:rPr>
            </w:pPr>
            <w:r>
              <w:rPr>
                <w:rFonts w:ascii="Arial" w:cs="Arial" w:eastAsia="Arial" w:hAnsi="Arial"/>
                <w:sz w:val="14"/>
                <w:szCs w:val="14"/>
                <w:b w:val="1"/>
                <w:bCs w:val="1"/>
                <w:color w:val="auto"/>
                <w:w w:val="92"/>
              </w:rPr>
              <w:t>(State or other jurisdiction of</w:t>
            </w:r>
          </w:p>
        </w:tc>
        <w:tc>
          <w:tcPr>
            <w:tcW w:w="3200" w:type="dxa"/>
            <w:vAlign w:val="bottom"/>
          </w:tcPr>
          <w:p>
            <w:pPr>
              <w:jc w:val="center"/>
              <w:ind w:left="2005"/>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2005"/>
              <w:spacing w:after="0"/>
              <w:rPr>
                <w:sz w:val="20"/>
                <w:szCs w:val="20"/>
                <w:color w:val="auto"/>
              </w:rPr>
            </w:pPr>
            <w:r>
              <w:rPr>
                <w:rFonts w:ascii="Arial" w:cs="Arial" w:eastAsia="Arial" w:hAnsi="Arial"/>
                <w:sz w:val="14"/>
                <w:szCs w:val="14"/>
                <w:b w:val="1"/>
                <w:bCs w:val="1"/>
                <w:color w:val="auto"/>
                <w:w w:val="93"/>
              </w:rPr>
              <w:t>incorporation or organization)</w:t>
            </w:r>
          </w:p>
        </w:tc>
        <w:tc>
          <w:tcPr>
            <w:tcW w:w="3200" w:type="dxa"/>
            <w:vAlign w:val="bottom"/>
          </w:tcPr>
          <w:p>
            <w:pPr>
              <w:jc w:val="center"/>
              <w:ind w:left="200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1800 West Loop South, Suite 1500, Houston, Texas 77027</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(713) 961-4600</w:t>
      </w:r>
    </w:p>
    <w:p>
      <w:pPr>
        <w:spacing w:after="0" w:line="8"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8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50"/>
        </w:trPr>
        <w:tc>
          <w:tcPr>
            <w:tcW w:w="388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Common Stock, par value $0.01 per share</w:t>
            </w:r>
          </w:p>
        </w:tc>
        <w:tc>
          <w:tcPr>
            <w:tcW w:w="860" w:type="dxa"/>
            <w:vAlign w:val="bottom"/>
          </w:tcPr>
          <w:p>
            <w:pPr>
              <w:spacing w:after="0"/>
              <w:rPr>
                <w:sz w:val="21"/>
                <w:szCs w:val="21"/>
                <w:color w:val="auto"/>
              </w:rPr>
            </w:pPr>
          </w:p>
        </w:tc>
        <w:tc>
          <w:tcPr>
            <w:tcW w:w="2780" w:type="dxa"/>
            <w:vAlign w:val="bottom"/>
            <w:gridSpan w:val="2"/>
          </w:tcPr>
          <w:p>
            <w:pPr>
              <w:jc w:val="center"/>
              <w:ind w:right="1640"/>
              <w:spacing w:after="0"/>
              <w:rPr>
                <w:sz w:val="20"/>
                <w:szCs w:val="20"/>
                <w:color w:val="auto"/>
              </w:rPr>
            </w:pPr>
            <w:r>
              <w:rPr>
                <w:rFonts w:ascii="Arial" w:cs="Arial" w:eastAsia="Arial" w:hAnsi="Arial"/>
                <w:sz w:val="18"/>
                <w:szCs w:val="18"/>
                <w:color w:val="auto"/>
              </w:rPr>
              <w:t>NX</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87" w:right="339" w:bottom="1440" w:gutter="0" w:footer="0" w:header="0"/>
        </w:sectPr>
      </w:pPr>
    </w:p>
    <w:p>
      <w:pPr>
        <w:spacing w:after="0" w:line="70"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p>
    <w:p>
      <w:pPr>
        <w:spacing w:after="0" w:line="65"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6"/>
          <w:szCs w:val="16"/>
          <w:color w:val="auto"/>
        </w:rPr>
        <w:t>Smaller reporting company</w:t>
      </w:r>
    </w:p>
    <w:p>
      <w:pPr>
        <w:spacing w:after="0" w:line="2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Emerging growth company</w:t>
      </w:r>
    </w:p>
    <w:p>
      <w:pPr>
        <w:spacing w:after="0" w:line="7" w:lineRule="exact"/>
        <w:rPr>
          <w:sz w:val="24"/>
          <w:szCs w:val="24"/>
          <w:color w:val="auto"/>
        </w:rPr>
      </w:pPr>
    </w:p>
    <w:p>
      <w:pPr>
        <w:ind w:left="40"/>
        <w:spacing w:after="0" w:line="23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49" w:lineRule="exact"/>
        <w:rPr>
          <w:sz w:val="24"/>
          <w:szCs w:val="24"/>
          <w:color w:val="auto"/>
        </w:rPr>
      </w:pPr>
    </w:p>
    <w:p>
      <w:pPr>
        <w:ind w:right="1260"/>
        <w:spacing w:after="0" w:line="25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as of May 31, 2021 was 33,596,045.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40" w:space="140"/>
            <w:col w:w="360"/>
          </w:cols>
          <w:pgMar w:left="320" w:top="78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880" w:type="dxa"/>
            <w:vAlign w:val="bottom"/>
            <w:gridSpan w:val="7"/>
          </w:tcPr>
          <w:p>
            <w:pPr>
              <w:ind w:left="2380"/>
              <w:spacing w:after="0"/>
              <w:rPr>
                <w:sz w:val="20"/>
                <w:szCs w:val="20"/>
                <w:color w:val="auto"/>
              </w:rPr>
            </w:pPr>
            <w:r>
              <w:rPr>
                <w:rFonts w:ascii="Arial" w:cs="Arial" w:eastAsia="Arial" w:hAnsi="Arial"/>
                <w:sz w:val="18"/>
                <w:szCs w:val="18"/>
                <w:b w:val="1"/>
                <w:bCs w:val="1"/>
                <w:color w:val="auto"/>
              </w:rPr>
              <w:t>QUANEX BUILDING PRODUCTS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9880" w:type="dxa"/>
            <w:vAlign w:val="bottom"/>
            <w:gridSpan w:val="7"/>
          </w:tcPr>
          <w:p>
            <w:pPr>
              <w:ind w:left="4180"/>
              <w:spacing w:after="0"/>
              <w:rPr>
                <w:sz w:val="20"/>
                <w:szCs w:val="20"/>
                <w:color w:val="auto"/>
              </w:rPr>
            </w:pPr>
            <w:r>
              <w:rPr>
                <w:rFonts w:ascii="Arial" w:cs="Arial" w:eastAsia="Arial" w:hAnsi="Arial"/>
                <w:sz w:val="18"/>
                <w:szCs w:val="18"/>
                <w:b w:val="1"/>
                <w:bCs w:val="1"/>
                <w:color w:val="auto"/>
              </w:rPr>
              <w:t>INDEX</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ind w:left="20"/>
              <w:spacing w:after="0"/>
              <w:rPr>
                <w:sz w:val="20"/>
                <w:szCs w:val="20"/>
                <w:color w:val="auto"/>
              </w:rPr>
            </w:pPr>
            <w:r>
              <w:rPr>
                <w:rFonts w:ascii="Arial" w:cs="Arial" w:eastAsia="Arial" w:hAnsi="Arial"/>
                <w:sz w:val="18"/>
                <w:szCs w:val="18"/>
                <w:color w:val="auto"/>
              </w:rPr>
              <w:t>PART I.</w:t>
            </w:r>
          </w:p>
        </w:tc>
        <w:tc>
          <w:tcPr>
            <w:tcW w:w="9880" w:type="dxa"/>
            <w:vAlign w:val="bottom"/>
            <w:gridSpan w:val="7"/>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8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Item 1:</w:t>
            </w:r>
          </w:p>
        </w:tc>
        <w:tc>
          <w:tcPr>
            <w:tcW w:w="98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Financial Statements (Unaudited)</w:t>
            </w: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vMerge w:val="continue"/>
          </w:tcPr>
          <w:p>
            <w:pPr>
              <w:spacing w:after="0"/>
              <w:rPr>
                <w:sz w:val="24"/>
                <w:szCs w:val="24"/>
                <w:color w:val="auto"/>
              </w:rPr>
            </w:pPr>
          </w:p>
        </w:tc>
        <w:tc>
          <w:tcPr>
            <w:tcW w:w="9880" w:type="dxa"/>
            <w:vAlign w:val="bottom"/>
            <w:gridSpan w:val="7"/>
            <w:vMerge w:val="continue"/>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5780" w:type="dxa"/>
            <w:vAlign w:val="bottom"/>
            <w:gridSpan w:val="2"/>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 xml:space="preserve">Condensed Consolidated Balance Sheets – </w:t>
              </w:r>
            </w:hyperlink>
            <w:r>
              <w:rPr>
                <w:rFonts w:ascii="Arial" w:cs="Arial" w:eastAsia="Arial" w:hAnsi="Arial"/>
                <w:sz w:val="18"/>
                <w:szCs w:val="18"/>
                <w:color w:val="0000FF"/>
                <w:w w:val="89"/>
              </w:rPr>
              <w:t>April 30, 2021 and October 31, 2020</w:t>
            </w:r>
          </w:p>
        </w:tc>
        <w:tc>
          <w:tcPr>
            <w:tcW w:w="4100" w:type="dxa"/>
            <w:vAlign w:val="bottom"/>
            <w:gridSpan w:val="5"/>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Income – Three </w:t>
              </w:r>
            </w:hyperlink>
            <w:r>
              <w:rPr>
                <w:rFonts w:ascii="Arial" w:cs="Arial" w:eastAsia="Arial" w:hAnsi="Arial"/>
                <w:sz w:val="18"/>
                <w:szCs w:val="18"/>
                <w:color w:val="0000FF"/>
              </w:rPr>
              <w:t>and Six Months Ended April 30, 2021 and 2020</w:t>
            </w:r>
          </w:p>
        </w:tc>
        <w:tc>
          <w:tcPr>
            <w:tcW w:w="1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 Three and Six Months Ended April 30, 2021 and 2020</w:t>
              </w:r>
            </w:hyperlink>
          </w:p>
        </w:tc>
        <w:tc>
          <w:tcPr>
            <w:tcW w:w="18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8640" w:type="dxa"/>
            <w:vAlign w:val="bottom"/>
            <w:gridSpan w:val="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Cash Flows – </w:t>
              </w:r>
            </w:hyperlink>
            <w:r>
              <w:rPr>
                <w:rFonts w:ascii="Arial" w:cs="Arial" w:eastAsia="Arial" w:hAnsi="Arial"/>
                <w:sz w:val="18"/>
                <w:szCs w:val="18"/>
                <w:color w:val="0000FF"/>
              </w:rPr>
              <w:t>Six Months Ended April 30, 2021 and 2020</w:t>
            </w:r>
          </w:p>
        </w:tc>
        <w:tc>
          <w:tcPr>
            <w:tcW w:w="1240" w:type="dxa"/>
            <w:vAlign w:val="bottom"/>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660" w:type="dxa"/>
            <w:vAlign w:val="bottom"/>
            <w:gridSpan w:val="5"/>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 xml:space="preserve">Condensed Consolidated Statement of Stockholders’ Equity – </w:t>
              </w:r>
            </w:hyperlink>
            <w:r>
              <w:rPr>
                <w:rFonts w:ascii="Arial" w:cs="Arial" w:eastAsia="Arial" w:hAnsi="Arial"/>
                <w:sz w:val="18"/>
                <w:szCs w:val="18"/>
                <w:color w:val="0000FF"/>
                <w:w w:val="91"/>
              </w:rPr>
              <w:t>Six Months Ended April 30, 2021 and 2020</w:t>
            </w:r>
          </w:p>
        </w:tc>
        <w:tc>
          <w:tcPr>
            <w:tcW w:w="2220" w:type="dxa"/>
            <w:vAlign w:val="bottom"/>
            <w:gridSpan w:val="2"/>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660" w:type="dxa"/>
            <w:vAlign w:val="bottom"/>
            <w:gridSpan w:val="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Unaudited Condensed Consolidated Financial Statements</w:t>
              </w:r>
            </w:hyperlink>
          </w:p>
        </w:tc>
        <w:tc>
          <w:tcPr>
            <w:tcW w:w="2220" w:type="dxa"/>
            <w:vAlign w:val="bottom"/>
            <w:gridSpan w:val="2"/>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2:</w:t>
            </w:r>
          </w:p>
        </w:tc>
        <w:tc>
          <w:tcPr>
            <w:tcW w:w="9880" w:type="dxa"/>
            <w:vAlign w:val="bottom"/>
            <w:gridSpan w:val="7"/>
          </w:tcPr>
          <w:p>
            <w:pPr>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Management’s Discussion and Analysis of Financial Condition and Results of Operations</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3:</w:t>
            </w:r>
          </w:p>
        </w:tc>
        <w:tc>
          <w:tcPr>
            <w:tcW w:w="9880" w:type="dxa"/>
            <w:vAlign w:val="bottom"/>
            <w:gridSpan w:val="7"/>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Quantitative and Qualitative Disclosures About Market Risk</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4:</w:t>
            </w:r>
          </w:p>
        </w:tc>
        <w:tc>
          <w:tcPr>
            <w:tcW w:w="9880" w:type="dxa"/>
            <w:vAlign w:val="bottom"/>
            <w:gridSpan w:val="7"/>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Controls and Procedures</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20"/>
              <w:spacing w:after="0"/>
              <w:rPr>
                <w:sz w:val="20"/>
                <w:szCs w:val="20"/>
                <w:color w:val="auto"/>
              </w:rPr>
            </w:pPr>
            <w:r>
              <w:rPr>
                <w:rFonts w:ascii="Arial" w:cs="Arial" w:eastAsia="Arial" w:hAnsi="Arial"/>
                <w:sz w:val="18"/>
                <w:szCs w:val="18"/>
                <w:color w:val="auto"/>
              </w:rPr>
              <w:t>PART II.</w:t>
            </w:r>
          </w:p>
        </w:tc>
        <w:tc>
          <w:tcPr>
            <w:tcW w:w="9880" w:type="dxa"/>
            <w:vAlign w:val="bottom"/>
            <w:gridSpan w:val="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OTHER INFORMATION</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2:</w:t>
            </w:r>
          </w:p>
        </w:tc>
        <w:tc>
          <w:tcPr>
            <w:tcW w:w="9880" w:type="dxa"/>
            <w:vAlign w:val="bottom"/>
            <w:gridSpan w:val="7"/>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Unregistered Sales of Equity Securities and Use of Proceeds</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6:</w:t>
            </w:r>
          </w:p>
        </w:tc>
        <w:tc>
          <w:tcPr>
            <w:tcW w:w="9880" w:type="dxa"/>
            <w:vAlign w:val="bottom"/>
            <w:gridSpan w:val="7"/>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Exhibits</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8"/>
        </w:trPr>
        <w:tc>
          <w:tcPr>
            <w:tcW w:w="116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`QUANEX BUILDING PRODUCTS CORPORATION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4"/>
                <w:szCs w:val="14"/>
                <w:color w:val="auto"/>
              </w:rPr>
            </w:pPr>
          </w:p>
        </w:tc>
        <w:tc>
          <w:tcPr>
            <w:tcW w:w="980" w:type="dxa"/>
            <w:vAlign w:val="bottom"/>
          </w:tcPr>
          <w:p>
            <w:pPr>
              <w:jc w:val="right"/>
              <w:ind w:right="151"/>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0"/>
        </w:trPr>
        <w:tc>
          <w:tcPr>
            <w:tcW w:w="8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gridSpan w:val="4"/>
          </w:tcPr>
          <w:p>
            <w:pPr>
              <w:jc w:val="right"/>
              <w:ind w:right="371"/>
              <w:spacing w:after="0" w:line="130" w:lineRule="exact"/>
              <w:rPr>
                <w:sz w:val="20"/>
                <w:szCs w:val="20"/>
                <w:color w:val="auto"/>
              </w:rPr>
            </w:pPr>
            <w:r>
              <w:rPr>
                <w:rFonts w:ascii="Arial" w:cs="Arial" w:eastAsia="Arial" w:hAnsi="Arial"/>
                <w:sz w:val="14"/>
                <w:szCs w:val="14"/>
                <w:b w:val="1"/>
                <w:bCs w:val="1"/>
                <w:color w:val="auto"/>
              </w:rPr>
              <w:t>(In thousands, except share</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64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51,621</w:t>
            </w:r>
          </w:p>
        </w:tc>
        <w:tc>
          <w:tcPr>
            <w:tcW w:w="0" w:type="dxa"/>
            <w:vAlign w:val="bottom"/>
          </w:tcPr>
          <w:p>
            <w:pPr>
              <w:spacing w:after="0"/>
              <w:rPr>
                <w:sz w:val="1"/>
                <w:szCs w:val="1"/>
                <w:color w:val="auto"/>
              </w:rPr>
            </w:pPr>
          </w:p>
        </w:tc>
      </w:tr>
      <w:tr>
        <w:trPr>
          <w:trHeight w:val="229"/>
        </w:trPr>
        <w:tc>
          <w:tcPr>
            <w:tcW w:w="8640" w:type="dxa"/>
            <w:vAlign w:val="bottom"/>
          </w:tcPr>
          <w:p>
            <w:pPr>
              <w:ind w:left="340"/>
              <w:spacing w:after="0"/>
              <w:rPr>
                <w:sz w:val="20"/>
                <w:szCs w:val="20"/>
                <w:color w:val="auto"/>
              </w:rPr>
            </w:pPr>
            <w:r>
              <w:rPr>
                <w:rFonts w:ascii="Arial" w:cs="Arial" w:eastAsia="Arial" w:hAnsi="Arial"/>
                <w:sz w:val="18"/>
                <w:szCs w:val="18"/>
                <w:color w:val="auto"/>
              </w:rPr>
              <w:t>Accounts receivable, net of allowance for credit losses of $133 and $161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96,521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88,287</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61,181</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8,361</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234,505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207,306</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Property, plant and equipment, net of accumulated depreciation of $344,395 and $340,144</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178,466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184,104</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51,824</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150,302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146,154</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93,068</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7,025</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9,129</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715,572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691,585</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83,081</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77,335</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38,289</w:t>
            </w:r>
          </w:p>
        </w:tc>
        <w:tc>
          <w:tcPr>
            <w:tcW w:w="0" w:type="dxa"/>
            <w:vAlign w:val="bottom"/>
          </w:tcPr>
          <w:p>
            <w:pPr>
              <w:spacing w:after="0"/>
              <w:rPr>
                <w:sz w:val="1"/>
                <w:szCs w:val="1"/>
                <w:color w:val="auto"/>
              </w:rPr>
            </w:pPr>
          </w:p>
        </w:tc>
      </w:tr>
      <w:tr>
        <w:trPr>
          <w:trHeight w:val="230"/>
        </w:trPr>
        <w:tc>
          <w:tcPr>
            <w:tcW w:w="864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8,226</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135,722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130,240</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87,195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116,728</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44,873</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Deferred pension and postretirement benefits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10,923</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19,116</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13,946</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320,475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335,826</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340"/>
              <w:spacing w:after="0"/>
              <w:rPr>
                <w:sz w:val="20"/>
                <w:szCs w:val="20"/>
                <w:color w:val="auto"/>
              </w:rPr>
            </w:pPr>
            <w:r>
              <w:rPr>
                <w:rFonts w:ascii="Arial" w:cs="Arial" w:eastAsia="Arial" w:hAnsi="Arial"/>
                <w:sz w:val="18"/>
                <w:szCs w:val="18"/>
                <w:color w:val="auto"/>
              </w:rPr>
              <w:t>Preferred stock, no par value, shares authorized 1,000,000; issued and outstanding - none</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6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1"/>
              </w:rPr>
              <w:t>Common stock, $0.01 par value, shares authorized 125,000,000; issued 37,273,510 and 37,296,166, respectively;</w:t>
            </w: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33,588,545 and 32,804,737, respectively</w:t>
            </w:r>
          </w:p>
        </w:tc>
        <w:tc>
          <w:tcPr>
            <w:tcW w:w="2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253,147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253,458</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230,590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213,517</w:t>
            </w:r>
          </w:p>
        </w:tc>
        <w:tc>
          <w:tcPr>
            <w:tcW w:w="0" w:type="dxa"/>
            <w:vAlign w:val="bottom"/>
          </w:tcPr>
          <w:p>
            <w:pPr>
              <w:spacing w:after="0"/>
              <w:rPr>
                <w:sz w:val="1"/>
                <w:szCs w:val="1"/>
                <w:color w:val="auto"/>
              </w:rPr>
            </w:pPr>
          </w:p>
        </w:tc>
      </w:tr>
      <w:tr>
        <w:trPr>
          <w:trHeight w:val="230"/>
        </w:trPr>
        <w:tc>
          <w:tcPr>
            <w:tcW w:w="86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(23,392)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(33,024)</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Treasury stock at cost, 3,684,965 and 4,491,429 shares,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(78,565)</w:t>
            </w: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395,097</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355,759</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715,572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691,585</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6"/>
                <w:szCs w:val="16"/>
                <w:color w:val="auto"/>
              </w:rPr>
            </w:pPr>
          </w:p>
        </w:tc>
        <w:tc>
          <w:tcPr>
            <w:tcW w:w="23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5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4"/>
                <w:szCs w:val="14"/>
                <w:b w:val="1"/>
                <w:bCs w:val="1"/>
                <w:color w:val="auto"/>
                <w:w w:val="97"/>
              </w:rPr>
              <w:t>April 30,</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April 30,</w:t>
            </w:r>
          </w:p>
        </w:tc>
        <w:tc>
          <w:tcPr>
            <w:tcW w:w="880" w:type="dxa"/>
            <w:vAlign w:val="bottom"/>
            <w:tcBorders>
              <w:bottom w:val="single" w:sz="8" w:color="auto"/>
            </w:tcBorders>
          </w:tcPr>
          <w:p>
            <w:pPr>
              <w:spacing w:after="0"/>
              <w:rPr>
                <w:sz w:val="16"/>
                <w:szCs w:val="16"/>
                <w:color w:val="auto"/>
              </w:rPr>
            </w:pPr>
          </w:p>
        </w:tc>
      </w:tr>
      <w:tr>
        <w:trPr>
          <w:trHeight w:val="187"/>
        </w:trPr>
        <w:tc>
          <w:tcPr>
            <w:tcW w:w="5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183"/>
        </w:trPr>
        <w:tc>
          <w:tcPr>
            <w:tcW w:w="5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(In thousands, except per share amounts)</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1"/>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270,357</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187,475</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500,504</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384,072</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Cost and expenses: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208,460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149,732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384,857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307,159</w:t>
            </w:r>
          </w:p>
        </w:tc>
      </w:tr>
      <w:tr>
        <w:trPr>
          <w:trHeight w:val="229"/>
        </w:trPr>
        <w:tc>
          <w:tcPr>
            <w:tcW w:w="58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29,672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16,713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60,533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40,845</w:t>
            </w: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21,860</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24,791</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33,215</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r>
      <w:tr>
        <w:trPr>
          <w:trHeight w:val="230"/>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21,005</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(9,878)</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70"/>
        </w:trPr>
        <w:tc>
          <w:tcPr>
            <w:tcW w:w="5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70"/>
        </w:trPr>
        <w:tc>
          <w:tcPr>
            <w:tcW w:w="5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880" w:type="dxa"/>
            <w:vAlign w:val="bottom"/>
          </w:tcPr>
          <w:p>
            <w:pPr>
              <w:ind w:left="5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33,355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32,676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33,110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32,770</w:t>
            </w:r>
          </w:p>
        </w:tc>
      </w:tr>
      <w:tr>
        <w:trPr>
          <w:trHeight w:val="230"/>
        </w:trPr>
        <w:tc>
          <w:tcPr>
            <w:tcW w:w="5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32,793</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32,907</w:t>
            </w:r>
          </w:p>
        </w:tc>
      </w:tr>
      <w:tr>
        <w:trPr>
          <w:trHeight w:val="270"/>
        </w:trPr>
        <w:tc>
          <w:tcPr>
            <w:tcW w:w="5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per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COMPREHENSIVE INCOME (LOSS)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20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6"/>
                <w:szCs w:val="16"/>
                <w:color w:val="auto"/>
              </w:rPr>
            </w:pPr>
          </w:p>
        </w:tc>
      </w:tr>
      <w:tr>
        <w:trPr>
          <w:trHeight w:val="187"/>
        </w:trPr>
        <w:tc>
          <w:tcPr>
            <w:tcW w:w="6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r>
      <w:tr>
        <w:trPr>
          <w:trHeight w:val="183"/>
        </w:trPr>
        <w:tc>
          <w:tcPr>
            <w:tcW w:w="6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i w:val="1"/>
                <w:iCs w:val="1"/>
                <w:color w:val="auto"/>
              </w:rPr>
              <w:t>Other comprehensive income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Change in pension from net unamortized gain adjustment (pretax)</w:t>
            </w:r>
          </w:p>
        </w:tc>
        <w:tc>
          <w:tcPr>
            <w:tcW w:w="2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2,519</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pension from net unamortized gain adjustment tax expense</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2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(6,999)</w:t>
            </w:r>
          </w:p>
        </w:tc>
        <w:tc>
          <w:tcPr>
            <w:tcW w:w="14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9,632</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w:t>
            </w: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93"/>
              </w:rPr>
              <w:t>Six Months Ended</w:t>
            </w:r>
          </w:p>
        </w:tc>
        <w:tc>
          <w:tcPr>
            <w:tcW w:w="760" w:type="dxa"/>
            <w:vAlign w:val="bottom"/>
          </w:tcPr>
          <w:p>
            <w:pPr>
              <w:spacing w:after="0"/>
              <w:rPr>
                <w:sz w:val="16"/>
                <w:szCs w:val="16"/>
                <w:color w:val="auto"/>
              </w:rPr>
            </w:pPr>
          </w:p>
        </w:tc>
      </w:tr>
      <w:tr>
        <w:trPr>
          <w:trHeight w:val="195"/>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b w:val="1"/>
                <w:bCs w:val="1"/>
                <w:color w:val="auto"/>
                <w:w w:val="97"/>
              </w:rPr>
              <w:t>April 30,</w:t>
            </w:r>
          </w:p>
        </w:tc>
        <w:tc>
          <w:tcPr>
            <w:tcW w:w="760" w:type="dxa"/>
            <w:vAlign w:val="bottom"/>
            <w:tcBorders>
              <w:bottom w:val="single" w:sz="8" w:color="auto"/>
            </w:tcBorders>
          </w:tcPr>
          <w:p>
            <w:pPr>
              <w:spacing w:after="0"/>
              <w:rPr>
                <w:sz w:val="16"/>
                <w:szCs w:val="16"/>
                <w:color w:val="auto"/>
              </w:rPr>
            </w:pPr>
          </w:p>
        </w:tc>
      </w:tr>
      <w:tr>
        <w:trPr>
          <w:trHeight w:val="187"/>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8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5"/>
                <w:szCs w:val="15"/>
                <w:color w:val="auto"/>
              </w:rPr>
            </w:pPr>
          </w:p>
        </w:tc>
      </w:tr>
      <w:tr>
        <w:trPr>
          <w:trHeight w:val="231"/>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22,403</w:t>
            </w:r>
          </w:p>
        </w:tc>
        <w:tc>
          <w:tcPr>
            <w:tcW w:w="2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5,511</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cash (used for)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21,860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24,791</w:t>
            </w:r>
          </w:p>
        </w:tc>
      </w:tr>
      <w:tr>
        <w:trPr>
          <w:trHeight w:val="230"/>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Deferred income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1,194</w:t>
            </w:r>
          </w:p>
        </w:tc>
      </w:tr>
      <w:tr>
        <w:trPr>
          <w:trHeight w:val="229"/>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decrease in 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w:t>
            </w: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Increase in inventory</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(18,265)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(8,363)</w:t>
            </w:r>
          </w:p>
        </w:tc>
      </w:tr>
      <w:tr>
        <w:trPr>
          <w:trHeight w:val="230"/>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in other current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Increase (decrease) in accounts payable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5,584</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(16,807)</w:t>
            </w:r>
          </w:p>
        </w:tc>
      </w:tr>
      <w:tr>
        <w:trPr>
          <w:trHeight w:val="230"/>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(decrease) in accrued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(13,673)</w:t>
            </w: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Decrease in income taxes payable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29"/>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increase in deferred pension and postretirement benefits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30"/>
        </w:trPr>
        <w:tc>
          <w:tcPr>
            <w:tcW w:w="8560" w:type="dxa"/>
            <w:vAlign w:val="bottom"/>
          </w:tcPr>
          <w:p>
            <w:pPr>
              <w:ind w:left="480"/>
              <w:spacing w:after="0"/>
              <w:rPr>
                <w:sz w:val="20"/>
                <w:szCs w:val="20"/>
                <w:color w:val="auto"/>
              </w:rPr>
            </w:pPr>
            <w:r>
              <w:rPr>
                <w:rFonts w:ascii="Arial" w:cs="Arial" w:eastAsia="Arial" w:hAnsi="Arial"/>
                <w:sz w:val="18"/>
                <w:szCs w:val="18"/>
                <w:color w:val="auto"/>
              </w:rPr>
              <w:t>Increase (decrease) in other long-term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642</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29"/>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28,960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2,472</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(9,799)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(16,313)</w:t>
            </w: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disposition of capital assets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Cash used for investing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(8,134)</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(16,280)</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Borrowings under credit facilities</w:t>
            </w:r>
          </w:p>
        </w:tc>
        <w:tc>
          <w:tcPr>
            <w:tcW w:w="2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114,500</w:t>
            </w: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credit facility borrowings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w:t>
            </w: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Repayments of other 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29"/>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dividends paid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Issuance of common stock</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16,123</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2,954</w:t>
            </w: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tax paid to settle shares forfeited upon vesting of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30"/>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Purchase of treasury stock</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(6,693)</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for) provided by financing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(24,272)</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63,515</w:t>
            </w:r>
          </w:p>
        </w:tc>
      </w:tr>
      <w:tr>
        <w:trPr>
          <w:trHeight w:val="230"/>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increase in cash and cash equivalents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49,384</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51,621</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30,868</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49,258</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80,252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tcPr>
          <w:p>
            <w:pPr>
              <w:spacing w:after="0"/>
              <w:rPr>
                <w:sz w:val="14"/>
                <w:szCs w:val="14"/>
                <w:color w:val="auto"/>
              </w:rPr>
            </w:pPr>
          </w:p>
        </w:tc>
        <w:tc>
          <w:tcPr>
            <w:tcW w:w="12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vMerge w:val="continue"/>
          </w:tcPr>
          <w:p>
            <w:pPr>
              <w:spacing w:after="0"/>
              <w:rPr>
                <w:sz w:val="11"/>
                <w:szCs w:val="11"/>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Retained</w:t>
            </w: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vMerge w:val="restart"/>
          </w:tcPr>
          <w:p>
            <w:pPr>
              <w:spacing w:after="0"/>
              <w:rPr>
                <w:sz w:val="20"/>
                <w:szCs w:val="20"/>
                <w:color w:val="auto"/>
              </w:rPr>
            </w:pPr>
            <w:r>
              <w:rPr>
                <w:rFonts w:ascii="Arial" w:cs="Arial" w:eastAsia="Arial" w:hAnsi="Arial"/>
                <w:sz w:val="16"/>
                <w:szCs w:val="16"/>
                <w:b w:val="1"/>
                <w:bCs w:val="1"/>
                <w:color w:val="auto"/>
                <w:w w:val="92"/>
              </w:rPr>
              <w:t>Six Months Ended April 30, 2021</w:t>
            </w:r>
          </w:p>
        </w:tc>
        <w:tc>
          <w:tcPr>
            <w:tcW w:w="20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Paid-in</w:t>
            </w:r>
          </w:p>
        </w:tc>
        <w:tc>
          <w:tcPr>
            <w:tcW w:w="1040" w:type="dxa"/>
            <w:vAlign w:val="bottom"/>
            <w:vMerge w:val="continue"/>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vMerge w:val="continue"/>
          </w:tcPr>
          <w:p>
            <w:pPr>
              <w:spacing w:after="0"/>
              <w:rPr>
                <w:sz w:val="11"/>
                <w:szCs w:val="11"/>
                <w:color w:val="auto"/>
              </w:rPr>
            </w:pPr>
          </w:p>
        </w:tc>
        <w:tc>
          <w:tcPr>
            <w:tcW w:w="120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3"/>
        </w:trPr>
        <w:tc>
          <w:tcPr>
            <w:tcW w:w="2300" w:type="dxa"/>
            <w:vAlign w:val="bottom"/>
            <w:tcBorders>
              <w:bottom w:val="single" w:sz="8" w:color="auto"/>
            </w:tcBorders>
            <w:vMerge w:val="continue"/>
          </w:tcPr>
          <w:p>
            <w:pPr>
              <w:spacing w:after="0"/>
              <w:rPr>
                <w:sz w:val="12"/>
                <w:szCs w:val="12"/>
                <w:color w:val="auto"/>
              </w:rPr>
            </w:pPr>
          </w:p>
        </w:tc>
        <w:tc>
          <w:tcPr>
            <w:tcW w:w="20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Earnings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880"/>
        <w:spacing w:after="0"/>
        <w:rPr>
          <w:sz w:val="20"/>
          <w:szCs w:val="20"/>
          <w:color w:val="auto"/>
        </w:rPr>
      </w:pPr>
      <w:r>
        <w:rPr>
          <w:rFonts w:ascii="Arial" w:cs="Arial" w:eastAsia="Arial" w:hAnsi="Arial"/>
          <w:sz w:val="14"/>
          <w:szCs w:val="14"/>
          <w:b w:val="1"/>
          <w:bCs w:val="1"/>
          <w:color w:val="auto"/>
        </w:rPr>
        <w:t>(In thousands, no per share amounts shown except in verbiage)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October 31, 2020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355,759</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7,852</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Common dividends ($0.08 per share)</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(2,637)</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shares purchased, at cost</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Stock-based compensation activity:</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related to stock-based compensation</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Stock options exercised</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10,030</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awards granted</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Performance restricted stock units vested</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Balance at January 31, 2021</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252,277</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218,732</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(24,424)</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(69,250)</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377,708</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dividends ($0.08 per share)</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Purchase of treasury stock</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(2,041)</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Stock-based compensation activity:</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Expense related to stock-based compensation</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 exercised</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Balance at April 30, 2021</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253,147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230,590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(65,621)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395,097</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tcPr>
          <w:p>
            <w:pPr>
              <w:spacing w:after="0"/>
              <w:rPr>
                <w:sz w:val="14"/>
                <w:szCs w:val="14"/>
                <w:color w:val="auto"/>
              </w:rPr>
            </w:pPr>
          </w:p>
        </w:tc>
        <w:tc>
          <w:tcPr>
            <w:tcW w:w="12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vMerge w:val="continue"/>
          </w:tcPr>
          <w:p>
            <w:pPr>
              <w:spacing w:after="0"/>
              <w:rPr>
                <w:sz w:val="11"/>
                <w:szCs w:val="11"/>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Retained</w:t>
            </w: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vMerge w:val="restart"/>
          </w:tcPr>
          <w:p>
            <w:pPr>
              <w:spacing w:after="0"/>
              <w:rPr>
                <w:sz w:val="20"/>
                <w:szCs w:val="20"/>
                <w:color w:val="auto"/>
              </w:rPr>
            </w:pPr>
            <w:r>
              <w:rPr>
                <w:rFonts w:ascii="Arial" w:cs="Arial" w:eastAsia="Arial" w:hAnsi="Arial"/>
                <w:sz w:val="16"/>
                <w:szCs w:val="16"/>
                <w:b w:val="1"/>
                <w:bCs w:val="1"/>
                <w:color w:val="auto"/>
                <w:w w:val="92"/>
              </w:rPr>
              <w:t>Six Months Ended April 30, 2020</w:t>
            </w:r>
          </w:p>
        </w:tc>
        <w:tc>
          <w:tcPr>
            <w:tcW w:w="20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Paid-in</w:t>
            </w:r>
          </w:p>
        </w:tc>
        <w:tc>
          <w:tcPr>
            <w:tcW w:w="1040" w:type="dxa"/>
            <w:vAlign w:val="bottom"/>
            <w:vMerge w:val="continue"/>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vMerge w:val="continue"/>
          </w:tcPr>
          <w:p>
            <w:pPr>
              <w:spacing w:after="0"/>
              <w:rPr>
                <w:sz w:val="11"/>
                <w:szCs w:val="11"/>
                <w:color w:val="auto"/>
              </w:rPr>
            </w:pPr>
          </w:p>
        </w:tc>
        <w:tc>
          <w:tcPr>
            <w:tcW w:w="120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3"/>
        </w:trPr>
        <w:tc>
          <w:tcPr>
            <w:tcW w:w="2300" w:type="dxa"/>
            <w:vAlign w:val="bottom"/>
            <w:tcBorders>
              <w:bottom w:val="single" w:sz="8" w:color="auto"/>
            </w:tcBorders>
            <w:vMerge w:val="continue"/>
          </w:tcPr>
          <w:p>
            <w:pPr>
              <w:spacing w:after="0"/>
              <w:rPr>
                <w:sz w:val="12"/>
                <w:szCs w:val="12"/>
                <w:color w:val="auto"/>
              </w:rPr>
            </w:pPr>
          </w:p>
        </w:tc>
        <w:tc>
          <w:tcPr>
            <w:tcW w:w="20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Earnings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880"/>
        <w:spacing w:after="0"/>
        <w:rPr>
          <w:sz w:val="20"/>
          <w:szCs w:val="20"/>
          <w:color w:val="auto"/>
        </w:rPr>
      </w:pPr>
      <w:r>
        <w:rPr>
          <w:rFonts w:ascii="Arial" w:cs="Arial" w:eastAsia="Arial" w:hAnsi="Arial"/>
          <w:sz w:val="14"/>
          <w:szCs w:val="14"/>
          <w:b w:val="1"/>
          <w:bCs w:val="1"/>
          <w:color w:val="auto"/>
        </w:rPr>
        <w:t>(In thousands, no per share amounts shown except in verbiage)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October 31, 2019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330,187</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Common dividends ($0.08 per share)</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treasury stock</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line="176" w:lineRule="exact"/>
              <w:rPr>
                <w:sz w:val="20"/>
                <w:szCs w:val="20"/>
                <w:color w:val="auto"/>
              </w:rPr>
            </w:pPr>
            <w:r>
              <w:rPr>
                <w:rFonts w:ascii="Arial" w:cs="Arial" w:eastAsia="Arial" w:hAnsi="Arial"/>
                <w:sz w:val="18"/>
                <w:szCs w:val="18"/>
                <w:color w:val="auto"/>
                <w:w w:val="97"/>
              </w:rPr>
              <w:t>Change in pension from net unamortized loss (net of tax</w:t>
            </w:r>
          </w:p>
        </w:tc>
        <w:tc>
          <w:tcPr>
            <w:tcW w:w="38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1,910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expense of $609)</w:t>
            </w:r>
          </w:p>
        </w:tc>
        <w:tc>
          <w:tcPr>
            <w:tcW w:w="3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Stock-based compensation activity:</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 benefit</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 exercised</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Restricted stock awards granted</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share awards vested</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31, 2020</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252,495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(76,760)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329,933</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Common dividends ($0.08 per share)</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treasury stock</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Stock-based compensation activity:</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related to stock-based compensation</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Stock options exercised</w:t>
            </w:r>
          </w:p>
        </w:tc>
        <w:tc>
          <w:tcPr>
            <w:tcW w:w="3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awards granted</w:t>
            </w:r>
          </w:p>
        </w:tc>
        <w:tc>
          <w:tcPr>
            <w:tcW w:w="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Balance at April 30, 2020</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252,717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185,779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323,957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vinyl fencing, water retention barriers, and conservatory roof components. We have organized our business into three reportable business segments. For additional discussion of our reportable business segments, see Note 11,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2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16"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The accompanying interim unaudited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2020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2020.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1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generally expense incremental costs of obtaining a contract when incurred because the amortization period would be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do not disclose the value of unsatisfied performance obligations for contracts with an original expected length of one year or 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reflective of current and prospective discounts.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Deferred revenue, which is not significant, is recorded when we have remaining unsatisfied performance obligations for which we have received consideration.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summarizes our product sales for the three and six months ended April 30, 2021 and 2020 into groupings by segment which we believe depicts how the nature, amount, timing and uncertainty of our revenues and cash flows are affected by economic factors. For further details regarding our results by segment, refer to Note 11, “Segment Information”.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206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April 30,</w:t>
            </w:r>
          </w:p>
        </w:tc>
        <w:tc>
          <w:tcPr>
            <w:tcW w:w="860" w:type="dxa"/>
            <w:vAlign w:val="bottom"/>
            <w:tcBorders>
              <w:bottom w:val="single" w:sz="8" w:color="auto"/>
            </w:tcBorders>
          </w:tcPr>
          <w:p>
            <w:pPr>
              <w:spacing w:after="0"/>
              <w:rPr>
                <w:sz w:val="16"/>
                <w:szCs w:val="16"/>
                <w:color w:val="auto"/>
              </w:rPr>
            </w:pPr>
          </w:p>
        </w:tc>
      </w:tr>
      <w:tr>
        <w:trPr>
          <w:trHeight w:val="196"/>
        </w:trPr>
        <w:tc>
          <w:tcPr>
            <w:tcW w:w="6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187"/>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1"/>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American Fenestration:</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128,218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95,791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240,518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192,638</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fenestration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12,587</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United States - non-fenestration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4,372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8,935</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r>
      <w:tr>
        <w:trPr>
          <w:trHeight w:val="223"/>
        </w:trPr>
        <w:tc>
          <w:tcPr>
            <w:tcW w:w="6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146,143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108,593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274,259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219,045</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European Fenestration: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International - fenestration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50,835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24,865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92,189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55,829</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10,137</w:t>
            </w:r>
          </w:p>
        </w:tc>
      </w:tr>
      <w:tr>
        <w:trPr>
          <w:trHeight w:val="223"/>
        </w:trPr>
        <w:tc>
          <w:tcPr>
            <w:tcW w:w="6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61,657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29,200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110,748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65,966</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American Cabinet Components: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2,647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6,471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5,795</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 non-fenestration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93,989</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 non-fenestration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r>
      <w:tr>
        <w:trPr>
          <w:trHeight w:val="223"/>
        </w:trPr>
        <w:tc>
          <w:tcPr>
            <w:tcW w:w="6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100,708</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Unallocated Corporate &amp; Other</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r>
      <w:tr>
        <w:trPr>
          <w:trHeight w:val="223"/>
        </w:trPr>
        <w:tc>
          <w:tcPr>
            <w:tcW w:w="6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384,072</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have established an allowance for credit losses to estimate the risk of losses, which represents an estimate of expected losses over the remaining contractual life of our receivables. The allowance is determined using two methods. The amounts calculated from each of these methods are combined to determine the total amount reserved. First, a specific reserve is established for individual accounts where information indicates the customers may have an inability to meet financial obligations. Second, a reserve is determined for all customers based on a range of percentages applied to aging categories. These percentages are based on historical collection rates, write-off experience, and forecasts of future economic conditions. Actual write-offs are charged against the allowance when collection efforts have been unsuccessful.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On March 11, 2020, the World Health Organization (WHO) declared the outbreak of COVID-19 as a global pandemic and advised aggressive containment action. The COVID-19 pandemic and its impacts are continuing to have an adverse effect on many sectors of the economy. Measures providing for business shutdowns generally exclude certain essential services commonly including critical infrastructure such as construction and the businesses that support that critical infrastructure. To date, we have not experienced significant challenges or expenses implementing crisis management plans intended for containment and prevention. While we could expect some negative impacts on our business, results of operations, cash flows and financial position, the overall financial impact cannot be reasonably estimated at this time.</w:t>
      </w:r>
    </w:p>
    <w:p>
      <w:pPr>
        <w:spacing w:after="0" w:line="13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health and safety of our employees are high priority. In response to the COVID-19 pandemic, we have taken additional measures to limit possible infections at the workplace by implementing social distancing, sanitizing the workspace, and requiring employees to wear masks and other measures necessary to ensure safety as infection surges dictate. We continue to assess and refine these measures on an ongoing basis as public health guidance and applicable laws and regulations continue to evolve.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As a result of the economic and business impact of COVID-19, we may be required to revise certain accounting estimates and judgments such as, but not limited to, those related to the valuation of goodwill, intangibles, right-of-use assets, long-lived assets, accounts receivable (including allowances for credit losses), and inventory, which could have a material adverse effect on our financial position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at April 30, 2021 and October 31, 2020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30,</w:t>
            </w:r>
          </w:p>
        </w:tc>
        <w:tc>
          <w:tcPr>
            <w:tcW w:w="280" w:type="dxa"/>
            <w:vAlign w:val="bottom"/>
          </w:tcPr>
          <w:p>
            <w:pPr>
              <w:spacing w:after="0"/>
              <w:rPr>
                <w:sz w:val="14"/>
                <w:szCs w:val="14"/>
                <w:color w:val="auto"/>
              </w:rPr>
            </w:pPr>
          </w:p>
        </w:tc>
        <w:tc>
          <w:tcPr>
            <w:tcW w:w="1360" w:type="dxa"/>
            <w:vAlign w:val="bottom"/>
          </w:tcPr>
          <w:p>
            <w:pPr>
              <w:jc w:val="right"/>
              <w:ind w:right="375"/>
              <w:spacing w:after="0"/>
              <w:rPr>
                <w:sz w:val="20"/>
                <w:szCs w:val="20"/>
                <w:color w:val="auto"/>
              </w:rPr>
            </w:pPr>
            <w:r>
              <w:rPr>
                <w:rFonts w:ascii="Arial" w:cs="Arial" w:eastAsia="Arial" w:hAnsi="Arial"/>
                <w:sz w:val="14"/>
                <w:szCs w:val="14"/>
                <w:b w:val="1"/>
                <w:bCs w:val="1"/>
                <w:color w:val="auto"/>
              </w:rPr>
              <w:t>October 31,</w:t>
            </w:r>
          </w:p>
        </w:tc>
      </w:tr>
      <w:tr>
        <w:trPr>
          <w:trHeight w:val="188"/>
        </w:trPr>
        <w:tc>
          <w:tcPr>
            <w:tcW w:w="7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40,506</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33,298</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Finished goods and work in process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41,881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32,347</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770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84,557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67,665</w:t>
            </w:r>
          </w:p>
        </w:tc>
      </w:tr>
      <w:tr>
        <w:trPr>
          <w:trHeight w:val="230"/>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Inventory reserves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w:t>
            </w:r>
          </w:p>
        </w:tc>
      </w:tr>
      <w:tr>
        <w:trPr>
          <w:trHeight w:val="223"/>
        </w:trPr>
        <w:tc>
          <w:tcPr>
            <w:tcW w:w="7700" w:type="dxa"/>
            <w:vAlign w:val="bottom"/>
          </w:tcPr>
          <w:p>
            <w:pPr>
              <w:ind w:left="560"/>
              <w:spacing w:after="0"/>
              <w:rPr>
                <w:sz w:val="20"/>
                <w:szCs w:val="20"/>
                <w:color w:val="auto"/>
              </w:rPr>
            </w:pPr>
            <w:r>
              <w:rPr>
                <w:rFonts w:ascii="Arial" w:cs="Arial" w:eastAsia="Arial" w:hAnsi="Arial"/>
                <w:sz w:val="18"/>
                <w:szCs w:val="18"/>
                <w:color w:val="auto"/>
              </w:rPr>
              <w:t>Inventories,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80,365</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61,181</w:t>
            </w:r>
          </w:p>
        </w:tc>
      </w:tr>
      <w:tr>
        <w:trPr>
          <w:trHeight w:val="21"/>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Fixed costs related to excess manufacturing capacity, if any, have been expensed in the period they were incurred and, therefore, are not capitalized into inventory.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carrying amount of goodwill for the six months ended April 30, 2021 was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ind w:right="375"/>
              <w:spacing w:after="0"/>
              <w:rPr>
                <w:sz w:val="20"/>
                <w:szCs w:val="20"/>
                <w:color w:val="auto"/>
              </w:rPr>
            </w:pPr>
            <w:r>
              <w:rPr>
                <w:rFonts w:ascii="Arial" w:cs="Arial" w:eastAsia="Arial" w:hAnsi="Arial"/>
                <w:sz w:val="16"/>
                <w:szCs w:val="16"/>
                <w:b w:val="1"/>
                <w:bCs w:val="1"/>
                <w:color w:val="auto"/>
              </w:rPr>
              <w:t>Six Months Ended</w:t>
            </w:r>
          </w:p>
        </w:tc>
      </w:tr>
      <w:tr>
        <w:trPr>
          <w:trHeight w:val="192"/>
        </w:trPr>
        <w:tc>
          <w:tcPr>
            <w:tcW w:w="9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April 30, 2021</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146,154</w:t>
            </w:r>
          </w:p>
        </w:tc>
      </w:tr>
      <w:tr>
        <w:trPr>
          <w:trHeight w:val="229"/>
        </w:trPr>
        <w:tc>
          <w:tcPr>
            <w:tcW w:w="9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the end of the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150,302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At our last annual test date, August 31, 2020, we evaluated the recoverability of goodwill at each of our five reporting units with goodwill balances and determined that our goodwill was not impaired. We evaluated for indicators of impairment during the three and six months ended April 30, 2021 and determined that there were no triggering events related to the impacts of COVID-19 or any other areas of our operations. However, the long term effects of the COVID-19 pandemic on the demand and pricing of our products may result in future impairment charges. For a summary of the change in the carrying amount of goodwill by segment, see Note 11, “Segment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Amortizable intangible assets consisted of the following as of April 30, 2021 and October 31, 2020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5"/>
          </w:tcPr>
          <w:p>
            <w:pPr>
              <w:ind w:left="960"/>
              <w:spacing w:after="0"/>
              <w:rPr>
                <w:sz w:val="20"/>
                <w:szCs w:val="20"/>
                <w:color w:val="auto"/>
              </w:rPr>
            </w:pPr>
            <w:r>
              <w:rPr>
                <w:rFonts w:ascii="Arial" w:cs="Arial" w:eastAsia="Arial" w:hAnsi="Arial"/>
                <w:sz w:val="14"/>
                <w:szCs w:val="14"/>
                <w:b w:val="1"/>
                <w:bCs w:val="1"/>
                <w:color w:val="auto"/>
              </w:rPr>
              <w:t>April 30, 2021</w:t>
            </w:r>
          </w:p>
        </w:tc>
        <w:tc>
          <w:tcPr>
            <w:tcW w:w="160" w:type="dxa"/>
            <w:vAlign w:val="bottom"/>
          </w:tcPr>
          <w:p>
            <w:pPr>
              <w:spacing w:after="0"/>
              <w:rPr>
                <w:sz w:val="16"/>
                <w:szCs w:val="16"/>
                <w:color w:val="auto"/>
              </w:rPr>
            </w:pPr>
          </w:p>
        </w:tc>
        <w:tc>
          <w:tcPr>
            <w:tcW w:w="294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October 31, 2020</w:t>
            </w:r>
          </w:p>
        </w:tc>
      </w:tr>
      <w:tr>
        <w:trPr>
          <w:trHeight w:val="135"/>
        </w:trPr>
        <w:tc>
          <w:tcPr>
            <w:tcW w:w="4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6"/>
              <w:spacing w:after="0" w:line="135"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6"/>
              <w:spacing w:after="0" w:line="135" w:lineRule="exact"/>
              <w:rPr>
                <w:sz w:val="20"/>
                <w:szCs w:val="20"/>
                <w:color w:val="auto"/>
              </w:rPr>
            </w:pPr>
            <w:r>
              <w:rPr>
                <w:rFonts w:ascii="Arial" w:cs="Arial" w:eastAsia="Arial" w:hAnsi="Arial"/>
                <w:sz w:val="14"/>
                <w:szCs w:val="14"/>
                <w:b w:val="1"/>
                <w:bCs w:val="1"/>
                <w:color w:val="auto"/>
              </w:rPr>
              <w:t>Accumulated</w:t>
            </w:r>
          </w:p>
        </w:tc>
      </w:tr>
      <w:tr>
        <w:trPr>
          <w:trHeight w:val="188"/>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rPr>
              <w:t>Amortization</w:t>
            </w:r>
          </w:p>
        </w:tc>
      </w:tr>
      <w:tr>
        <w:trPr>
          <w:trHeight w:val="22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146,592</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76,203</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154,004</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80,441</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38,622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55,745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37,314</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other technology</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22,545</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22,016</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22,386</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21,312</w:t>
            </w:r>
          </w:p>
        </w:tc>
      </w:tr>
      <w:tr>
        <w:trPr>
          <w:trHeight w:val="223"/>
        </w:trPr>
        <w:tc>
          <w:tcPr>
            <w:tcW w:w="480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225,691</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136,841</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232,135</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139,067</w:t>
            </w: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had aggregate amortization expense related to intangible assets for the three and six months ended April 30, 2021 of $3.3 million and $6.7 million, respectively, and $3.6 million and $7.4 million, respectively, for the comparable prior year periods. We retired fully amortized identifiable assets of $9.9 million related to customer relationships during the six months ended April 30, 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Estimated remaining amortization expense, based on current intangible balances, for each of the fiscal years ending October 31, is as follows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 (remaining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 and Finance Lease Obligations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Long-term debt consisted of the following at April 30, 2021 and October 31, 2020 (in thousands):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48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920" w:type="dxa"/>
            <w:vAlign w:val="bottom"/>
          </w:tcPr>
          <w:p>
            <w:pPr>
              <w:jc w:val="right"/>
              <w:ind w:right="694"/>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 Expense</w:t>
            </w:r>
          </w:p>
        </w:tc>
      </w:tr>
      <w:tr>
        <w:trPr>
          <w:trHeight w:val="224"/>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6,105</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12,163</w:t>
            </w:r>
          </w:p>
        </w:tc>
      </w:tr>
      <w:tr>
        <w:trPr>
          <w:trHeight w:val="230"/>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11,404</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10,652</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9,426</w:t>
            </w:r>
          </w:p>
        </w:tc>
      </w:tr>
      <w:tr>
        <w:trPr>
          <w:trHeight w:val="230"/>
        </w:trPr>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39,100</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88,850</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1540" w:val="left"/>
        </w:tabs>
        <w:rPr>
          <w:sz w:val="20"/>
          <w:szCs w:val="20"/>
          <w:color w:val="auto"/>
        </w:rPr>
      </w:pPr>
      <w:r>
        <w:rPr>
          <w:rFonts w:ascii="Arial" w:cs="Arial" w:eastAsia="Arial" w:hAnsi="Arial"/>
          <w:sz w:val="14"/>
          <w:szCs w:val="14"/>
          <w:b w:val="1"/>
          <w:bCs w:val="1"/>
          <w:color w:val="auto"/>
        </w:rPr>
        <w:t>April 30,</w:t>
      </w:r>
      <w:r>
        <w:rPr>
          <w:sz w:val="20"/>
          <w:szCs w:val="20"/>
          <w:color w:val="auto"/>
        </w:rPr>
        <w:tab/>
      </w:r>
      <w:r>
        <w:rPr>
          <w:rFonts w:ascii="Arial" w:cs="Arial" w:eastAsia="Arial" w:hAnsi="Arial"/>
          <w:sz w:val="13"/>
          <w:szCs w:val="13"/>
          <w:b w:val="1"/>
          <w:bCs w:val="1"/>
          <w:color w:val="auto"/>
        </w:rPr>
        <w:t>October 31,</w:t>
      </w:r>
    </w:p>
    <w:p>
      <w:pPr>
        <w:ind w:left="140"/>
        <w:spacing w:after="0"/>
        <w:tabs>
          <w:tab w:leader="none" w:pos="17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9" w:lineRule="exact"/>
        <w:rPr>
          <w:sz w:val="20"/>
          <w:szCs w:val="20"/>
          <w:color w:val="auto"/>
        </w:rPr>
      </w:pPr>
    </w:p>
    <w:p>
      <w:pPr>
        <w:sectPr>
          <w:pgSz w:w="11900" w:h="16838" w:orient="portrait"/>
          <w:cols w:equalWidth="0" w:num="2">
            <w:col w:w="7860" w:space="720"/>
            <w:col w:w="26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16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103,000</w:t>
            </w: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Finance lease obligations and other</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15,689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15,321</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fees</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23"/>
        </w:trPr>
        <w:tc>
          <w:tcPr>
            <w:tcW w:w="812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87,940</w:t>
            </w:r>
          </w:p>
        </w:tc>
        <w:tc>
          <w:tcPr>
            <w:tcW w:w="16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117,420</w:t>
            </w: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23"/>
        </w:trPr>
        <w:tc>
          <w:tcPr>
            <w:tcW w:w="8120" w:type="dxa"/>
            <w:vAlign w:val="bottom"/>
          </w:tcPr>
          <w:p>
            <w:pPr>
              <w:ind w:left="480"/>
              <w:spacing w:after="0"/>
              <w:rPr>
                <w:sz w:val="20"/>
                <w:szCs w:val="20"/>
                <w:color w:val="auto"/>
              </w:rPr>
            </w:pPr>
            <w:r>
              <w:rPr>
                <w:rFonts w:ascii="Arial" w:cs="Arial" w:eastAsia="Arial" w:hAnsi="Arial"/>
                <w:sz w:val="18"/>
                <w:szCs w:val="18"/>
                <w:color w:val="auto"/>
              </w:rPr>
              <w:t>Long-term debt</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87,195</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116,728</w:t>
            </w:r>
          </w:p>
        </w:tc>
      </w:tr>
      <w:tr>
        <w:trPr>
          <w:trHeight w:val="21"/>
        </w:trPr>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more fully described in our Annual Report on Form 10-K for the fiscal year ended October 31, 2020, on October 18, 2018, we amended and extended our prior credit facility by entering into a $325.0 million revolving credit facility (the “2018 Credit Facility”), with Wells Fargo Bank, National Association, as Agent, Swingline Lender and Issuing Lender, and Bank of America, N.A. serving as Syndication Agent. The 2018 Credit Facility has a five-year term, maturing on October 18, 2023, and requires interest payments calculated, at our election and depending upon our Consolidated Leverage Ratio, at either a Base Rate plus an applicable margin or the LIBOR Rate plus an applicable margin. At the time of the initial borrowing, the applicable rate was LIBOR + 1.50%. In addition, we are subject to commitment fees for the unused portion of the 2018 Credit Facility.</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applicable margin and commitment fees are outlined in the following table:</w:t>
      </w:r>
    </w:p>
    <w:p>
      <w:pPr>
        <w:spacing w:after="0" w:line="275" w:lineRule="exact"/>
        <w:rPr>
          <w:sz w:val="20"/>
          <w:szCs w:val="20"/>
          <w:color w:val="auto"/>
        </w:rPr>
      </w:pPr>
    </w:p>
    <w:p>
      <w:pPr>
        <w:ind w:left="180"/>
        <w:spacing w:after="0"/>
        <w:tabs>
          <w:tab w:leader="none" w:pos="1980" w:val="left"/>
          <w:tab w:leader="none" w:pos="5040" w:val="left"/>
          <w:tab w:leader="none" w:pos="7060" w:val="left"/>
          <w:tab w:leader="none" w:pos="9480" w:val="left"/>
        </w:tabs>
        <w:rPr>
          <w:sz w:val="20"/>
          <w:szCs w:val="20"/>
          <w:color w:val="auto"/>
        </w:rPr>
      </w:pPr>
      <w:r>
        <w:rPr>
          <w:rFonts w:ascii="Arial" w:cs="Arial" w:eastAsia="Arial" w:hAnsi="Arial"/>
          <w:sz w:val="18"/>
          <w:szCs w:val="18"/>
          <w:b w:val="1"/>
          <w:bCs w:val="1"/>
          <w:color w:val="auto"/>
        </w:rPr>
        <w:t>Pricing Level</w:t>
      </w:r>
      <w:r>
        <w:rPr>
          <w:sz w:val="20"/>
          <w:szCs w:val="20"/>
          <w:color w:val="auto"/>
        </w:rPr>
        <w:tab/>
      </w:r>
      <w:r>
        <w:rPr>
          <w:rFonts w:ascii="Arial" w:cs="Arial" w:eastAsia="Arial" w:hAnsi="Arial"/>
          <w:sz w:val="18"/>
          <w:szCs w:val="18"/>
          <w:b w:val="1"/>
          <w:bCs w:val="1"/>
          <w:color w:val="auto"/>
        </w:rPr>
        <w:t>Consolidated Leverage Ratio</w:t>
      </w:r>
      <w:r>
        <w:rPr>
          <w:sz w:val="20"/>
          <w:szCs w:val="20"/>
          <w:color w:val="auto"/>
        </w:rPr>
        <w:tab/>
      </w:r>
      <w:r>
        <w:rPr>
          <w:rFonts w:ascii="Arial" w:cs="Arial" w:eastAsia="Arial" w:hAnsi="Arial"/>
          <w:sz w:val="18"/>
          <w:szCs w:val="18"/>
          <w:b w:val="1"/>
          <w:bCs w:val="1"/>
          <w:color w:val="auto"/>
        </w:rPr>
        <w:t>Commitment Fee</w:t>
      </w:r>
      <w:r>
        <w:rPr>
          <w:sz w:val="20"/>
          <w:szCs w:val="20"/>
          <w:color w:val="auto"/>
        </w:rPr>
        <w:tab/>
      </w:r>
      <w:r>
        <w:rPr>
          <w:rFonts w:ascii="Arial" w:cs="Arial" w:eastAsia="Arial" w:hAnsi="Arial"/>
          <w:sz w:val="18"/>
          <w:szCs w:val="18"/>
          <w:b w:val="1"/>
          <w:bCs w:val="1"/>
          <w:color w:val="auto"/>
        </w:rPr>
        <w:t>LIBOR Rate Loans</w:t>
      </w:r>
      <w:r>
        <w:rPr>
          <w:sz w:val="20"/>
          <w:szCs w:val="20"/>
          <w:color w:val="auto"/>
        </w:rPr>
        <w:tab/>
      </w:r>
      <w:r>
        <w:rPr>
          <w:rFonts w:ascii="Arial" w:cs="Arial" w:eastAsia="Arial" w:hAnsi="Arial"/>
          <w:sz w:val="15"/>
          <w:szCs w:val="15"/>
          <w:b w:val="1"/>
          <w:bCs w:val="1"/>
          <w:color w:val="auto"/>
        </w:rPr>
        <w:t>Base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II</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III</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Less than or equal to 1.50 to 1.00</w:t>
      </w:r>
    </w:p>
    <w:p>
      <w:pPr>
        <w:spacing w:after="0" w:line="23"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Greater than 1.50 to 1.00, but less than or equal to 2.25 to 1.00</w:t>
      </w:r>
    </w:p>
    <w:p>
      <w:pPr>
        <w:spacing w:after="0" w:line="1"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Greater than 2.25 to 1.00, but less than or equal to 3.00 to 1.00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jc w:val="right"/>
              <w:ind w:right="710"/>
              <w:spacing w:after="0"/>
              <w:rPr>
                <w:sz w:val="20"/>
                <w:szCs w:val="20"/>
                <w:color w:val="auto"/>
              </w:rPr>
            </w:pPr>
            <w:r>
              <w:rPr>
                <w:rFonts w:ascii="Arial" w:cs="Arial" w:eastAsia="Arial" w:hAnsi="Arial"/>
                <w:sz w:val="18"/>
                <w:szCs w:val="18"/>
                <w:color w:val="auto"/>
                <w:w w:val="85"/>
              </w:rPr>
              <w:t>0.200%</w:t>
            </w:r>
          </w:p>
        </w:tc>
        <w:tc>
          <w:tcPr>
            <w:tcW w:w="2180" w:type="dxa"/>
            <w:vAlign w:val="bottom"/>
          </w:tcPr>
          <w:p>
            <w:pPr>
              <w:jc w:val="right"/>
              <w:ind w:right="830"/>
              <w:spacing w:after="0"/>
              <w:rPr>
                <w:sz w:val="20"/>
                <w:szCs w:val="20"/>
                <w:color w:val="auto"/>
              </w:rPr>
            </w:pPr>
            <w:r>
              <w:rPr>
                <w:rFonts w:ascii="Arial" w:cs="Arial" w:eastAsia="Arial" w:hAnsi="Arial"/>
                <w:sz w:val="18"/>
                <w:szCs w:val="18"/>
                <w:color w:val="auto"/>
              </w:rPr>
              <w:t>1.25%</w:t>
            </w:r>
          </w:p>
        </w:tc>
        <w:tc>
          <w:tcPr>
            <w:tcW w:w="140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310"/>
        </w:trPr>
        <w:tc>
          <w:tcPr>
            <w:tcW w:w="1340" w:type="dxa"/>
            <w:vAlign w:val="bottom"/>
          </w:tcPr>
          <w:p>
            <w:pPr>
              <w:jc w:val="right"/>
              <w:ind w:right="710"/>
              <w:spacing w:after="0"/>
              <w:rPr>
                <w:sz w:val="20"/>
                <w:szCs w:val="20"/>
                <w:color w:val="auto"/>
              </w:rPr>
            </w:pPr>
            <w:r>
              <w:rPr>
                <w:rFonts w:ascii="Arial" w:cs="Arial" w:eastAsia="Arial" w:hAnsi="Arial"/>
                <w:sz w:val="18"/>
                <w:szCs w:val="18"/>
                <w:color w:val="auto"/>
                <w:w w:val="85"/>
              </w:rPr>
              <w:t>0.225%</w:t>
            </w:r>
          </w:p>
        </w:tc>
        <w:tc>
          <w:tcPr>
            <w:tcW w:w="2180" w:type="dxa"/>
            <w:vAlign w:val="bottom"/>
          </w:tcPr>
          <w:p>
            <w:pPr>
              <w:jc w:val="right"/>
              <w:ind w:right="830"/>
              <w:spacing w:after="0"/>
              <w:rPr>
                <w:sz w:val="20"/>
                <w:szCs w:val="20"/>
                <w:color w:val="auto"/>
              </w:rPr>
            </w:pPr>
            <w:r>
              <w:rPr>
                <w:rFonts w:ascii="Arial" w:cs="Arial" w:eastAsia="Arial" w:hAnsi="Arial"/>
                <w:sz w:val="18"/>
                <w:szCs w:val="18"/>
                <w:color w:val="auto"/>
              </w:rPr>
              <w:t>1.50%</w:t>
            </w:r>
          </w:p>
        </w:tc>
        <w:tc>
          <w:tcPr>
            <w:tcW w:w="140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405"/>
        </w:trPr>
        <w:tc>
          <w:tcPr>
            <w:tcW w:w="1340" w:type="dxa"/>
            <w:vAlign w:val="bottom"/>
          </w:tcPr>
          <w:p>
            <w:pPr>
              <w:jc w:val="right"/>
              <w:ind w:right="710"/>
              <w:spacing w:after="0"/>
              <w:rPr>
                <w:sz w:val="20"/>
                <w:szCs w:val="20"/>
                <w:color w:val="auto"/>
              </w:rPr>
            </w:pPr>
            <w:r>
              <w:rPr>
                <w:rFonts w:ascii="Arial" w:cs="Arial" w:eastAsia="Arial" w:hAnsi="Arial"/>
                <w:sz w:val="18"/>
                <w:szCs w:val="18"/>
                <w:color w:val="auto"/>
                <w:w w:val="85"/>
              </w:rPr>
              <w:t>0.250%</w:t>
            </w:r>
          </w:p>
        </w:tc>
        <w:tc>
          <w:tcPr>
            <w:tcW w:w="2180" w:type="dxa"/>
            <w:vAlign w:val="bottom"/>
          </w:tcPr>
          <w:p>
            <w:pPr>
              <w:jc w:val="right"/>
              <w:ind w:right="830"/>
              <w:spacing w:after="0"/>
              <w:rPr>
                <w:sz w:val="20"/>
                <w:szCs w:val="20"/>
                <w:color w:val="auto"/>
              </w:rPr>
            </w:pPr>
            <w:r>
              <w:rPr>
                <w:rFonts w:ascii="Arial" w:cs="Arial" w:eastAsia="Arial" w:hAnsi="Arial"/>
                <w:sz w:val="18"/>
                <w:szCs w:val="18"/>
                <w:color w:val="auto"/>
              </w:rPr>
              <w:t>1.75%</w:t>
            </w:r>
          </w:p>
        </w:tc>
        <w:tc>
          <w:tcPr>
            <w:tcW w:w="140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324"/>
        </w:trPr>
        <w:tc>
          <w:tcPr>
            <w:tcW w:w="1340" w:type="dxa"/>
            <w:vAlign w:val="bottom"/>
          </w:tcPr>
          <w:p>
            <w:pPr>
              <w:jc w:val="right"/>
              <w:ind w:right="710"/>
              <w:spacing w:after="0"/>
              <w:rPr>
                <w:sz w:val="20"/>
                <w:szCs w:val="20"/>
                <w:color w:val="auto"/>
              </w:rPr>
            </w:pPr>
            <w:r>
              <w:rPr>
                <w:rFonts w:ascii="Arial" w:cs="Arial" w:eastAsia="Arial" w:hAnsi="Arial"/>
                <w:sz w:val="18"/>
                <w:szCs w:val="18"/>
                <w:color w:val="auto"/>
                <w:w w:val="85"/>
              </w:rPr>
              <w:t>0.300%</w:t>
            </w:r>
          </w:p>
        </w:tc>
        <w:tc>
          <w:tcPr>
            <w:tcW w:w="2180" w:type="dxa"/>
            <w:vAlign w:val="bottom"/>
          </w:tcPr>
          <w:p>
            <w:pPr>
              <w:jc w:val="right"/>
              <w:ind w:right="830"/>
              <w:spacing w:after="0"/>
              <w:rPr>
                <w:sz w:val="20"/>
                <w:szCs w:val="20"/>
                <w:color w:val="auto"/>
              </w:rPr>
            </w:pPr>
            <w:r>
              <w:rPr>
                <w:rFonts w:ascii="Arial" w:cs="Arial" w:eastAsia="Arial" w:hAnsi="Arial"/>
                <w:sz w:val="18"/>
                <w:szCs w:val="18"/>
                <w:color w:val="auto"/>
              </w:rPr>
              <w:t>2.00%</w:t>
            </w: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-402590</wp:posOffset>
            </wp:positionV>
            <wp:extent cx="713232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3">
            <w:col w:w="820" w:space="720"/>
            <w:col w:w="3200" w:space="720"/>
            <w:col w:w="5780"/>
          </w:cols>
          <w:pgMar w:left="320" w:top="125" w:right="339" w:bottom="1440" w:gutter="0" w:footer="0" w:header="0"/>
          <w:type w:val="continuous"/>
        </w:sectPr>
      </w:pPr>
    </w:p>
    <w:p>
      <w:pPr>
        <w:jc w:val="both"/>
        <w:ind w:firstLine="405"/>
        <w:spacing w:after="0" w:line="277" w:lineRule="auto"/>
        <w:rPr>
          <w:sz w:val="20"/>
          <w:szCs w:val="20"/>
          <w:color w:val="auto"/>
        </w:rPr>
      </w:pPr>
      <w:r>
        <w:rPr>
          <w:rFonts w:ascii="Arial" w:cs="Arial" w:eastAsia="Arial" w:hAnsi="Arial"/>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2018 Credit Facility provides for incremental revolving credit commitments for a minimum principal amount of $10.0 million, up to an aggregate amount of $150.0 million, subject to the lender's discretion to elect or decline the incremental increase. We can also borrow up to the lesser of $15.0 million or the revolving credit commitment, as defined, under a Swingline feature of the Credit Facility.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6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2018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to be greater than 3.25 to 1.00.</w:t>
      </w:r>
    </w:p>
    <w:p>
      <w:pPr>
        <w:spacing w:after="0" w:line="10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maintaining these financial covenants, the 2018 Credit Facility also limits our ability to enter into certain business transactions, such as to incur indebtedness or liens, to acquire businesses or dispose of material assets, make restricted payments, pay dividends (limited to $20.0 million per year) and other transactions as further defined in the 2018 Credit Facility. Some of these limitations, however, do not take effect so long as total leverage is less than or equal to 2.75 to 1.00 and available liquidity exceeds $25 million. Substantially all of our domestic assets, with the exception of real property, are used as collateral for the Credit Agreement.</w:t>
      </w:r>
    </w:p>
    <w:p>
      <w:pPr>
        <w:spacing w:after="0" w:line="12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April 30, 2021, we had $73.0 million of borrowings outstanding under the 2018 Credit Facility (reduced by unamortized debt issuance costs of $0.7 million), $4.5 million of outstanding letters of credit and $15.7 million outstanding primarily under finance leases and other debt. We had $247.5 million available for use under the 2018 Credit Facility at April 30, 2021. Outstanding borrowings under the 2018 Credit Facility accrue interest at 1.36% per annum. Our weighted average borrowing rate for borrowings outstanding during the six months ended April 30, 2021 and 2020 was 1.47% and 3.03%, respectively. We were in compliance with our debt covenants as of April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non-contributory, single employer defined benefit pension plan covers a majority of our employees in the U.S. The net periodic pension cost for this plan for the three and six months ended April 30, 2021 and 2020 was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0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0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April 30,</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April 30,</w:t>
            </w:r>
          </w:p>
        </w:tc>
        <w:tc>
          <w:tcPr>
            <w:tcW w:w="860" w:type="dxa"/>
            <w:vAlign w:val="bottom"/>
            <w:tcBorders>
              <w:bottom w:val="single" w:sz="8" w:color="auto"/>
            </w:tcBorders>
          </w:tcPr>
          <w:p>
            <w:pPr>
              <w:spacing w:after="0"/>
              <w:rPr>
                <w:sz w:val="16"/>
                <w:szCs w:val="16"/>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86"/>
              </w:rPr>
              <w:t>780</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center"/>
              <w:ind w:left="353"/>
              <w:spacing w:after="0"/>
              <w:rPr>
                <w:sz w:val="20"/>
                <w:szCs w:val="20"/>
                <w:color w:val="auto"/>
              </w:rPr>
            </w:pPr>
            <w:r>
              <w:rPr>
                <w:rFonts w:ascii="Arial" w:cs="Arial" w:eastAsia="Arial" w:hAnsi="Arial"/>
                <w:sz w:val="18"/>
                <w:szCs w:val="18"/>
                <w:color w:val="auto"/>
                <w:w w:val="86"/>
              </w:rPr>
              <w:t>573</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(490)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5"/>
              </w:rPr>
              <w:t>(994)</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loss</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6"/>
              </w:rPr>
              <w:t>204</w:t>
            </w:r>
          </w:p>
        </w:tc>
      </w:tr>
      <w:tr>
        <w:trPr>
          <w:trHeight w:val="248"/>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periodic pension (benefit) cost</w:t>
            </w: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6"/>
              </w:rPr>
              <w:t>563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On January 1, 2020, we enacted changes to our pension plan whereby the benefits for all participants were frozen and thereafter those participants will receive increased benefits in the Company sponsored defined contribution plan in lieu of participation in a defined benefit plan.</w:t>
      </w:r>
    </w:p>
    <w:p>
      <w:pPr>
        <w:spacing w:after="0" w:line="9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a result of this action, we remeasured the pension assets and obligations for the pension plan, which resulted in a decrease to our projected benefit obligation and a corresponding net actuarial gain that was recorded in accumulated other comprehensive income.</w:t>
      </w:r>
    </w:p>
    <w:p>
      <w:pPr>
        <w:spacing w:after="0" w:line="8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September 2020, we contributed $3.7 million to fund our plan, and we expect to make a contribution to our plan in September 2021 of approximately $0.5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Plans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have a supplemental benefit plan covering certain executive officers and key employees and a non-qualified deferred compensation plan covering members of the Board of Directors and certain key employees. As of April 30, 2021 and October 31, 2020, our liability under the supplemental benefit plan was approximately $2.8 million and $2.6 million, respectively. As of April 30, 2021 and October 31, 2020, the liability associated with the deferred compensation plan was approximately $4.6 million and $3.3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To determine our income tax expense or benefit for interim periods, consistent with accounting standards, we apply the estimated annual effective income tax rate to year-to-date results. Our estimated annual effective tax rates for the six months ended April 30, 2021 and 2020 were 27.3% and 25.8%, respectively, excluding discrete items. The 2021 effective tax rate is higher than the U.S. Statutory rate of 21% primarily due to state income taxes and the $0.8 million true-up of our deferred taxes from prior year filings, partially offset by a discrete benefit of $0.6 million related to the vesting or exercise of equity-based compensation awards. The 2020 effective tax rate was primarily impacted by a discrete charge of $0.4 million related to the vesting or exercise of equity-based compensation awards.</w:t>
      </w:r>
    </w:p>
    <w:p>
      <w:pPr>
        <w:spacing w:after="0" w:line="1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April 30, 2021, our liability for uncertain tax positions (UTP) of $0.5 million relates to certain state tax items regarding the interpretation of tax laws and regulations. Judgment is required in assessing the future tax consequences of events that have been recognized in our financial statements or tax returns. The outcome of the future tax consequences of legal proceedings, if any, as well as the outcome of competent authority proceedings, changes in regulatory tax laws, or interpretation of those tax laws could impact our financial statements. We are subject to the effect of these matters occurring in various jurisdictions. The disallowance of the UTP would not materially affect the annual effective tax rate. We do not believe any of the UTP at April 30, 2021 will be recognized within the next twelve months.</w:t>
      </w:r>
    </w:p>
    <w:p>
      <w:pPr>
        <w:spacing w:after="0" w:line="13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evaluate the likelihood of realization of our deferred tax assets by considering both positive and negative evidence. We maintain a valuation allowance for certain state net operating losses which totaled $1.5 million as of April 30, 2021 and October 31, 2020.</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Final regulations were published by the Internal Revenue Service regarding Uniform Capitalization (UNICAP) that became effective during fiscal 2020. On March 27, 2020, the Coronavirus Aid, Relief, and Economic Security (CARES) Act was signed into law. In addition, the Consolidated Appropriations Act, 2021 (CAA) was signed into law on December 27, 2020 and the American Rescue Plan Act of 2021 (American Rescue Plan) was signed into law on March 11, 2021. We evaluated the UNICAP regulations and the CARES Act and determined that there were no material impacts on our condensed consolidated financial statements. We are evaluating the CAA and the American Rescue Plan and do not believe there will be a material impact on our condensed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and Environmental Compliance Costs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six fiscal years, and do not expect to incur a material amount of such costs in fiscal 2021.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 of Assets and Liabilities</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68" w:lineRule="exact"/>
        <w:rPr>
          <w:sz w:val="20"/>
          <w:szCs w:val="20"/>
          <w:color w:val="auto"/>
        </w:rPr>
      </w:pPr>
    </w:p>
    <w:p>
      <w:pPr>
        <w:ind w:left="480" w:hanging="148"/>
        <w:spacing w:after="0"/>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28" w:lineRule="exact"/>
        <w:rPr>
          <w:rFonts w:ascii="Arial" w:cs="Arial" w:eastAsia="Arial" w:hAnsi="Arial"/>
          <w:sz w:val="17"/>
          <w:szCs w:val="17"/>
          <w:color w:val="auto"/>
        </w:rPr>
      </w:pPr>
    </w:p>
    <w:p>
      <w:pPr>
        <w:jc w:val="both"/>
        <w:ind w:left="500" w:hanging="168"/>
        <w:spacing w:after="0" w:line="259"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8" w:lineRule="exact"/>
        <w:rPr>
          <w:rFonts w:ascii="Arial" w:cs="Arial" w:eastAsia="Arial" w:hAnsi="Arial"/>
          <w:sz w:val="18"/>
          <w:szCs w:val="18"/>
          <w:color w:val="auto"/>
        </w:rPr>
      </w:pPr>
    </w:p>
    <w:p>
      <w:pPr>
        <w:ind w:left="480" w:hanging="148"/>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that are both significant to the fair value measurement and unobservable.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April 30, 2021, and October 31, 2020 (Level 2 measurement).</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performance share awards are marked-to-market on a quarterly basis during a three-year vesting period based on market data (Level 2 measurement). For further information, refer to Note 9, “Stock-Based Compensation - Performance Share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aggregate number of shares of common stock authorized for grant under the 2020 Plan is 3,139,895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restricted stock units,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Restricted stock awards are granted to key employees and officers annually, and typically cliff vest over a three-year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non-vested restricted stock awards activity during the six months ended April 30, 2021 is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Restricted Stock Awards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right"/>
              <w:ind w:right="41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8"/>
        </w:trPr>
        <w:tc>
          <w:tcPr>
            <w:tcW w:w="714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Grant Date Fair Value per Share</w:t>
            </w:r>
          </w:p>
        </w:tc>
        <w:tc>
          <w:tcPr>
            <w:tcW w:w="0" w:type="dxa"/>
            <w:vAlign w:val="bottom"/>
          </w:tcPr>
          <w:p>
            <w:pPr>
              <w:spacing w:after="0"/>
              <w:rPr>
                <w:sz w:val="1"/>
                <w:szCs w:val="1"/>
                <w:color w:val="auto"/>
              </w:rPr>
            </w:pPr>
          </w:p>
        </w:tc>
      </w:tr>
      <w:tr>
        <w:trPr>
          <w:trHeight w:val="224"/>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October 31, 2020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29"/>
        </w:trPr>
        <w:tc>
          <w:tcPr>
            <w:tcW w:w="71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73,300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April 30, 2021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216,400</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The total weighted average grant-date fair value of restricted stock awards that vested during each of the six months ended April 30, 2021 and 2020 was $0.9 million and $1.1 million, respectively. As of April 30, 2021, total unrecognized compensation cost related to unamortized restricted stock awards was $2.1 million. We expect to recognize this expense over the remaining weighted average vesting period of 2.1 years.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the final stock options were granted during the fiscal year ended October 31, 2017.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For employees who were nearing retirement-eligibility, we recognized stock option expense ratably over the shorter of the vesting period or the period from the grant-date to the retirement-eligibility date.</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a Black-Scholes pricing model to estimate the fair value of stock options. A description of the methodology for the valuation assumptions was disclosed in our Annual Report on Form 10-K for the fiscal year ended October 31, 2020.</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stock option activity for the six months ended April 30,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Stock Options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7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200" w:type="dxa"/>
            <w:vAlign w:val="bottom"/>
          </w:tcPr>
          <w:p>
            <w:pPr>
              <w:spacing w:after="0"/>
              <w:rPr>
                <w:sz w:val="11"/>
                <w:szCs w:val="11"/>
                <w:color w:val="auto"/>
              </w:rPr>
            </w:pPr>
          </w:p>
        </w:tc>
        <w:tc>
          <w:tcPr>
            <w:tcW w:w="112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(in years)</w:t>
            </w:r>
          </w:p>
        </w:tc>
        <w:tc>
          <w:tcPr>
            <w:tcW w:w="200" w:type="dxa"/>
            <w:vAlign w:val="bottom"/>
          </w:tcPr>
          <w:p>
            <w:pPr>
              <w:spacing w:after="0"/>
              <w:rPr>
                <w:sz w:val="16"/>
                <w:szCs w:val="16"/>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Value (000s)</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31, 2020</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1,095,329</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(857,893)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Forfeited/Expired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18.22</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April 30,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234,936</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Arial" w:cs="Arial" w:eastAsia="Arial" w:hAnsi="Arial"/>
                <w:sz w:val="18"/>
                <w:szCs w:val="18"/>
                <w:color w:val="auto"/>
              </w:rPr>
              <w:t>Vested at April 30, 2021</w:t>
            </w: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234,936</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19.22</w:t>
            </w:r>
          </w:p>
        </w:tc>
        <w:tc>
          <w:tcPr>
            <w:tcW w:w="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April 30,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234,936</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Intrinsic value is the amount by which the market price of the common stock on the date of exercise exceeds the exercise price of the stock option.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stock options exercised during the six months ended April 30, 2021 and 2020 was $4.2 million and $0.5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 date fair value of stock options that vested during the six months ended April 30, 2020 was $0.4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six months ended April 30, 2021 and 2020, non-employee directors received 28,826 and 25,326 restricted stock units, respectively, at a grant date fair value of $18.79 per share and $19.02 per share, respectively, which vested immediately. As of April 30, 2021, there were 21,774 non-vested restricted stock units, which were awarded in January 2020 to key employees at a weighted average grant date fair value of $17.08. During the six months ended April 30, 2021 we paid $0.8 million to settle vested restricted stock units. There were no corresponding payments to settle vested restricted stock during the six months ended April 30,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awarded annual grants of performance shares to key employees and officers. Beginning with the fiscal year ended October 31, 2019, performance share awards issued vest with return on net assets (RONA) as the vesting condition and pay out 100% in cash, and are accounted for as liability.</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performance share grants and the grant date fair value for the RONA performance metrics: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vMerge w:val="restart"/>
          </w:tcPr>
          <w:p>
            <w:pPr>
              <w:ind w:left="3500"/>
              <w:spacing w:after="0"/>
              <w:rPr>
                <w:sz w:val="20"/>
                <w:szCs w:val="20"/>
                <w:color w:val="auto"/>
              </w:rPr>
            </w:pPr>
            <w:r>
              <w:rPr>
                <w:rFonts w:ascii="Arial" w:cs="Arial" w:eastAsia="Arial" w:hAnsi="Arial"/>
                <w:sz w:val="18"/>
                <w:szCs w:val="18"/>
                <w:b w:val="1"/>
                <w:bCs w:val="1"/>
                <w:color w:val="auto"/>
              </w:rPr>
              <w:t>Grant Date</w:t>
            </w:r>
          </w:p>
        </w:tc>
        <w:tc>
          <w:tcPr>
            <w:tcW w:w="290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Shares Awarded</w:t>
            </w: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Return on Net</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89"/>
        </w:trPr>
        <w:tc>
          <w:tcPr>
            <w:tcW w:w="6120" w:type="dxa"/>
            <w:vAlign w:val="bottom"/>
            <w:vMerge w:val="continue"/>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Assets</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5, 2018</w:t>
            </w:r>
          </w:p>
        </w:tc>
        <w:tc>
          <w:tcPr>
            <w:tcW w:w="2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40,900</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December 5, 2019</w:t>
            </w:r>
          </w:p>
        </w:tc>
        <w:tc>
          <w:tcPr>
            <w:tcW w:w="2780" w:type="dxa"/>
            <w:vAlign w:val="bottom"/>
          </w:tcPr>
          <w:p>
            <w:pPr>
              <w:jc w:val="right"/>
              <w:spacing w:after="0"/>
              <w:rPr>
                <w:sz w:val="20"/>
                <w:szCs w:val="20"/>
                <w:color w:val="auto"/>
              </w:rPr>
            </w:pPr>
            <w:r>
              <w:rPr>
                <w:rFonts w:ascii="Arial" w:cs="Arial" w:eastAsia="Arial" w:hAnsi="Arial"/>
                <w:sz w:val="18"/>
                <w:szCs w:val="18"/>
                <w:color w:val="auto"/>
              </w:rPr>
              <w:t>55,900</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 2020</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December 2020, the December 2017 grant vested, however, no shares were awarded as performance criteria were not met. We recorded compensation expense of $0.6 million and $3.3 million, respectively, for the three and six months ended April 30, 2021 related to the expected payout of our performance share awards that were outstanding as of April 30, 2021. We recorded compensation expense of $0.1 million for the three months ended April 30, 2020 and a decrease in compensation expense of $0.4 million for the six months ended April 30, 2020 related to the expected payout of our performance share awards that were outstanding as of April 30, 2020.</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Performance share awards are not considered outstanding shares and do not have voting rights, although dividends are accrued over the performance period and will be payable in cash based upon the number of performance shares ultimately earned.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award performance restricted stock units to key employees and officers.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To value the performance restricted stock units, we used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Criteria</w:t>
            </w:r>
          </w:p>
        </w:tc>
        <w:tc>
          <w:tcPr>
            <w:tcW w:w="3460" w:type="dxa"/>
            <w:vAlign w:val="bottom"/>
          </w:tcPr>
          <w:p>
            <w:pPr>
              <w:ind w:left="660"/>
              <w:spacing w:after="0"/>
              <w:rPr>
                <w:sz w:val="20"/>
                <w:szCs w:val="20"/>
                <w:color w:val="auto"/>
              </w:rPr>
            </w:pPr>
            <w:r>
              <w:rPr>
                <w:rFonts w:ascii="Arial" w:cs="Arial" w:eastAsia="Arial" w:hAnsi="Arial"/>
                <w:sz w:val="18"/>
                <w:szCs w:val="18"/>
                <w:b w:val="1"/>
                <w:bCs w:val="1"/>
                <w:color w:val="auto"/>
              </w:rPr>
              <w:t>Percentage of Award Vested</w:t>
            </w: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30"/>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29"/>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30"/>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A-TSR less than -20%</w:t>
            </w:r>
          </w:p>
        </w:tc>
        <w:tc>
          <w:tcPr>
            <w:tcW w:w="3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restricted stock unit grants and the grant date fair value for the A-TSR performance metric:</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Arial" w:cs="Arial" w:eastAsia="Arial" w:hAnsi="Arial"/>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89"/>
        </w:trPr>
        <w:tc>
          <w:tcPr>
            <w:tcW w:w="78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5, 2018</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December 5, 2019</w:t>
            </w:r>
          </w:p>
        </w:tc>
        <w:tc>
          <w:tcPr>
            <w:tcW w:w="1040" w:type="dxa"/>
            <w:vAlign w:val="bottom"/>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 2020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six months ended April 30, 2021, 32,322 performance restricted stock units vested. We recorded compensation expense related to our performance restricted stock units of approximately $0.2 million and $0.4 million, respectively, for the three and six months ending April 30, 2021 and $0.1 million and $0.3 million, respectively, for the comparable prior year periods.</w:t>
      </w:r>
    </w:p>
    <w:p>
      <w:pPr>
        <w:spacing w:after="0" w:line="13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April 30, 2021, we have deemed 91,460 shares related to the December 2018 grant of performance restricted stock units as probable to vest.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six months ended April 30, 2021.</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treasury stock activity during the six months ended April 30,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tcPr>
          <w:p>
            <w:pPr>
              <w:spacing w:after="0"/>
              <w:rPr>
                <w:sz w:val="16"/>
                <w:szCs w:val="16"/>
                <w:color w:val="auto"/>
              </w:rPr>
            </w:pPr>
          </w:p>
        </w:tc>
        <w:tc>
          <w:tcPr>
            <w:tcW w:w="2180" w:type="dxa"/>
            <w:vAlign w:val="bottom"/>
          </w:tcPr>
          <w:p>
            <w:pPr>
              <w:jc w:val="right"/>
              <w:ind w:right="435"/>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906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April 30, 2021</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2020</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4,491,429</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Restricted stock awards 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(73,300)</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restricted stock units vested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(32,322)</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Stock options exercised</w:t>
            </w:r>
          </w:p>
        </w:tc>
        <w:tc>
          <w:tcPr>
            <w:tcW w:w="2180" w:type="dxa"/>
            <w:vAlign w:val="bottom"/>
          </w:tcPr>
          <w:p>
            <w:pPr>
              <w:jc w:val="right"/>
              <w:spacing w:after="0"/>
              <w:rPr>
                <w:sz w:val="20"/>
                <w:szCs w:val="20"/>
                <w:color w:val="auto"/>
              </w:rPr>
            </w:pPr>
            <w:r>
              <w:rPr>
                <w:rFonts w:ascii="Arial" w:cs="Arial" w:eastAsia="Arial" w:hAnsi="Arial"/>
                <w:sz w:val="18"/>
                <w:szCs w:val="18"/>
                <w:color w:val="auto"/>
              </w:rPr>
              <w:t>(857,893)</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repurchases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157,051</w:t>
            </w:r>
          </w:p>
        </w:tc>
      </w:tr>
      <w:tr>
        <w:trPr>
          <w:trHeight w:val="223"/>
        </w:trPr>
        <w:tc>
          <w:tcPr>
            <w:tcW w:w="9060" w:type="dxa"/>
            <w:vAlign w:val="bottom"/>
          </w:tcPr>
          <w:p>
            <w:pPr>
              <w:ind w:left="20"/>
              <w:spacing w:after="0"/>
              <w:rPr>
                <w:sz w:val="20"/>
                <w:szCs w:val="20"/>
                <w:color w:val="auto"/>
              </w:rPr>
            </w:pPr>
            <w:r>
              <w:rPr>
                <w:rFonts w:ascii="Arial" w:cs="Arial" w:eastAsia="Arial" w:hAnsi="Arial"/>
                <w:sz w:val="18"/>
                <w:szCs w:val="18"/>
                <w:color w:val="auto"/>
              </w:rPr>
              <w:t>Balance at April 30, 2021</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3,684,965</w:t>
            </w:r>
          </w:p>
        </w:tc>
      </w:tr>
      <w:tr>
        <w:trPr>
          <w:trHeight w:val="20"/>
        </w:trPr>
        <w:tc>
          <w:tcPr>
            <w:tcW w:w="90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Income</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Other income, included under the caption “Other, net” on the accompanying condensed consolidated statements of income, consisted of the following for the three and six months ended April 30, 2021 and 2020 (in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00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3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April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6"/>
                <w:szCs w:val="16"/>
                <w:color w:val="auto"/>
              </w:rPr>
            </w:pPr>
          </w:p>
        </w:tc>
      </w:tr>
      <w:tr>
        <w:trPr>
          <w:trHeight w:val="187"/>
        </w:trPr>
        <w:tc>
          <w:tcPr>
            <w:tcW w:w="63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r>
      <w:tr>
        <w:trPr>
          <w:trHeight w:val="224"/>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 gains (losses)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Foreign currency derivative losses</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Pension service benefit</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3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265</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1"/>
        </w:trPr>
        <w:tc>
          <w:tcPr>
            <w:tcW w:w="6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7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We present three reportable business segments (1) NA Fenestration, comprising three operating segments primarily focused on the fenestration market in North America including vinyl profiles, insulating glass spacers, screens &amp;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operations. We maintain an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condensed consolidated financial statements. Corporate general and administrative expense allocated during the three and six month period ended April 30, 2021 was $5.4 million and $10.7 million, respectively, and $4.6 million and $10.2 million for the comparable prior year periods.</w:t>
      </w:r>
    </w:p>
    <w:p>
      <w:pPr>
        <w:spacing w:after="0" w:line="13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Segment information for the three and six months ended April 30, 2021 and 2020, and total assets as of April 30, 2021 and October 31, 2020 are summarized in the following table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p>
        </w:tc>
        <w:tc>
          <w:tcPr>
            <w:tcW w:w="1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 Fenestration</w:t>
            </w: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 Cabinet Comp.</w:t>
            </w: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&amp;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500" w:type="dxa"/>
            <w:vAlign w:val="bottom"/>
            <w:tcBorders>
              <w:top w:val="single" w:sz="8" w:color="CCEEFF"/>
              <w:bottom w:val="single" w:sz="8" w:color="auto"/>
            </w:tcBorders>
            <w:gridSpan w:val="4"/>
            <w:shd w:val="clear" w:color="auto" w:fill="CCEEFF"/>
          </w:tcPr>
          <w:p>
            <w:pPr>
              <w:spacing w:after="0" w:line="157" w:lineRule="exact"/>
              <w:rPr>
                <w:sz w:val="20"/>
                <w:szCs w:val="20"/>
                <w:color w:val="auto"/>
              </w:rPr>
            </w:pPr>
            <w:r>
              <w:rPr>
                <w:rFonts w:ascii="Arial" w:cs="Arial" w:eastAsia="Arial" w:hAnsi="Arial"/>
                <w:sz w:val="16"/>
                <w:szCs w:val="16"/>
                <w:b w:val="1"/>
                <w:bCs w:val="1"/>
                <w:color w:val="auto"/>
                <w:w w:val="93"/>
              </w:rPr>
              <w:t>Three Months Ended April 30, 2021</w:t>
            </w: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146,143</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61,657</w:t>
            </w:r>
          </w:p>
        </w:tc>
        <w:tc>
          <w:tcPr>
            <w:tcW w:w="1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63,562</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270,357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Three Months Ended April 30, 2020</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Six Months Ended April 30, 2021</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3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sales</w:t>
            </w:r>
          </w:p>
        </w:tc>
        <w:tc>
          <w:tcPr>
            <w:tcW w:w="196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274,259</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110,748</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117,556</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(2,059)</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500,504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18,437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(11,911)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Six Months Ended April 30, 2020</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219,045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6,875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16,313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2"/>
              </w:rPr>
              <w:t>As of April 30, 2021</w:t>
            </w:r>
          </w:p>
        </w:tc>
        <w:tc>
          <w:tcPr>
            <w:tcW w:w="2880" w:type="dxa"/>
            <w:vAlign w:val="bottom"/>
            <w:tcBorders>
              <w:bottom w:val="single" w:sz="8" w:color="CCEEFF"/>
            </w:tcBorders>
            <w:gridSpan w:val="4"/>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261,311</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238,109</w:t>
            </w:r>
          </w:p>
        </w:tc>
        <w:tc>
          <w:tcPr>
            <w:tcW w:w="1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175,769</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40,383</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715,572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As of October 31, 2020</w:t>
            </w:r>
          </w:p>
        </w:tc>
        <w:tc>
          <w:tcPr>
            <w:tcW w:w="2680" w:type="dxa"/>
            <w:vAlign w:val="bottom"/>
            <w:tcBorders>
              <w:bottom w:val="single" w:sz="8" w:color="CCEEFF"/>
            </w:tcBorders>
            <w:gridSpan w:val="3"/>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252,703</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223,248</w:t>
            </w:r>
          </w:p>
        </w:tc>
        <w:tc>
          <w:tcPr>
            <w:tcW w:w="1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174,713</w:t>
            </w:r>
          </w:p>
        </w:tc>
        <w:tc>
          <w:tcPr>
            <w:tcW w:w="1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40,921</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691,585</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summarizes the change in the carrying amount of goodwill by reportable business segment for the six months ended April 30, 2021 (in thousands):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p>
        </w:tc>
        <w:tc>
          <w:tcPr>
            <w:tcW w:w="10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 Cabinet Comp.</w:t>
            </w:r>
          </w:p>
        </w:tc>
        <w:tc>
          <w:tcPr>
            <w:tcW w:w="14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Unallocated Corp.</w:t>
            </w:r>
          </w:p>
        </w:tc>
        <w:tc>
          <w:tcPr>
            <w:tcW w:w="280" w:type="dxa"/>
            <w:vAlign w:val="bottom"/>
          </w:tcPr>
          <w:p>
            <w:pPr>
              <w:spacing w:after="0"/>
              <w:rPr>
                <w:sz w:val="14"/>
                <w:szCs w:val="14"/>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&amp; Other</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October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68,295</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146,154</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April 30,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150,302</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details of Goodwill, see Note 3, “Goodwill &amp; Intangible Assets”, located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did not allocate non-operating loss or income tax benefit to the reportable segments. The following table reconciles operating income as reported above to net income for the three and six months ended April 30, 2021 and 2020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April 30,</w:t>
            </w:r>
          </w:p>
        </w:tc>
        <w:tc>
          <w:tcPr>
            <w:tcW w:w="860" w:type="dxa"/>
            <w:vAlign w:val="bottom"/>
            <w:tcBorders>
              <w:bottom w:val="single" w:sz="8" w:color="auto"/>
            </w:tcBorders>
          </w:tcPr>
          <w:p>
            <w:pPr>
              <w:spacing w:after="0"/>
              <w:rPr>
                <w:sz w:val="16"/>
                <w:szCs w:val="16"/>
                <w:color w:val="auto"/>
              </w:rPr>
            </w:pPr>
          </w:p>
        </w:tc>
      </w:tr>
      <w:tr>
        <w:trPr>
          <w:trHeight w:val="187"/>
        </w:trPr>
        <w:tc>
          <w:tcPr>
            <w:tcW w:w="6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(3,145)</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r>
      <w:tr>
        <w:trPr>
          <w:trHeight w:val="248"/>
        </w:trPr>
        <w:tc>
          <w:tcPr>
            <w:tcW w:w="6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compute basic earnings per share by dividing net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Basic and diluted earnings per share for the three and six months ended April 30, 2021 and 2020 were calculated as follows (in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Income</w:t>
            </w:r>
          </w:p>
        </w:tc>
        <w:tc>
          <w:tcPr>
            <w:tcW w:w="1460" w:type="dxa"/>
            <w:vAlign w:val="bottom"/>
          </w:tcPr>
          <w:p>
            <w:pPr>
              <w:jc w:val="right"/>
              <w:ind w:right="72"/>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60" w:type="dxa"/>
            <w:vAlign w:val="bottom"/>
          </w:tcPr>
          <w:p>
            <w:pPr>
              <w:jc w:val="right"/>
              <w:ind w:right="43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500" w:type="dxa"/>
            <w:vAlign w:val="bottom"/>
            <w:tcBorders>
              <w:top w:val="single" w:sz="8" w:color="CCEEFF"/>
              <w:bottom w:val="single" w:sz="8" w:color="auto"/>
            </w:tcBorders>
            <w:gridSpan w:val="2"/>
            <w:shd w:val="clear" w:color="auto" w:fill="CCEEFF"/>
          </w:tcPr>
          <w:p>
            <w:pPr>
              <w:spacing w:after="0" w:line="157" w:lineRule="exact"/>
              <w:rPr>
                <w:sz w:val="20"/>
                <w:szCs w:val="20"/>
                <w:color w:val="auto"/>
              </w:rPr>
            </w:pPr>
            <w:r>
              <w:rPr>
                <w:rFonts w:ascii="Arial" w:cs="Arial" w:eastAsia="Arial" w:hAnsi="Arial"/>
                <w:sz w:val="16"/>
                <w:szCs w:val="16"/>
                <w:b w:val="1"/>
                <w:bCs w:val="1"/>
                <w:color w:val="auto"/>
                <w:w w:val="93"/>
              </w:rPr>
              <w:t>Three Months Ended April 30, 2021</w:t>
            </w:r>
          </w:p>
        </w:tc>
        <w:tc>
          <w:tcPr>
            <w:tcW w:w="39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14,551</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33,355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33,637</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Three Months Ended April 30, 2020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32,676</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Performance shares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32,793</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Six Months Ended April 30,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22,403</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22,403</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33,444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80" w:type="dxa"/>
            <w:vAlign w:val="bottom"/>
            <w:gridSpan w:val="3"/>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Six Months Ended April 30, 2020</w:t>
            </w: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5,511</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32,770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Performance shares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5,511</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32,907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do not include equity instruments in our calculation of diluted earnings per share if those instruments would be anti-dilutive. Such dilution is dependent on the excess of the market price of our stock over the exercise price and other components of the treasury stock method. The following table shows anti-dilutive instruments for the three and six months ended April 30, 2021 and 2020 (shares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3"/>
          </w:tcPr>
          <w:p>
            <w:pPr>
              <w:jc w:val="center"/>
              <w:ind w:left="839"/>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6"/>
                <w:szCs w:val="16"/>
                <w:color w:val="auto"/>
              </w:rPr>
            </w:pPr>
          </w:p>
        </w:tc>
      </w:tr>
      <w:tr>
        <w:trPr>
          <w:trHeight w:val="195"/>
        </w:trPr>
        <w:tc>
          <w:tcPr>
            <w:tcW w:w="48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April 30,</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4"/>
                <w:szCs w:val="14"/>
                <w:b w:val="1"/>
                <w:bCs w:val="1"/>
                <w:color w:val="auto"/>
                <w:w w:val="97"/>
              </w:rPr>
              <w:t>April 30,</w:t>
            </w:r>
          </w:p>
        </w:tc>
        <w:tc>
          <w:tcPr>
            <w:tcW w:w="920" w:type="dxa"/>
            <w:vAlign w:val="bottom"/>
            <w:tcBorders>
              <w:bottom w:val="single" w:sz="8" w:color="auto"/>
            </w:tcBorders>
          </w:tcPr>
          <w:p>
            <w:pPr>
              <w:spacing w:after="0"/>
              <w:rPr>
                <w:sz w:val="16"/>
                <w:szCs w:val="16"/>
                <w:color w:val="auto"/>
              </w:rPr>
            </w:pPr>
          </w:p>
        </w:tc>
      </w:tr>
      <w:tr>
        <w:trPr>
          <w:trHeight w:val="187"/>
        </w:trPr>
        <w:tc>
          <w:tcPr>
            <w:tcW w:w="48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awards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New Accounting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44"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 xml:space="preserve">In June 2016, the Financial Accounting Standards Board issued Accounting Standards Update No.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326)</w:t>
      </w:r>
      <w:r>
        <w:rPr>
          <w:rFonts w:ascii="Arial" w:cs="Arial" w:eastAsia="Arial" w:hAnsi="Arial"/>
          <w:sz w:val="16"/>
          <w:szCs w:val="16"/>
          <w:color w:val="auto"/>
        </w:rPr>
        <w:t>. This ASU sets forth a “current expected credit loss” model, which requires the measurement of all expected credit losses 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or other assets (e.g., trade receivables), held at the reporting date based on historical experience, current conditions, and reasonable supportable forecasts. We adopted this amendment on November 1, 2020, with no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 xml:space="preserve">Certain of the statements contained in this document and in documents incorporated by reference herein, including those made under the caption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are “forward-looking” statements as defined under the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44" w:lineRule="exact"/>
        <w:rPr>
          <w:sz w:val="20"/>
          <w:szCs w:val="20"/>
          <w:color w:val="auto"/>
        </w:rPr>
      </w:pPr>
    </w:p>
    <w:p>
      <w:pPr>
        <w:ind w:left="66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impacts from public health issues (including pandemics, such as the current COVID-19 pandemic and quarantines) on the economy, demand for our products or our operations, including the responses of governmental authorities to contain such public health issues;</w:t>
      </w:r>
    </w:p>
    <w:p>
      <w:pPr>
        <w:spacing w:after="0" w:line="21"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market conditions, particularly in the new home construction, and residential remodeling and replacement (R&amp;R) activity markets in the United States, United Kingdom, Germany and elsewhere;</w:t>
      </w:r>
    </w:p>
    <w:p>
      <w:pPr>
        <w:spacing w:after="0" w:line="21"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non-pass-through raw material costs;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international economic conditions;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availability of raw materials;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purchases by our principal customers;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internal operating plans and acquisition strategies;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plans with respect to information technology (IT) systems and processes;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control costs and increase profitability;</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environmental laws and regulations;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warranty obligations;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energy costs;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our debt facilities and remain in good standing with our lenders;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availability or applicability of our insurance coverage;</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 good relationship with our suppliers, subcontractors, and key customers; and</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resolution of litigation and other legal proceedings.</w:t>
      </w:r>
    </w:p>
    <w:p>
      <w:pPr>
        <w:spacing w:after="0" w:line="158"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 xml:space="preserve">For information on additional factors that could cause actual results to differ materially, please refer to the section entitled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Annual Report on Form 10-K for the fiscal year ended October 31, 2020.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Third-Party Information</w:t>
      </w:r>
    </w:p>
    <w:p>
      <w:pPr>
        <w:spacing w:after="0" w:line="1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accompanying unaudited condensed consolidated financial statements and related notes as of April 30, 2021, and for the three and six months ended April 30, 2021 and 2020, included elsewhere herein. For additional information pertaining to our business, including risk factors which should be considered before investing in our common stock, refer to our Annual Report on Form 10-K for the fiscal year ended October 31,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vinyl fencing,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27"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currently have three reportable business segments: (1) North American Fenestration segment (“NA Fenestration”), comprising three operating segments, manufacturing vinyl profiles, IG spacers, screens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condensed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Transactions and Events</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On March 11, 2020, the WHO declared the outbreak of COVID-19 to be a global pandemic and recommended containment and mitigation measures. Our first priority with regard to the COVID-19 pandemic is to do everything we can to ensure the safety, health and welfare of our employees, customers, suppliers and other partners. With the implementation of health and safety practices at our facilities, we are continuing to supply the industry during this uncertain time, recognizing the essential role the construction industry plays in providing housing and necessary infrastructure.</w:t>
      </w:r>
    </w:p>
    <w:p>
      <w:pPr>
        <w:spacing w:after="0" w:line="103"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As federal, state and local governments react to the public health crisis, significant uncertainties have been created in the economy. The COVID-19 pandemic and its related effects continue to have a significant adverse effect on many sectors of the economy and we may be further impacted.</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part of our response to the COVID-19 pandemic, we have taken the following measures:</w:t>
      </w:r>
    </w:p>
    <w:p>
      <w:pPr>
        <w:spacing w:after="0" w:line="171" w:lineRule="exact"/>
        <w:rPr>
          <w:sz w:val="20"/>
          <w:szCs w:val="20"/>
          <w:color w:val="auto"/>
        </w:rPr>
      </w:pPr>
    </w:p>
    <w:p>
      <w:pPr>
        <w:jc w:val="both"/>
        <w:ind w:left="580" w:hanging="167"/>
        <w:spacing w:after="0" w:line="263"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continuing to provide our products to support critical infrastructure needs while following national, state, and local guidelines required to continue operations during the existence of the pandemic and related local declarations of emergency. However, local or regional hotspots of the pandemic could result in other locations being temporarily idled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due to the need to deep clean areas where an employee who has tested positive for COVID-19 worked or any similar impacts in our supply chain.</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work with our customers to the extent idling affects fulfillment timing.</w:t>
      </w:r>
    </w:p>
    <w:p>
      <w:pPr>
        <w:spacing w:after="0" w:line="157" w:lineRule="exact"/>
        <w:rPr>
          <w:sz w:val="20"/>
          <w:szCs w:val="20"/>
          <w:color w:val="auto"/>
        </w:rPr>
      </w:pPr>
    </w:p>
    <w:p>
      <w:pPr>
        <w:ind w:left="580" w:hanging="167"/>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taken precautionary measures intended to help minimize the risk of the virus to our employees, including temporarily requiring some employees to work remotely.</w:t>
      </w:r>
    </w:p>
    <w:p>
      <w:pPr>
        <w:spacing w:after="0" w:line="116" w:lineRule="exact"/>
        <w:rPr>
          <w:rFonts w:ascii="Arial" w:cs="Arial" w:eastAsia="Arial" w:hAnsi="Arial"/>
          <w:sz w:val="18"/>
          <w:szCs w:val="18"/>
          <w:color w:val="auto"/>
        </w:rPr>
      </w:pPr>
    </w:p>
    <w:p>
      <w:pPr>
        <w:jc w:val="both"/>
        <w:ind w:left="580" w:right="20" w:hanging="167"/>
        <w:spacing w:after="0" w:line="248"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 and Outlook</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1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May 2021, the NAHB forecasted calendar-year housing starts to be 1.5 million for the 2021 calendar-year and 1.6 million for 2022 and 2023. The May 2021, Ducker forecast indicated that total window shipments are expected to increase approximately 8.5% for calendar-year 2021 and approximately 2% for each of the 2022 and 2023 calendar-years. The estimated increase in window shipments for the year ended December 31, 2021 includes an increase in new construction shipments of approximately 13% and an increase in R&amp;R shipments of approximately 4%. In May 2021, Catalina Research estimated that residential semi-custom cabinet demand in the U.S. is estimated to increase 8.0% in 2021 and 6.5% in 2022.</w:t>
      </w:r>
    </w:p>
    <w:p>
      <w:pPr>
        <w:spacing w:after="0" w:line="10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such as silicone, are in high demand, particularly in Europe, which can affect the cost of the raw materials, a portion of which we may not be able to fully recover. Thus far we have not experienced notable supply or logistics disruptions.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23, 2016, citizens of the U.K. voted to exit the European Union (E.U.) (referred to as Brexit). In October 2019, the U.K. and E.U. ratified a withdrawal agreement, and subsequently the U.K. left the E.U. on January 31, 2020. The E.U. rules for trade, travel, and business for the U.K. lapsed on December 31, 2020. In early 2021, the U.K. and the E.U. agreed on a 100% tariff liberalization trade agreement. There will be no tariffs or quotas on the movement of goods produced between the U.K. and the E.U. During this settling in period we could experience extended lead times for raw material imports.</w:t>
      </w:r>
    </w:p>
    <w:p>
      <w:pPr>
        <w:spacing w:after="0" w:line="10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Given the lack of comparable precedent, it is difficult for us to predict the future impacts on our U.K. based operations, which accounted for approximately 15% of our total sales for the year ended October 31, 2020. Since we manufacture and sell a majority of our U.K. products within the U.K., there is minimal risk to our ability to physically deliver goods and complete sales. The primary risk mitigation focus for our U.K. operations centers on the availability and pricing of raw materials. While we source the majority of our raw materials from within the U.K., many of the primary upstream raw materials our vendors use are being sourced from outside of the U.K., which could expose us to cross-border issues and raw material price impacts. We will mitigate this potential impact of Brexit on the import of goods to the U.K. by strategically managing our inventory levels and logistical channels.</w:t>
      </w:r>
    </w:p>
    <w:p>
      <w:pPr>
        <w:spacing w:after="0" w:line="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global economy remains uncertain due to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2021 Compared to Three Months Ended April 30, 2020</w:t>
      </w:r>
    </w:p>
    <w:p>
      <w:pPr>
        <w:spacing w:after="0" w:line="145" w:lineRule="exact"/>
        <w:rPr>
          <w:sz w:val="20"/>
          <w:szCs w:val="20"/>
          <w:color w:val="auto"/>
        </w:rPr>
      </w:pPr>
    </w:p>
    <w:p>
      <w:pPr>
        <w:jc w:val="right"/>
        <w:ind w:right="1360"/>
        <w:spacing w:after="0"/>
        <w:rPr>
          <w:sz w:val="20"/>
          <w:szCs w:val="20"/>
          <w:color w:val="auto"/>
        </w:rPr>
      </w:pPr>
      <w:r>
        <w:rPr>
          <w:rFonts w:ascii="Arial" w:cs="Arial" w:eastAsia="Arial" w:hAnsi="Arial"/>
          <w:sz w:val="16"/>
          <w:szCs w:val="16"/>
          <w:b w:val="1"/>
          <w:bCs w:val="1"/>
          <w:color w:val="auto"/>
        </w:rPr>
        <w:t>Three Months Ended April 30,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sales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 of sales (excluding depreciation and amortization)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Selling, general and administrative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Restructuring charges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 amortization</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income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expense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period-over-period results by reportable segment follow.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Related to Operating Income by Reportable Segment: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Change $</w:t>
            </w:r>
          </w:p>
        </w:tc>
        <w:tc>
          <w:tcPr>
            <w:tcW w:w="1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 Variance</w:t>
            </w:r>
          </w:p>
        </w:tc>
      </w:tr>
      <w:tr>
        <w:trPr>
          <w:trHeight w:val="200"/>
        </w:trPr>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(Dollars in millions)</w:t>
            </w:r>
          </w:p>
        </w:tc>
        <w:tc>
          <w:tcPr>
            <w:tcW w:w="1360" w:type="dxa"/>
            <w:vAlign w:val="bottom"/>
          </w:tcPr>
          <w:p>
            <w:pPr>
              <w:spacing w:after="0"/>
              <w:rPr>
                <w:sz w:val="17"/>
                <w:szCs w:val="17"/>
                <w:color w:val="auto"/>
              </w:rPr>
            </w:pPr>
          </w:p>
        </w:tc>
      </w:tr>
      <w:tr>
        <w:trPr>
          <w:trHeight w:val="241"/>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82.9</w:t>
            </w:r>
          </w:p>
        </w:tc>
        <w:tc>
          <w:tcPr>
            <w:tcW w:w="136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w:t>
            </w: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1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3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3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22"/>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1360" w:type="dxa"/>
            <w:vAlign w:val="bottom"/>
          </w:tcPr>
          <w:p>
            <w:pPr>
              <w:jc w:val="right"/>
              <w:spacing w:after="0"/>
              <w:rPr>
                <w:sz w:val="20"/>
                <w:szCs w:val="20"/>
                <w:color w:val="auto"/>
              </w:rPr>
            </w:pPr>
            <w:r>
              <w:rPr>
                <w:rFonts w:ascii="Arial" w:cs="Arial" w:eastAsia="Arial" w:hAnsi="Arial"/>
                <w:sz w:val="18"/>
                <w:szCs w:val="18"/>
                <w:color w:val="auto"/>
              </w:rPr>
              <w:t>140 %</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36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30"/>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3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36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-1508125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-1216660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-925195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-624840</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-334010</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Three Months Ended April 30,</w:t>
      </w:r>
    </w:p>
    <w:p>
      <w:pPr>
        <w:spacing w:after="0" w:line="26" w:lineRule="exact"/>
        <w:rPr>
          <w:sz w:val="20"/>
          <w:szCs w:val="20"/>
          <w:color w:val="auto"/>
        </w:rPr>
      </w:pPr>
    </w:p>
    <w:p>
      <w:pPr>
        <w:sectPr>
          <w:pgSz w:w="11900" w:h="16838" w:orient="portrait"/>
          <w:cols w:equalWidth="0" w:num="2">
            <w:col w:w="5680" w:space="720"/>
            <w:col w:w="48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 Change</w:t>
            </w:r>
          </w:p>
        </w:tc>
        <w:tc>
          <w:tcPr>
            <w:tcW w:w="12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 Variance</w:t>
            </w:r>
          </w:p>
        </w:tc>
      </w:tr>
      <w:tr>
        <w:trPr>
          <w:trHeight w:val="166"/>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35%</w:t>
            </w: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(32)%</w:t>
            </w: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5"/>
              </w:rPr>
              <w:t>(32)%</w:t>
            </w:r>
          </w:p>
        </w:tc>
      </w:tr>
      <w:tr>
        <w:trPr>
          <w:trHeight w:val="229"/>
        </w:trPr>
        <w:tc>
          <w:tcPr>
            <w:tcW w:w="6280" w:type="dxa"/>
            <w:vAlign w:val="bottom"/>
          </w:tcPr>
          <w:p>
            <w:pPr>
              <w:ind w:left="10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1"/>
              </w:rPr>
              <w:t>100%</w:t>
            </w: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18%</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1"/>
              </w:rPr>
              <w:t>112%</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bl>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$37.6 million, or 35%, for the three months ended April 30, 2021 compared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$33.5 million increase in volumes, including a recovery from prior year COVID-19 impacts, and an increase in price and raw material surcharges of $4.1 million.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The cost of sales increased $27.3 million, or 32%, for the three months ended April 30, 2021 compared to the same period in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sales increased primarily due to higher volumes during the period.</w:t>
      </w:r>
    </w:p>
    <w:p>
      <w:pPr>
        <w:spacing w:after="0" w:line="130"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Selling, General and Administrative. S</w:t>
      </w:r>
      <w:r>
        <w:rPr>
          <w:rFonts w:ascii="Arial" w:cs="Arial" w:eastAsia="Arial" w:hAnsi="Arial"/>
          <w:sz w:val="17"/>
          <w:szCs w:val="17"/>
          <w:color w:val="auto"/>
        </w:rPr>
        <w:t>elling, general and administrative expenses increased $3.2 million, or 32%,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April 30, 2021 compared to the same period in 2020, primarily due to higher compensation and increased general expenses year-over-year.</w:t>
      </w:r>
    </w:p>
    <w:p>
      <w:pPr>
        <w:spacing w:after="0" w:line="7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Restructuring charges for the three months ended April 30, 2020 relate to facility lease expense for a U.S. vinyl extrusion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plant which was closed in January 2017. We exited the lease during December 2020.</w:t>
      </w:r>
    </w:p>
    <w:p>
      <w:pPr>
        <w:spacing w:after="0" w:line="103"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decreased $1.1 million for the three months ended April 30, 2021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same period in 2020, reflecting the run-off of depreciation expense related to existing assets and disposals during the period.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6"/>
                <w:szCs w:val="16"/>
                <w:b w:val="1"/>
                <w:bCs w:val="1"/>
                <w:color w:val="auto"/>
                <w:w w:val="96"/>
              </w:rPr>
              <w:t>Three Months Ended April 30,</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 Change</w:t>
            </w: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6"/>
              </w:rPr>
              <w:t>111%</w:t>
            </w:r>
          </w:p>
        </w:tc>
        <w:tc>
          <w:tcPr>
            <w:tcW w:w="0" w:type="dxa"/>
            <w:vAlign w:val="bottom"/>
          </w:tcPr>
          <w:p>
            <w:pPr>
              <w:spacing w:after="0"/>
              <w:rPr>
                <w:sz w:val="1"/>
                <w:szCs w:val="1"/>
                <w:color w:val="auto"/>
              </w:rPr>
            </w:pPr>
          </w:p>
        </w:tc>
      </w:tr>
      <w:tr>
        <w:trPr>
          <w:trHeight w:val="229"/>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(97)%</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5"/>
              </w:rPr>
              <w:t>(40)%</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0" w:type="dxa"/>
            <w:vAlign w:val="bottom"/>
            <w:tcBorders>
              <w:bottom w:val="single" w:sz="8" w:color="CCEEFF"/>
            </w:tcBorders>
          </w:tcPr>
          <w:p>
            <w:pPr>
              <w:jc w:val="center"/>
              <w:ind w:left="13"/>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1"/>
              </w:rPr>
              <w:t>1,600%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17 %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$32.4 million, or 111%, for the three months ended April 30, 2021 compared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$28.3 million increase in volumes, including a recovery from prior year COVID-19 impacts and the reopening of manufacturing facilities in the U.K. which were forced to close for several weeks in the second quarter of 2020, $2.9 million of foreign currency rate changes, and $1.2 million of base price increases.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The cost of sales increased $20.4 million, or 97%, for the three months ended April 30, 2021 compared to the same period in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sales increased primarily due to higher volumes during the period.</w:t>
      </w:r>
    </w:p>
    <w:p>
      <w:pPr>
        <w:spacing w:after="0" w:line="14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increased $2.1 million, or 40%,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30, 2021 compared to the same period in 2020. The increase is primarily due to higher compensation, general expenses and foreign currency impacts year-over-year.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6"/>
                <w:szCs w:val="16"/>
                <w:b w:val="1"/>
                <w:bCs w:val="1"/>
                <w:color w:val="auto"/>
                <w:w w:val="96"/>
              </w:rPr>
              <w:t>Three Months Ended April 30,</w:t>
            </w:r>
          </w:p>
        </w:tc>
        <w:tc>
          <w:tcPr>
            <w:tcW w:w="1200" w:type="dxa"/>
            <w:vAlign w:val="bottom"/>
            <w:tcBorders>
              <w:bottom w:val="single" w:sz="8" w:color="auto"/>
            </w:tcBorders>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 Change</w:t>
            </w: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Variance %</w:t>
            </w:r>
          </w:p>
        </w:tc>
      </w:tr>
      <w:tr>
        <w:trPr>
          <w:trHeight w:val="166"/>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25%</w:t>
            </w: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(25)%</w:t>
            </w: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5"/>
              </w:rPr>
              <w:t>(33)%</w:t>
            </w:r>
          </w:p>
        </w:tc>
      </w:tr>
      <w:tr>
        <w:trPr>
          <w:trHeight w:val="229"/>
        </w:trPr>
        <w:tc>
          <w:tcPr>
            <w:tcW w:w="6280" w:type="dxa"/>
            <w:vAlign w:val="bottom"/>
          </w:tcPr>
          <w:p>
            <w:pPr>
              <w:ind w:left="10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1"/>
              </w:rPr>
              <w:t>100%</w:t>
            </w: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6%</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4"/>
              </w:rPr>
              <w:t>92%</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bl>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$12.9 million, or 25%, for the three months ended April 30, 2021 compared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an $11.4 million increase in volumes, including a recovery from prior year COVID-19 impacts, and an increase in price and raw material indexes of $1.5 million.</w:t>
      </w:r>
    </w:p>
    <w:p>
      <w:pPr>
        <w:spacing w:after="0" w:line="103"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$10.9 million, or 25%, for the three months ended April 30, 2021 compared to the same period in 2020.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increased primarily due to higher volumes during the period and rising lumber prices, which are recovered on a lag.</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increased $1.3 million, or 33%,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30, 2021 compared to the same period in 2020, primarily due to higher compensation and general expenses year-over-year.</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Restructuring Charges</w:t>
      </w:r>
      <w:r>
        <w:rPr>
          <w:rFonts w:ascii="Arial" w:cs="Arial" w:eastAsia="Arial" w:hAnsi="Arial"/>
          <w:sz w:val="18"/>
          <w:szCs w:val="18"/>
          <w:color w:val="auto"/>
        </w:rPr>
        <w:t>. Restructuring charges for the three months ended April 30, 2020 related to severance, equipment moving, and other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for a plant closure.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6"/>
                <w:szCs w:val="16"/>
                <w:b w:val="1"/>
                <w:bCs w:val="1"/>
                <w:color w:val="auto"/>
                <w:w w:val="97"/>
              </w:rPr>
              <w:t>Three Months Ended April 30,</w:t>
            </w:r>
          </w:p>
        </w:tc>
        <w:tc>
          <w:tcPr>
            <w:tcW w:w="1220" w:type="dxa"/>
            <w:vAlign w:val="bottom"/>
            <w:tcBorders>
              <w:bottom w:val="single" w:sz="8" w:color="auto"/>
            </w:tcBorders>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Variance %</w:t>
            </w:r>
          </w:p>
        </w:tc>
      </w:tr>
      <w:tr>
        <w:trPr>
          <w:trHeight w:val="166"/>
        </w:trPr>
        <w:tc>
          <w:tcPr>
            <w:tcW w:w="6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533"/>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4"/>
                <w:szCs w:val="14"/>
                <w:color w:val="auto"/>
              </w:rPr>
            </w:pPr>
          </w:p>
        </w:tc>
      </w:tr>
      <w:tr>
        <w:trPr>
          <w:trHeight w:val="235"/>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91"/>
              </w:rPr>
              <w:t>(1.0)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r>
      <w:tr>
        <w:trPr>
          <w:trHeight w:val="229"/>
        </w:trPr>
        <w:tc>
          <w:tcPr>
            <w:tcW w:w="64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7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center"/>
              <w:ind w:left="375"/>
              <w:spacing w:after="0"/>
              <w:rPr>
                <w:sz w:val="20"/>
                <w:szCs w:val="20"/>
                <w:color w:val="auto"/>
              </w:rPr>
            </w:pPr>
            <w:r>
              <w:rPr>
                <w:rFonts w:ascii="Arial" w:cs="Arial" w:eastAsia="Arial" w:hAnsi="Arial"/>
                <w:sz w:val="18"/>
                <w:szCs w:val="18"/>
                <w:color w:val="auto"/>
                <w:w w:val="91"/>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5"/>
              </w:rPr>
              <w:t>(33)%</w:t>
            </w:r>
          </w:p>
        </w:tc>
      </w:tr>
      <w:tr>
        <w:trPr>
          <w:trHeight w:val="230"/>
        </w:trPr>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91"/>
              </w:rPr>
              <w:t>(2.6)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(242)%</w:t>
            </w:r>
          </w:p>
        </w:tc>
      </w:tr>
      <w:tr>
        <w:trPr>
          <w:trHeight w:val="229"/>
        </w:trPr>
        <w:tc>
          <w:tcPr>
            <w:tcW w:w="6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415"/>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9"/>
              </w:rPr>
              <w:t>—%</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74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center"/>
              <w:ind w:left="415"/>
              <w:spacing w:after="0"/>
              <w:rPr>
                <w:sz w:val="20"/>
                <w:szCs w:val="20"/>
                <w:color w:val="auto"/>
              </w:rPr>
            </w:pPr>
            <w:r>
              <w:rPr>
                <w:rFonts w:ascii="Arial" w:cs="Arial" w:eastAsia="Arial" w:hAnsi="Arial"/>
                <w:sz w:val="18"/>
                <w:szCs w:val="18"/>
                <w:color w:val="auto"/>
                <w:w w:val="87"/>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2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2"/>
              </w:rPr>
              <w:t>(310)%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Unallocated Corporate &amp; Other represents the elimination of inter-segment sales for the three months ended April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2020.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p>
    <w:p>
      <w:pPr>
        <w:spacing w:after="0" w:line="19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increased $6.3 million, or 242%,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30, 2021 compared to the same period in 2020. This increase is attributable to $5.2 million of higher compensation expense related to the valuations of our stock based compensation awards and executive bonuses and $1.5 million of medical expenses due to a higher claims experience during the three months ended April 30, 2021 as compared to the prior year period. These increases were partially offset by a reduction in executive severance and legal charges.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$1.0 million for the three months ended April 30, 2021 compared to the same period in 2020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lower interest rates and lower borrowings during the period.</w:t>
      </w:r>
    </w:p>
    <w:p>
      <w:pPr>
        <w:spacing w:after="0" w:line="11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recorded income tax</w:t>
      </w:r>
      <w:r>
        <w:rPr>
          <w:rFonts w:ascii="Arial" w:cs="Arial" w:eastAsia="Arial" w:hAnsi="Arial"/>
          <w:sz w:val="17"/>
          <w:szCs w:val="17"/>
          <w:i w:val="1"/>
          <w:iCs w:val="1"/>
          <w:color w:val="auto"/>
        </w:rPr>
        <w:t xml:space="preserve"> </w:t>
      </w:r>
      <w:r>
        <w:rPr>
          <w:rFonts w:ascii="Arial" w:cs="Arial" w:eastAsia="Arial" w:hAnsi="Arial"/>
          <w:sz w:val="15"/>
          <w:szCs w:val="15"/>
          <w:color w:val="auto"/>
        </w:rPr>
        <w:t>expense</w:t>
      </w:r>
      <w:r>
        <w:rPr>
          <w:rFonts w:ascii="Arial" w:cs="Arial" w:eastAsia="Arial" w:hAnsi="Arial"/>
          <w:sz w:val="17"/>
          <w:szCs w:val="17"/>
          <w:i w:val="1"/>
          <w:iCs w:val="1"/>
          <w:color w:val="auto"/>
        </w:rPr>
        <w:t xml:space="preserve"> </w:t>
      </w:r>
      <w:r>
        <w:rPr>
          <w:rFonts w:ascii="Arial" w:cs="Arial" w:eastAsia="Arial" w:hAnsi="Arial"/>
          <w:sz w:val="17"/>
          <w:szCs w:val="17"/>
          <w:color w:val="auto"/>
        </w:rPr>
        <w:t>of $6.5 million on pre-tax</w:t>
      </w:r>
      <w:r>
        <w:rPr>
          <w:rFonts w:ascii="Arial" w:cs="Arial" w:eastAsia="Arial" w:hAnsi="Arial"/>
          <w:sz w:val="17"/>
          <w:szCs w:val="17"/>
          <w:i w:val="1"/>
          <w:iCs w:val="1"/>
          <w:color w:val="auto"/>
        </w:rPr>
        <w:t xml:space="preserve"> </w:t>
      </w:r>
      <w:r>
        <w:rPr>
          <w:rFonts w:ascii="Arial" w:cs="Arial" w:eastAsia="Arial" w:hAnsi="Arial"/>
          <w:sz w:val="15"/>
          <w:szCs w:val="15"/>
          <w:color w:val="auto"/>
        </w:rPr>
        <w:t>income</w:t>
      </w:r>
      <w:r>
        <w:rPr>
          <w:rFonts w:ascii="Arial" w:cs="Arial" w:eastAsia="Arial" w:hAnsi="Arial"/>
          <w:sz w:val="17"/>
          <w:szCs w:val="17"/>
          <w:i w:val="1"/>
          <w:iCs w:val="1"/>
          <w:color w:val="auto"/>
        </w:rPr>
        <w:t xml:space="preserve"> </w:t>
      </w:r>
      <w:r>
        <w:rPr>
          <w:rFonts w:ascii="Arial" w:cs="Arial" w:eastAsia="Arial" w:hAnsi="Arial"/>
          <w:sz w:val="17"/>
          <w:szCs w:val="17"/>
          <w:color w:val="auto"/>
        </w:rPr>
        <w:t>of $21.0 million for the three months ended April 30, 2021,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effective rate of 30.7%, and income tax </w:t>
      </w:r>
      <w:r>
        <w:rPr>
          <w:rFonts w:ascii="Arial" w:cs="Arial" w:eastAsia="Arial" w:hAnsi="Arial"/>
          <w:sz w:val="15"/>
          <w:szCs w:val="15"/>
          <w:color w:val="auto"/>
        </w:rPr>
        <w:t>expense</w:t>
      </w:r>
      <w:r>
        <w:rPr>
          <w:rFonts w:ascii="Arial" w:cs="Arial" w:eastAsia="Arial" w:hAnsi="Arial"/>
          <w:sz w:val="17"/>
          <w:szCs w:val="17"/>
          <w:color w:val="auto"/>
        </w:rPr>
        <w:t xml:space="preserve"> of $2.1 million on pre-tax </w:t>
      </w:r>
      <w:r>
        <w:rPr>
          <w:rFonts w:ascii="Arial" w:cs="Arial" w:eastAsia="Arial" w:hAnsi="Arial"/>
          <w:sz w:val="15"/>
          <w:szCs w:val="15"/>
          <w:color w:val="auto"/>
        </w:rPr>
        <w:t>income</w:t>
      </w:r>
      <w:r>
        <w:rPr>
          <w:rFonts w:ascii="Arial" w:cs="Arial" w:eastAsia="Arial" w:hAnsi="Arial"/>
          <w:sz w:val="17"/>
          <w:szCs w:val="17"/>
          <w:color w:val="auto"/>
        </w:rPr>
        <w:t xml:space="preserve"> of $7.6 million for the three months ended April 30, 2020, an effective rate of 27.9%. The $4.4 million increase in income tax expense year-over-year corresponds with the increase in pre-tax </w:t>
      </w:r>
      <w:r>
        <w:rPr>
          <w:rFonts w:ascii="Arial" w:cs="Arial" w:eastAsia="Arial" w:hAnsi="Arial"/>
          <w:sz w:val="15"/>
          <w:szCs w:val="15"/>
          <w:color w:val="auto"/>
        </w:rPr>
        <w:t>income</w:t>
      </w:r>
      <w:r>
        <w:rPr>
          <w:rFonts w:ascii="Arial" w:cs="Arial" w:eastAsia="Arial" w:hAnsi="Arial"/>
          <w:sz w:val="17"/>
          <w:szCs w:val="17"/>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April 30, 2021 Compared to Six Months Ended April 30,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6"/>
                <w:szCs w:val="16"/>
                <w:b w:val="1"/>
                <w:bCs w:val="1"/>
                <w:color w:val="auto"/>
                <w:w w:val="95"/>
              </w:rPr>
              <w:t>Six Months Ended April 30,</w:t>
            </w:r>
          </w:p>
        </w:tc>
        <w:tc>
          <w:tcPr>
            <w:tcW w:w="1360" w:type="dxa"/>
            <w:vAlign w:val="bottom"/>
            <w:tcBorders>
              <w:bottom w:val="single" w:sz="8" w:color="auto"/>
            </w:tcBorders>
          </w:tcPr>
          <w:p>
            <w:pPr>
              <w:spacing w:after="0"/>
              <w:rPr>
                <w:sz w:val="18"/>
                <w:szCs w:val="18"/>
                <w:color w:val="auto"/>
              </w:rPr>
            </w:pPr>
          </w:p>
        </w:tc>
      </w:tr>
      <w:tr>
        <w:trPr>
          <w:trHeight w:val="206"/>
        </w:trPr>
        <w:tc>
          <w:tcPr>
            <w:tcW w:w="6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Change $</w:t>
            </w: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 Variance</w:t>
            </w:r>
          </w:p>
        </w:tc>
      </w:tr>
      <w:tr>
        <w:trPr>
          <w:trHeight w:val="210"/>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(Dollars in millions)</w:t>
            </w:r>
          </w:p>
        </w:tc>
        <w:tc>
          <w:tcPr>
            <w:tcW w:w="1360" w:type="dxa"/>
            <w:vAlign w:val="bottom"/>
          </w:tcPr>
          <w:p>
            <w:pPr>
              <w:spacing w:after="0"/>
              <w:rPr>
                <w:sz w:val="18"/>
                <w:szCs w:val="18"/>
                <w:color w:val="auto"/>
              </w:rPr>
            </w:pPr>
          </w:p>
        </w:tc>
      </w:tr>
      <w:tr>
        <w:trPr>
          <w:trHeight w:val="23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Cost of sales (excluding 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3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w:t>
            </w:r>
          </w:p>
        </w:tc>
        <w:tc>
          <w:tcPr>
            <w:tcW w:w="1360" w:type="dxa"/>
            <w:vAlign w:val="bottom"/>
          </w:tcPr>
          <w:p>
            <w:pPr>
              <w:jc w:val="right"/>
              <w:spacing w:after="0"/>
              <w:rPr>
                <w:sz w:val="20"/>
                <w:szCs w:val="20"/>
                <w:color w:val="auto"/>
              </w:rPr>
            </w:pPr>
            <w:r>
              <w:rPr>
                <w:rFonts w:ascii="Arial" w:cs="Arial" w:eastAsia="Arial" w:hAnsi="Arial"/>
                <w:sz w:val="18"/>
                <w:szCs w:val="18"/>
                <w:color w:val="auto"/>
              </w:rPr>
              <w:t>205 %</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36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360" w:type="dxa"/>
            <w:vAlign w:val="bottom"/>
          </w:tcPr>
          <w:p>
            <w:pPr>
              <w:jc w:val="right"/>
              <w:spacing w:after="0"/>
              <w:rPr>
                <w:sz w:val="20"/>
                <w:szCs w:val="20"/>
                <w:color w:val="auto"/>
              </w:rPr>
            </w:pPr>
            <w:r>
              <w:rPr>
                <w:rFonts w:ascii="Arial" w:cs="Arial" w:eastAsia="Arial" w:hAnsi="Arial"/>
                <w:sz w:val="18"/>
                <w:szCs w:val="18"/>
                <w:color w:val="auto"/>
              </w:rPr>
              <w:t>307 %</w:t>
            </w:r>
          </w:p>
        </w:tc>
      </w:tr>
      <w:tr>
        <w:trPr>
          <w:trHeight w:val="21"/>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period-over-period results by reportable segment follow.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6"/>
                <w:szCs w:val="16"/>
                <w:b w:val="1"/>
                <w:bCs w:val="1"/>
                <w:color w:val="auto"/>
                <w:w w:val="94"/>
              </w:rPr>
              <w:t>Six Months Ended April 30,</w:t>
            </w:r>
          </w:p>
        </w:tc>
        <w:tc>
          <w:tcPr>
            <w:tcW w:w="1200" w:type="dxa"/>
            <w:vAlign w:val="bottom"/>
            <w:tcBorders>
              <w:bottom w:val="single" w:sz="8" w:color="auto"/>
            </w:tcBorders>
          </w:tcPr>
          <w:p>
            <w:pPr>
              <w:spacing w:after="0"/>
              <w:rPr>
                <w:sz w:val="18"/>
                <w:szCs w:val="18"/>
                <w:color w:val="auto"/>
              </w:rPr>
            </w:pPr>
          </w:p>
        </w:tc>
      </w:tr>
      <w:tr>
        <w:trPr>
          <w:trHeight w:val="184"/>
        </w:trPr>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 Change</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 Variance</w:t>
            </w:r>
          </w:p>
        </w:tc>
      </w:tr>
      <w:tr>
        <w:trPr>
          <w:trHeight w:val="165"/>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25%</w:t>
            </w:r>
          </w:p>
        </w:tc>
      </w:tr>
      <w:tr>
        <w:trPr>
          <w:trHeight w:val="229"/>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(22)%</w:t>
            </w:r>
          </w:p>
        </w:tc>
      </w:tr>
      <w:tr>
        <w:trPr>
          <w:trHeight w:val="229"/>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1"/>
              </w:rPr>
              <w:t>(11)%</w:t>
            </w: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1"/>
              </w:rPr>
              <w:t>100%</w:t>
            </w:r>
          </w:p>
        </w:tc>
      </w:tr>
      <w:tr>
        <w:trPr>
          <w:trHeight w:val="229"/>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22%</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1"/>
              </w:rPr>
              <w:t>196%</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margin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bl>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$55.3 million, or 25%, for the six months ended April 30, 2021 compared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$48.3 million increase in volumes, including a recovery from prior year COVID-19 impacts, and an increase in price and raw material surcharges of $7.0 million.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The cost of sales increased $38.0 million, or 22%, for the six months ended April 30, 2021 as compared to the same period in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sales increased primarily due to higher volumes during the period.</w:t>
      </w:r>
    </w:p>
    <w:p>
      <w:pPr>
        <w:spacing w:after="0" w:line="13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Selling, General and Administrative. S</w:t>
      </w:r>
      <w:r>
        <w:rPr>
          <w:rFonts w:ascii="Arial" w:cs="Arial" w:eastAsia="Arial" w:hAnsi="Arial"/>
          <w:sz w:val="18"/>
          <w:szCs w:val="18"/>
          <w:color w:val="auto"/>
        </w:rPr>
        <w:t>elling, general and administrative expenses increased $2.6 million, or 11%, for the six months ended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as compared to the same period in 2020. This increase was due primarily to higher compensation year-over-year.</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Restructuring charges for the six months April, 30 2020 relate to facility lease expense for a U.S. vinyl extrusion plant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closed in January 2017. We exited the lease during December 2020.</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decreased $2.9 million compared to the six months ended April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reflecting the run-off of depreciation expense related to existing assets and disposals during the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6"/>
                <w:szCs w:val="16"/>
                <w:b w:val="1"/>
                <w:bCs w:val="1"/>
                <w:color w:val="auto"/>
                <w:w w:val="94"/>
              </w:rPr>
              <w:t>Six Months Ended April 30,</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 Change</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c>
          <w:tcPr>
            <w:tcW w:w="0" w:type="dxa"/>
            <w:vAlign w:val="bottom"/>
          </w:tcPr>
          <w:p>
            <w:pPr>
              <w:spacing w:after="0"/>
              <w:rPr>
                <w:sz w:val="1"/>
                <w:szCs w:val="1"/>
                <w:color w:val="auto"/>
              </w:rPr>
            </w:pPr>
          </w:p>
        </w:tc>
      </w:tr>
      <w:tr>
        <w:trPr>
          <w:trHeight w:val="165"/>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4"/>
          </w:tcPr>
          <w:p>
            <w:pPr>
              <w:jc w:val="right"/>
              <w:ind w:right="654"/>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4"/>
              </w:rPr>
              <w:t>68%</w:t>
            </w:r>
          </w:p>
        </w:tc>
        <w:tc>
          <w:tcPr>
            <w:tcW w:w="0" w:type="dxa"/>
            <w:vAlign w:val="bottom"/>
          </w:tcPr>
          <w:p>
            <w:pPr>
              <w:spacing w:after="0"/>
              <w:rPr>
                <w:sz w:val="1"/>
                <w:szCs w:val="1"/>
                <w:color w:val="auto"/>
              </w:rPr>
            </w:pP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w:t>
            </w:r>
          </w:p>
        </w:tc>
        <w:tc>
          <w:tcPr>
            <w:tcW w:w="1200" w:type="dxa"/>
            <w:vAlign w:val="bottom"/>
          </w:tcPr>
          <w:p>
            <w:pPr>
              <w:jc w:val="center"/>
              <w:ind w:left="14"/>
              <w:spacing w:after="0"/>
              <w:rPr>
                <w:sz w:val="20"/>
                <w:szCs w:val="20"/>
                <w:color w:val="auto"/>
              </w:rPr>
            </w:pPr>
            <w:r>
              <w:rPr>
                <w:rFonts w:ascii="Arial" w:cs="Arial" w:eastAsia="Arial" w:hAnsi="Arial"/>
                <w:sz w:val="18"/>
                <w:szCs w:val="18"/>
                <w:color w:val="auto"/>
                <w:w w:val="95"/>
              </w:rPr>
              <w:t>(58)%</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1"/>
              </w:rPr>
              <w:t>384%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Arial" w:cs="Arial" w:eastAsia="Arial" w:hAnsi="Arial"/>
                <w:sz w:val="18"/>
                <w:szCs w:val="18"/>
                <w:color w:val="auto"/>
              </w:rPr>
              <w:t>17 %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$44.7 million, or 68%, comparing the six months ended April 30, 2021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$37.5 million increase in volumes, including a recovery from prior year COVID-19 impacts and the reopening of manufacturing facilities in the U.K. which were forced to close for several weeks in the second quarter of 2020, $4.8 million of foreign currency rate changes, and $2.4 million of base price increases.</w:t>
      </w:r>
    </w:p>
    <w:p>
      <w:pPr>
        <w:spacing w:after="0" w:line="11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increased $27.0 million, or 58%, for the six months ended April 30, 2021 compared to the same period in 2020.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sales increased primarily due to higher volumes during the period.</w:t>
      </w:r>
    </w:p>
    <w:p>
      <w:pPr>
        <w:spacing w:after="0" w:line="10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increased $2.7 million, or 24%, for the six months ended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same period in 2020. The increase is primarily due to higher compensation, general expenses and foreign currency impacts year-over-year.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6"/>
                <w:szCs w:val="16"/>
                <w:b w:val="1"/>
                <w:bCs w:val="1"/>
                <w:color w:val="auto"/>
                <w:w w:val="94"/>
              </w:rPr>
              <w:t>Six Months Ended April 30,</w:t>
            </w:r>
          </w:p>
        </w:tc>
        <w:tc>
          <w:tcPr>
            <w:tcW w:w="1200" w:type="dxa"/>
            <w:vAlign w:val="bottom"/>
            <w:tcBorders>
              <w:bottom w:val="single" w:sz="8" w:color="auto"/>
            </w:tcBorders>
          </w:tcPr>
          <w:p>
            <w:pPr>
              <w:spacing w:after="0"/>
              <w:rPr>
                <w:sz w:val="18"/>
                <w:szCs w:val="18"/>
                <w:color w:val="auto"/>
              </w:rPr>
            </w:pPr>
          </w:p>
        </w:tc>
      </w:tr>
      <w:tr>
        <w:trPr>
          <w:trHeight w:val="184"/>
        </w:trPr>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 Change</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r>
      <w:tr>
        <w:trPr>
          <w:trHeight w:val="165"/>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17%</w:t>
            </w: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(15)%</w:t>
            </w:r>
          </w:p>
        </w:tc>
      </w:tr>
      <w:tr>
        <w:trPr>
          <w:trHeight w:val="229"/>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5"/>
              </w:rPr>
              <w:t>(16)%</w:t>
            </w: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1"/>
              </w:rPr>
              <w:t>100%</w:t>
            </w:r>
          </w:p>
        </w:tc>
      </w:tr>
      <w:tr>
        <w:trPr>
          <w:trHeight w:val="229"/>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4%</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4"/>
              </w:rPr>
              <w:t>94%</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margin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bl>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$16.9 million, or 17%, for the six months ended April 30, 2021 compared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$15.8 million increase in volumes, including a recovery from prior year COVID-19 impacts, and an increase in price and raw material indexes of $1.1 million.</w:t>
      </w:r>
    </w:p>
    <w:p>
      <w:pPr>
        <w:spacing w:after="0" w:line="103"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$13.0 million, or 15%, for the six months ended April 30, 2021 compared with the same period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higher volumes and rising lumber prices, which are recovered on a lag.</w:t>
      </w:r>
    </w:p>
    <w:p>
      <w:pPr>
        <w:spacing w:after="0" w:line="103"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increased $1.4 million, or 16%, for the six months ended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same period in 2020, primarily due to higher compensation and general expenses year-over-year.</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Restructuring Charges</w:t>
      </w:r>
      <w:r>
        <w:rPr>
          <w:rFonts w:ascii="Arial" w:cs="Arial" w:eastAsia="Arial" w:hAnsi="Arial"/>
          <w:sz w:val="18"/>
          <w:szCs w:val="18"/>
          <w:color w:val="auto"/>
        </w:rPr>
        <w:t>. Restructuring charges of $0.2 million in the six months ended April 30, 2020 related to severance, equipment moving,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charges incurred for a plant closure.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6"/>
                <w:szCs w:val="16"/>
                <w:b w:val="1"/>
                <w:bCs w:val="1"/>
                <w:color w:val="auto"/>
                <w:w w:val="94"/>
              </w:rPr>
              <w:t>Six Months Ended April 30,</w:t>
            </w:r>
          </w:p>
        </w:tc>
        <w:tc>
          <w:tcPr>
            <w:tcW w:w="1220" w:type="dxa"/>
            <w:vAlign w:val="bottom"/>
            <w:tcBorders>
              <w:bottom w:val="single" w:sz="8" w:color="auto"/>
            </w:tcBorders>
          </w:tcPr>
          <w:p>
            <w:pPr>
              <w:spacing w:after="0"/>
              <w:rPr>
                <w:sz w:val="18"/>
                <w:szCs w:val="18"/>
                <w:color w:val="auto"/>
              </w:rPr>
            </w:pPr>
          </w:p>
        </w:tc>
      </w:tr>
      <w:tr>
        <w:trPr>
          <w:trHeight w:val="184"/>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 Change</w:t>
            </w: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r>
      <w:tr>
        <w:trPr>
          <w:trHeight w:val="165"/>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right"/>
              <w:ind w:right="534"/>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4"/>
                <w:szCs w:val="14"/>
                <w:color w:val="auto"/>
              </w:rPr>
            </w:pPr>
          </w:p>
        </w:tc>
      </w:tr>
      <w:tr>
        <w:trPr>
          <w:trHeight w:val="235"/>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w w:val="91"/>
              </w:rPr>
              <w:t>(1.6)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5"/>
              </w:rPr>
              <w:t>(31)%</w:t>
            </w:r>
          </w:p>
        </w:tc>
      </w:tr>
      <w:tr>
        <w:trPr>
          <w:trHeight w:val="230"/>
        </w:trPr>
        <w:tc>
          <w:tcPr>
            <w:tcW w:w="64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left="477"/>
              <w:spacing w:after="0"/>
              <w:rPr>
                <w:sz w:val="20"/>
                <w:szCs w:val="20"/>
                <w:color w:val="auto"/>
              </w:rPr>
            </w:pPr>
            <w:r>
              <w:rPr>
                <w:rFonts w:ascii="Arial" w:cs="Arial" w:eastAsia="Arial" w:hAnsi="Arial"/>
                <w:sz w:val="18"/>
                <w:szCs w:val="18"/>
                <w:color w:val="auto"/>
                <w:w w:val="91"/>
              </w:rPr>
              <w:t>(0.8)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5"/>
              </w:rPr>
              <w:t>(38)%</w:t>
            </w:r>
          </w:p>
        </w:tc>
      </w:tr>
      <w:tr>
        <w:trPr>
          <w:trHeight w:val="230"/>
        </w:trPr>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w w:val="91"/>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2"/>
              </w:rPr>
              <w:t>(565)%</w:t>
            </w:r>
          </w:p>
        </w:tc>
      </w:tr>
      <w:tr>
        <w:trPr>
          <w:trHeight w:val="230"/>
        </w:trPr>
        <w:tc>
          <w:tcPr>
            <w:tcW w:w="6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87"/>
              </w:rPr>
              <w:t>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4"/>
              </w:rPr>
              <w:t>33%</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color w:val="auto"/>
                <w:w w:val="87"/>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2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3"/>
              </w:rPr>
              <w:t>(1,092)%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for Unallocated Corporate &amp; Other represents the elimination of inter-segment sales for the six months ended April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p>
    <w:p>
      <w:pPr>
        <w:spacing w:after="0" w:line="19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increased $13.0 million, or 565%,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30, 2021 compared to the same period in 2020. This increase is attributable to $9.7 million of higher compensation expense related to the valuations of our stock based compensation awards and executive bonuses, $3.1 million of medical expenses due to a higher claims experience during the six months ended April 30, 2021 as compared to the prior year period, and $1.4 million of loss on the sale of a plant. These increases were partially offset by a reduction in executive severance and legal charges.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10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$1.7 million for the six months ended April 30, 2021 compared to the same period in 2020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lower interest rates and lower borrowings during the period.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recorded income tax</w:t>
      </w:r>
      <w:r>
        <w:rPr>
          <w:rFonts w:ascii="Arial" w:cs="Arial" w:eastAsia="Arial" w:hAnsi="Arial"/>
          <w:sz w:val="16"/>
          <w:szCs w:val="16"/>
          <w:i w:val="1"/>
          <w:iCs w:val="1"/>
          <w:color w:val="auto"/>
        </w:rPr>
        <w:t xml:space="preserve"> </w:t>
      </w:r>
      <w:r>
        <w:rPr>
          <w:rFonts w:ascii="Arial" w:cs="Arial" w:eastAsia="Arial" w:hAnsi="Arial"/>
          <w:sz w:val="14"/>
          <w:szCs w:val="14"/>
          <w:color w:val="auto"/>
        </w:rPr>
        <w:t>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of $9.9 million on pre-tax</w:t>
      </w:r>
      <w:r>
        <w:rPr>
          <w:rFonts w:ascii="Arial" w:cs="Arial" w:eastAsia="Arial" w:hAnsi="Arial"/>
          <w:sz w:val="16"/>
          <w:szCs w:val="16"/>
          <w:i w:val="1"/>
          <w:iCs w:val="1"/>
          <w:color w:val="auto"/>
        </w:rPr>
        <w:t xml:space="preserve"> </w:t>
      </w:r>
      <w:r>
        <w:rPr>
          <w:rFonts w:ascii="Arial" w:cs="Arial" w:eastAsia="Arial" w:hAnsi="Arial"/>
          <w:sz w:val="14"/>
          <w:szCs w:val="14"/>
          <w:color w:val="auto"/>
        </w:rPr>
        <w:t>income</w:t>
      </w:r>
      <w:r>
        <w:rPr>
          <w:rFonts w:ascii="Arial" w:cs="Arial" w:eastAsia="Arial" w:hAnsi="Arial"/>
          <w:sz w:val="16"/>
          <w:szCs w:val="16"/>
          <w:i w:val="1"/>
          <w:iCs w:val="1"/>
          <w:color w:val="auto"/>
        </w:rPr>
        <w:t xml:space="preserve"> </w:t>
      </w:r>
      <w:r>
        <w:rPr>
          <w:rFonts w:ascii="Arial" w:cs="Arial" w:eastAsia="Arial" w:hAnsi="Arial"/>
          <w:sz w:val="16"/>
          <w:szCs w:val="16"/>
          <w:color w:val="auto"/>
        </w:rPr>
        <w:t>of $32.3 million for the six months ended April 30, 2021,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rate of 30.6%, and income tax </w:t>
      </w:r>
      <w:r>
        <w:rPr>
          <w:rFonts w:ascii="Arial" w:cs="Arial" w:eastAsia="Arial" w:hAnsi="Arial"/>
          <w:sz w:val="14"/>
          <w:szCs w:val="14"/>
          <w:color w:val="auto"/>
        </w:rPr>
        <w:t>expense</w:t>
      </w:r>
      <w:r>
        <w:rPr>
          <w:rFonts w:ascii="Arial" w:cs="Arial" w:eastAsia="Arial" w:hAnsi="Arial"/>
          <w:sz w:val="16"/>
          <w:szCs w:val="16"/>
          <w:color w:val="auto"/>
        </w:rPr>
        <w:t xml:space="preserve"> of $2.6 million on a pre-tax income of $8.1 million for the six months ended April 30, 2020, an effective</w:t>
      </w:r>
    </w:p>
    <w:p>
      <w:pPr>
        <w:spacing w:after="0"/>
        <w:rPr>
          <w:sz w:val="20"/>
          <w:szCs w:val="20"/>
          <w:color w:val="auto"/>
        </w:rPr>
      </w:pPr>
      <w:r>
        <w:rPr>
          <w:rFonts w:ascii="Arial" w:cs="Arial" w:eastAsia="Arial" w:hAnsi="Arial"/>
          <w:sz w:val="18"/>
          <w:szCs w:val="18"/>
          <w:color w:val="auto"/>
        </w:rPr>
        <w:t xml:space="preserve">rate of 31.7%. The $7.3 million increase in income tax expense year-over-year corresponds with the increase in pre-tax </w:t>
      </w:r>
      <w:r>
        <w:rPr>
          <w:rFonts w:ascii="Arial" w:cs="Arial" w:eastAsia="Arial" w:hAnsi="Arial"/>
          <w:sz w:val="16"/>
          <w:szCs w:val="16"/>
          <w:color w:val="auto"/>
        </w:rPr>
        <w:t>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Historically, our principal sources of funds have been cash on hand, cash flow from operations, and borrowings under our credit facilities.</w:t>
      </w:r>
    </w:p>
    <w:p>
      <w:pPr>
        <w:spacing w:after="0" w:line="16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maintain a $325.0 million revolving credit facility (the Credit Facility) that matures in 2023 (5-year term) and requires interest payments calculated at a variable market rate depending upon our Consolidated Leverage Ratio. The applicable rate during the six months ended April 30, 2021 ranged from LIBOR + 1.50% to LIBOR + 1.25%. Our cost of capital could increase depending upon the Consolidated Leverage Ratio at the end of any given quarter. In addition to the Consolidated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$20.0 million per year). We are amortizing deferred financing fees of $0.7 million straight-line over the remaining term of the facility. For further details of the Credit Facility, refer to Note 4, “Debt and Finance Lease Obligations” to the accompanying unaudited condensed consolidated financial statements contained elsewhere herein.</w:t>
      </w:r>
    </w:p>
    <w:p>
      <w:pPr>
        <w:spacing w:after="0" w:line="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April 30, 2021, we had $49.3 million of cash and equivalents, $73.0 million outstanding under the Credit Facility, $4.5 million of outstanding letters of credit and $15.7 million outstanding under finance leases and other debt. We had $247.5 million available for use under the Credit Facility at April 30, 2021.</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repatriated $8.8 million and $3.1 million of foreign cash during the six months ended April 30, 2021 and 2020, respectively. We expect to repatriate excess cash moving forward and use the funds to retire debt or meet current working capital needs. Funds from operations may be impacted by softer demand and liquidity concerns of our customers as a result of COVID-19. In the U.K., we insure against a portion of our credit losses. In light of the COVID-19 pandemic, the Company has implemented a range of actions aimed at reducing costs and preserving liquidity. We believe our business model, our current cash reserves and the recent steps we have taken to strengthen our balance sheet leave us well-positioned to manage our business and remain in compliance with our debt covenants.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results for the six months ended April 30, 2021 and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2"/>
          </w:tcPr>
          <w:p>
            <w:pPr>
              <w:jc w:val="center"/>
              <w:ind w:left="560"/>
              <w:spacing w:after="0"/>
              <w:rPr>
                <w:sz w:val="20"/>
                <w:szCs w:val="20"/>
                <w:color w:val="auto"/>
              </w:rPr>
            </w:pPr>
            <w:r>
              <w:rPr>
                <w:rFonts w:ascii="Arial" w:cs="Arial" w:eastAsia="Arial" w:hAnsi="Arial"/>
                <w:sz w:val="14"/>
                <w:szCs w:val="14"/>
                <w:b w:val="1"/>
                <w:bCs w:val="1"/>
                <w:color w:val="auto"/>
                <w:w w:val="93"/>
              </w:rPr>
              <w:t>Six Months Ended</w:t>
            </w:r>
          </w:p>
        </w:tc>
        <w:tc>
          <w:tcPr>
            <w:tcW w:w="1000" w:type="dxa"/>
            <w:vAlign w:val="bottom"/>
          </w:tcPr>
          <w:p>
            <w:pPr>
              <w:spacing w:after="0"/>
              <w:rPr>
                <w:sz w:val="16"/>
                <w:szCs w:val="16"/>
                <w:color w:val="auto"/>
              </w:rPr>
            </w:pPr>
          </w:p>
        </w:tc>
      </w:tr>
      <w:tr>
        <w:trPr>
          <w:trHeight w:val="195"/>
        </w:trPr>
        <w:tc>
          <w:tcPr>
            <w:tcW w:w="7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left="560"/>
              <w:spacing w:after="0"/>
              <w:rPr>
                <w:sz w:val="20"/>
                <w:szCs w:val="20"/>
                <w:color w:val="auto"/>
              </w:rPr>
            </w:pPr>
            <w:r>
              <w:rPr>
                <w:rFonts w:ascii="Arial" w:cs="Arial" w:eastAsia="Arial" w:hAnsi="Arial"/>
                <w:sz w:val="14"/>
                <w:szCs w:val="14"/>
                <w:b w:val="1"/>
                <w:bCs w:val="1"/>
                <w:color w:val="auto"/>
                <w:w w:val="97"/>
              </w:rPr>
              <w:t>April 30,</w:t>
            </w:r>
          </w:p>
        </w:tc>
        <w:tc>
          <w:tcPr>
            <w:tcW w:w="1000" w:type="dxa"/>
            <w:vAlign w:val="bottom"/>
            <w:tcBorders>
              <w:bottom w:val="single" w:sz="8" w:color="auto"/>
            </w:tcBorders>
          </w:tcPr>
          <w:p>
            <w:pPr>
              <w:spacing w:after="0"/>
              <w:rPr>
                <w:sz w:val="16"/>
                <w:szCs w:val="16"/>
                <w:color w:val="auto"/>
              </w:rPr>
            </w:pPr>
          </w:p>
        </w:tc>
      </w:tr>
      <w:tr>
        <w:trPr>
          <w:trHeight w:val="187"/>
        </w:trPr>
        <w:tc>
          <w:tcPr>
            <w:tcW w:w="7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3"/>
        </w:trPr>
        <w:tc>
          <w:tcPr>
            <w:tcW w:w="7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2"/>
          </w:tcPr>
          <w:p>
            <w:pPr>
              <w:jc w:val="center"/>
              <w:ind w:left="580"/>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Pr>
          <w:p>
            <w:pPr>
              <w:spacing w:after="0"/>
              <w:rPr>
                <w:sz w:val="15"/>
                <w:szCs w:val="15"/>
                <w:color w:val="auto"/>
              </w:rPr>
            </w:pPr>
          </w:p>
        </w:tc>
      </w:tr>
      <w:tr>
        <w:trPr>
          <w:trHeight w:val="231"/>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Cash used for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60"/>
              <w:spacing w:after="0"/>
              <w:rPr>
                <w:sz w:val="20"/>
                <w:szCs w:val="20"/>
                <w:color w:val="auto"/>
              </w:rPr>
            </w:pPr>
            <w:r>
              <w:rPr>
                <w:rFonts w:ascii="Arial" w:cs="Arial" w:eastAsia="Arial" w:hAnsi="Arial"/>
                <w:sz w:val="18"/>
                <w:szCs w:val="18"/>
                <w:color w:val="auto"/>
              </w:rPr>
              <w:t>(8.1)</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for) provided by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bl>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provided by operating activities for the six months ended April 30, 2021 increased $26.5 million compared to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April 30, 2020. Higher net income year-over-year due to increased demand and improvements in working capital management were the primary drivers of this operating cash growth.</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decreased $8.2 million for the six months ended April 30, 2021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primarily as a result of lower capital expenditures.</w:t>
      </w:r>
    </w:p>
    <w:p>
      <w:pPr>
        <w:spacing w:after="0" w:line="8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for financing activities was $24.3 million for the six months ended April 30, 2021, which included $30.6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net debt repayments, $5.3 million of dividends paid to our shareholders, and $4.0 million of treasury stock repurchases. Our use of cash was partially offset by $16.1 million of proceeds from stock option exercises.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During the six months ended April 30, 2021 and 2020, we repatriated repatriations $8.8 million and $3.1 million, respectively, of foreign earnings from our foreign locations. We maintain cash balances in foreign countries which total $15.0 million as of April 30,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a description of our critical accounting policies and estimates, see our Annual Report on Form 10-K for the fiscal year ended October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and estimates have not changed materially during the six months ended April 30, 2021.</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While there have been no changes in the application of principles, methods, and assumptions used to determine our significant estimates, we may be required to revise certain accounting estimates and judgments related to the economic and business impact of the COVID-19 pandemic, such as, but not limited to, those related to the valuation of goodwill, intangibles, long-lived assets, accounts receivable, and inventory, which could have a material adverse effect on our financial position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62"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standards setting bodies that we adopt as of the specified effective date. Unless otherwise discussed, we believe the impact of any recently issued standards that are not yet effective are either not applicable to us at this time or will not have a material impact on our condensed consolidated financial statements upon adoption.</w:t>
      </w:r>
    </w:p>
    <w:p>
      <w:pPr>
        <w:spacing w:after="0" w:line="6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 xml:space="preserve">In June 2016, the FASB issued Accounting Standards Update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This ASU sets forth a “current expected credit loss” model, which requires the measurement of all expected credit losses for financial instruments or other assets (e.g., trade receivables), held at the reporting date based on historical experience, current conditions, and reasonable supportable forecasts. We adopted this amendment on November 1, 2020, with no material impact on our condensed consolidated financial statements.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Refer to our Annual Report on Form 10-K for the fiscal year ended October 31, 2020 for additional standards we are currently evaluating.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outstanding debt bears interest at variable rates and accordingly is sensitive to changes in interest rates. Based upon the balances of the variable rate debt at April 30, 2021, a hypothetical 1.0% increase or decrease in interest rates could result in approximately $0.7 million of additional pretax charges or credit to our operating results per year. This sensitivity is impacted by the amount of borrowings under our credit facilities, and amounts outstanding under finance leases.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16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There were no corresponding foreign currency derivatives recorded on the Condensed Consolidated Balance Sheet as of October 31, 2020 or April 30, 2021.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To the extent the gain or loss on the derivative instrument offsets the gain or loss from the re-measurement of the underlying foreign currency balance, changes in exchange rates should have no effect.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12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 Further discussion of our industry risks is included within our Annual Report on Form 10-K for the fiscal year ended October 31, 2020.</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April 30, 2021. Based on that evaluation, the Chief Executive Officer and Chief Financial Officer concluded that, as of April 30, 2021, the disclosure controls and procedures are effective.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April 30, 2021, we repurchased common stock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 Total Number of</w:t>
            </w:r>
          </w:p>
        </w:tc>
        <w:tc>
          <w:tcPr>
            <w:tcW w:w="220" w:type="dxa"/>
            <w:vAlign w:val="bottom"/>
          </w:tcPr>
          <w:p>
            <w:pPr>
              <w:spacing w:after="0"/>
              <w:rPr>
                <w:sz w:val="14"/>
                <w:szCs w:val="14"/>
                <w:color w:val="auto"/>
              </w:rPr>
            </w:pPr>
          </w:p>
        </w:tc>
        <w:tc>
          <w:tcPr>
            <w:tcW w:w="172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6"/>
              </w:rPr>
              <w:t>(d) Maximum US Dollars</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7"/>
              </w:rPr>
              <w:t>Shares Purchased as</w:t>
            </w:r>
          </w:p>
        </w:tc>
        <w:tc>
          <w:tcPr>
            <w:tcW w:w="2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9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w w:val="94"/>
              </w:rPr>
              <w:t>Remaining that May Yet Be</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5"/>
              </w:rPr>
              <w:t>Part of a Publicly</w:t>
            </w:r>
          </w:p>
        </w:tc>
        <w:tc>
          <w:tcPr>
            <w:tcW w:w="1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720" w:type="dxa"/>
            <w:vAlign w:val="bottom"/>
            <w:vMerge w:val="restart"/>
          </w:tcPr>
          <w:p>
            <w:pPr>
              <w:jc w:val="center"/>
              <w:ind w:right="43"/>
              <w:spacing w:after="0" w:line="135" w:lineRule="exact"/>
              <w:rPr>
                <w:sz w:val="20"/>
                <w:szCs w:val="20"/>
                <w:color w:val="auto"/>
              </w:rPr>
            </w:pPr>
            <w:r>
              <w:rPr>
                <w:rFonts w:ascii="Arial" w:cs="Arial" w:eastAsia="Arial" w:hAnsi="Arial"/>
                <w:sz w:val="14"/>
                <w:szCs w:val="14"/>
                <w:b w:val="1"/>
                <w:bCs w:val="1"/>
                <w:color w:val="auto"/>
                <w:w w:val="89"/>
              </w:rPr>
              <w:t>Used to Purchase Shares</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(a) Total Number of</w:t>
            </w:r>
          </w:p>
        </w:tc>
        <w:tc>
          <w:tcPr>
            <w:tcW w:w="19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(b) Average Price Paid per</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Announced Plans or</w:t>
            </w:r>
          </w:p>
        </w:tc>
        <w:tc>
          <w:tcPr>
            <w:tcW w:w="2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300" w:type="dxa"/>
            <w:vAlign w:val="bottom"/>
            <w:gridSpan w:val="2"/>
            <w:vMerge w:val="restart"/>
          </w:tcPr>
          <w:p>
            <w:pPr>
              <w:ind w:left="1900"/>
              <w:spacing w:after="0"/>
              <w:rPr>
                <w:sz w:val="20"/>
                <w:szCs w:val="20"/>
                <w:color w:val="auto"/>
              </w:rPr>
            </w:pPr>
            <w:r>
              <w:rPr>
                <w:rFonts w:ascii="Arial" w:cs="Arial" w:eastAsia="Arial" w:hAnsi="Arial"/>
                <w:sz w:val="14"/>
                <w:szCs w:val="14"/>
                <w:b w:val="1"/>
                <w:bCs w:val="1"/>
                <w:color w:val="auto"/>
              </w:rPr>
              <w:t>Period</w:t>
            </w:r>
          </w:p>
        </w:tc>
        <w:tc>
          <w:tcPr>
            <w:tcW w:w="1520" w:type="dxa"/>
            <w:vAlign w:val="bottom"/>
            <w:gridSpan w:val="2"/>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1940" w:type="dxa"/>
            <w:vAlign w:val="bottom"/>
            <w:gridSpan w:val="2"/>
          </w:tcPr>
          <w:p>
            <w:pPr>
              <w:jc w:val="center"/>
              <w:ind w:left="17"/>
              <w:spacing w:after="0" w:line="135"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35"/>
        </w:trPr>
        <w:tc>
          <w:tcPr>
            <w:tcW w:w="4300" w:type="dxa"/>
            <w:vAlign w:val="bottom"/>
            <w:gridSpan w:val="2"/>
            <w:vMerge w:val="continue"/>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420" w:type="dxa"/>
            <w:vAlign w:val="bottom"/>
          </w:tcPr>
          <w:p>
            <w:pPr>
              <w:spacing w:after="0"/>
              <w:rPr>
                <w:sz w:val="11"/>
                <w:szCs w:val="11"/>
                <w:color w:val="auto"/>
              </w:rPr>
            </w:pPr>
          </w:p>
        </w:tc>
        <w:tc>
          <w:tcPr>
            <w:tcW w:w="15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7"/>
              </w:rPr>
              <w:t>Share</w:t>
            </w:r>
          </w:p>
        </w:tc>
        <w:tc>
          <w:tcPr>
            <w:tcW w:w="1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Programs </w:t>
            </w:r>
            <w:r>
              <w:rPr>
                <w:rFonts w:ascii="Arial" w:cs="Arial" w:eastAsia="Arial" w:hAnsi="Arial"/>
                <w:sz w:val="15"/>
                <w:szCs w:val="15"/>
                <w:b w:val="1"/>
                <w:bCs w:val="1"/>
                <w:color w:val="auto"/>
                <w:vertAlign w:val="superscript"/>
              </w:rPr>
              <w:t>(1)</w:t>
            </w:r>
          </w:p>
        </w:tc>
        <w:tc>
          <w:tcPr>
            <w:tcW w:w="220" w:type="dxa"/>
            <w:vAlign w:val="bottom"/>
          </w:tcPr>
          <w:p>
            <w:pPr>
              <w:spacing w:after="0"/>
              <w:rPr>
                <w:sz w:val="11"/>
                <w:szCs w:val="11"/>
                <w:color w:val="auto"/>
              </w:rPr>
            </w:pPr>
          </w:p>
        </w:tc>
        <w:tc>
          <w:tcPr>
            <w:tcW w:w="1720" w:type="dxa"/>
            <w:vAlign w:val="bottom"/>
          </w:tcPr>
          <w:p>
            <w:pPr>
              <w:jc w:val="center"/>
              <w:ind w:right="63"/>
              <w:spacing w:after="0"/>
              <w:rPr>
                <w:sz w:val="20"/>
                <w:szCs w:val="20"/>
                <w:color w:val="auto"/>
              </w:rPr>
            </w:pPr>
            <w:r>
              <w:rPr>
                <w:rFonts w:ascii="Arial" w:cs="Arial" w:eastAsia="Arial" w:hAnsi="Arial"/>
                <w:sz w:val="9"/>
                <w:szCs w:val="9"/>
                <w:b w:val="1"/>
                <w:bCs w:val="1"/>
                <w:color w:val="auto"/>
                <w:w w:val="90"/>
              </w:rPr>
              <w:t>(1)</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2021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rPr>
              <w:t>9,254,905</w:t>
            </w:r>
          </w:p>
        </w:tc>
        <w:tc>
          <w:tcPr>
            <w:tcW w:w="0" w:type="dxa"/>
            <w:vAlign w:val="bottom"/>
          </w:tcPr>
          <w:p>
            <w:pPr>
              <w:spacing w:after="0"/>
              <w:rPr>
                <w:sz w:val="1"/>
                <w:szCs w:val="1"/>
                <w:color w:val="auto"/>
              </w:rPr>
            </w:pPr>
          </w:p>
        </w:tc>
      </w:tr>
      <w:tr>
        <w:trPr>
          <w:trHeight w:val="229"/>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March 2021</w:t>
            </w:r>
          </w:p>
        </w:tc>
        <w:tc>
          <w:tcPr>
            <w:tcW w:w="1420" w:type="dxa"/>
            <w:vAlign w:val="bottom"/>
          </w:tcPr>
          <w:p>
            <w:pPr>
              <w:jc w:val="right"/>
              <w:spacing w:after="0"/>
              <w:rPr>
                <w:sz w:val="20"/>
                <w:szCs w:val="20"/>
                <w:color w:val="auto"/>
              </w:rPr>
            </w:pPr>
            <w:r>
              <w:rPr>
                <w:rFonts w:ascii="Arial" w:cs="Arial" w:eastAsia="Arial" w:hAnsi="Arial"/>
                <w:sz w:val="18"/>
                <w:szCs w:val="18"/>
                <w:color w:val="auto"/>
              </w:rPr>
              <w:t>80,556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Arial" w:cs="Arial" w:eastAsia="Arial" w:hAnsi="Arial"/>
                <w:sz w:val="18"/>
                <w:szCs w:val="18"/>
                <w:color w:val="auto"/>
              </w:rPr>
              <w:t>80,556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
              <w:spacing w:after="0"/>
              <w:rPr>
                <w:sz w:val="20"/>
                <w:szCs w:val="20"/>
                <w:color w:val="auto"/>
              </w:rPr>
            </w:pPr>
            <w:r>
              <w:rPr>
                <w:rFonts w:ascii="Arial" w:cs="Arial" w:eastAsia="Arial" w:hAnsi="Arial"/>
                <w:sz w:val="18"/>
                <w:szCs w:val="18"/>
                <w:color w:val="auto"/>
              </w:rPr>
              <w:t>7,214,720</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2021</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7,214,720</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80,556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80,556</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13"/>
        <w:spacing w:after="0" w:line="254" w:lineRule="auto"/>
        <w:tabs>
          <w:tab w:leader="none" w:pos="596"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repurchased.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5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1" w:lineRule="exact"/>
        <w:rPr>
          <w:sz w:val="20"/>
          <w:szCs w:val="20"/>
          <w:color w:val="auto"/>
        </w:rPr>
      </w:pPr>
    </w:p>
    <w:p>
      <w:pPr>
        <w:ind w:left="240"/>
        <w:spacing w:after="0"/>
        <w:tabs>
          <w:tab w:leader="none" w:pos="4540" w:val="left"/>
        </w:tabs>
        <w:rPr>
          <w:sz w:val="20"/>
          <w:szCs w:val="20"/>
          <w:color w:val="auto"/>
        </w:rPr>
      </w:pPr>
      <w:r>
        <w:rPr>
          <w:rFonts w:ascii="Arial" w:cs="Arial" w:eastAsia="Arial" w:hAnsi="Arial"/>
          <w:sz w:val="18"/>
          <w:szCs w:val="18"/>
          <w:color w:val="auto"/>
        </w:rPr>
        <w:t>Date: June 4, 2021</w:t>
      </w:r>
      <w:r>
        <w:rPr>
          <w:sz w:val="20"/>
          <w:szCs w:val="20"/>
          <w:color w:val="auto"/>
        </w:rPr>
        <w:tab/>
      </w:r>
      <w:r>
        <w:rPr>
          <w:rFonts w:ascii="Arial" w:cs="Arial" w:eastAsia="Arial" w:hAnsi="Arial"/>
          <w:sz w:val="16"/>
          <w:szCs w:val="16"/>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42348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Scott M. Zuehlke</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Senior Vice President - Chief Financial Officer &amp; Treasurer</w:t>
      </w:r>
    </w:p>
    <w:p>
      <w:pPr>
        <w:jc w:val="center"/>
        <w:ind w:right="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EXHIBIT INDEX</w:t>
      </w:r>
    </w:p>
    <w:p>
      <w:pPr>
        <w:spacing w:after="0" w:line="238"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4"/>
          <w:szCs w:val="14"/>
          <w:b w:val="1"/>
          <w:bCs w:val="1"/>
          <w:color w:val="auto"/>
        </w:rPr>
        <w:t>Description of Exhibits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760"/>
        <w:spacing w:after="0"/>
        <w:rPr>
          <w:rFonts w:ascii="Arial" w:cs="Arial" w:eastAsia="Arial" w:hAnsi="Arial"/>
          <w:sz w:val="17"/>
          <w:szCs w:val="17"/>
          <w:u w:val="single" w:color="auto"/>
          <w:color w:val="0000FF"/>
        </w:rPr>
      </w:pPr>
      <w:hyperlink r:id="rId63">
        <w:r>
          <w:rPr>
            <w:rFonts w:ascii="Arial" w:cs="Arial" w:eastAsia="Arial" w:hAnsi="Arial"/>
            <w:sz w:val="17"/>
            <w:szCs w:val="17"/>
            <w:u w:val="single" w:color="auto"/>
            <w:color w:val="0000FF"/>
          </w:rPr>
          <w:t>3.1</w:t>
        </w:r>
      </w:hyperlink>
    </w:p>
    <w:p>
      <w:pPr>
        <w:spacing w:after="0" w:line="200" w:lineRule="exact"/>
        <w:rPr>
          <w:sz w:val="20"/>
          <w:szCs w:val="20"/>
          <w:color w:val="auto"/>
        </w:rPr>
      </w:pPr>
    </w:p>
    <w:p>
      <w:pPr>
        <w:spacing w:after="0" w:line="239" w:lineRule="exact"/>
        <w:rPr>
          <w:sz w:val="20"/>
          <w:szCs w:val="20"/>
          <w:color w:val="auto"/>
        </w:rPr>
      </w:pPr>
    </w:p>
    <w:p>
      <w:pPr>
        <w:ind w:left="760"/>
        <w:spacing w:after="0"/>
        <w:rPr>
          <w:rFonts w:ascii="Arial" w:cs="Arial" w:eastAsia="Arial" w:hAnsi="Arial"/>
          <w:sz w:val="17"/>
          <w:szCs w:val="17"/>
          <w:u w:val="single" w:color="auto"/>
          <w:color w:val="0000FF"/>
        </w:rPr>
      </w:pPr>
      <w:hyperlink r:id="rId64">
        <w:r>
          <w:rPr>
            <w:rFonts w:ascii="Arial" w:cs="Arial" w:eastAsia="Arial" w:hAnsi="Arial"/>
            <w:sz w:val="17"/>
            <w:szCs w:val="17"/>
            <w:u w:val="single" w:color="auto"/>
            <w:color w:val="0000FF"/>
          </w:rPr>
          <w:t>3.2</w:t>
        </w:r>
      </w:hyperlink>
    </w:p>
    <w:p>
      <w:pPr>
        <w:spacing w:after="0" w:line="200" w:lineRule="exact"/>
        <w:rPr>
          <w:sz w:val="20"/>
          <w:szCs w:val="20"/>
          <w:color w:val="auto"/>
        </w:rPr>
      </w:pPr>
    </w:p>
    <w:p>
      <w:pPr>
        <w:spacing w:after="0" w:line="239" w:lineRule="exact"/>
        <w:rPr>
          <w:sz w:val="20"/>
          <w:szCs w:val="20"/>
          <w:color w:val="auto"/>
        </w:rPr>
      </w:pPr>
    </w:p>
    <w:p>
      <w:pPr>
        <w:ind w:left="760"/>
        <w:spacing w:after="0"/>
        <w:rPr>
          <w:rFonts w:ascii="Arial" w:cs="Arial" w:eastAsia="Arial" w:hAnsi="Arial"/>
          <w:sz w:val="17"/>
          <w:szCs w:val="17"/>
          <w:u w:val="single" w:color="auto"/>
          <w:color w:val="0000FF"/>
        </w:rPr>
      </w:pPr>
      <w:hyperlink r:id="rId65">
        <w:r>
          <w:rPr>
            <w:rFonts w:ascii="Arial" w:cs="Arial" w:eastAsia="Arial" w:hAnsi="Arial"/>
            <w:sz w:val="17"/>
            <w:szCs w:val="17"/>
            <w:u w:val="single" w:color="auto"/>
            <w:color w:val="0000FF"/>
          </w:rPr>
          <w:t>4.1</w:t>
        </w:r>
      </w:hyperlink>
    </w:p>
    <w:p>
      <w:pPr>
        <w:spacing w:after="0" w:line="200" w:lineRule="exact"/>
        <w:rPr>
          <w:sz w:val="20"/>
          <w:szCs w:val="20"/>
          <w:color w:val="auto"/>
        </w:rPr>
      </w:pPr>
    </w:p>
    <w:p>
      <w:pPr>
        <w:spacing w:after="0" w:line="239" w:lineRule="exact"/>
        <w:rPr>
          <w:sz w:val="20"/>
          <w:szCs w:val="20"/>
          <w:color w:val="auto"/>
        </w:rPr>
      </w:pPr>
    </w:p>
    <w:p>
      <w:pPr>
        <w:ind w:left="760"/>
        <w:spacing w:after="0"/>
        <w:rPr>
          <w:rFonts w:ascii="Arial" w:cs="Arial" w:eastAsia="Arial" w:hAnsi="Arial"/>
          <w:sz w:val="17"/>
          <w:szCs w:val="17"/>
          <w:u w:val="single" w:color="auto"/>
          <w:color w:val="0000FF"/>
        </w:rPr>
      </w:pPr>
      <w:hyperlink r:id="rId66">
        <w:r>
          <w:rPr>
            <w:rFonts w:ascii="Arial" w:cs="Arial" w:eastAsia="Arial" w:hAnsi="Arial"/>
            <w:sz w:val="17"/>
            <w:szCs w:val="17"/>
            <w:u w:val="single" w:color="auto"/>
            <w:color w:val="0000FF"/>
          </w:rPr>
          <w:t>4.2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both"/>
        <w:ind w:right="40"/>
        <w:spacing w:after="0" w:line="224" w:lineRule="auto"/>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Restated Certificate of Incorporation of the Registrant dated as of March 4, 2016, filed as Exhibit 3.1 of the Registrant’s Current</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Report on Form 8-K (Reg. No. 001-33913) as filed with the Securities and Exchange Commission on March 7, 2016, and</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jc w:val="both"/>
        <w:ind w:right="40"/>
        <w:spacing w:after="0" w:line="224" w:lineRule="auto"/>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Fourth Amended and Restated Bylaws of the Registrant dated as of February 27, 2020, filed as Exhibit 3.2 of the Registrant's</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Quarterly Report on Form 10-Q (Reg. No. 001-33913) for the quarter ended January 31, 2020, and incorporated herein by</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reference.</w:t>
        </w:r>
      </w:hyperlink>
    </w:p>
    <w:p>
      <w:pPr>
        <w:spacing w:after="0" w:line="55" w:lineRule="exact"/>
        <w:rPr>
          <w:rFonts w:ascii="Arial" w:cs="Arial" w:eastAsia="Arial" w:hAnsi="Arial"/>
          <w:sz w:val="18"/>
          <w:szCs w:val="18"/>
          <w:u w:val="single" w:color="auto"/>
          <w:color w:val="0000FF"/>
        </w:rPr>
      </w:pPr>
    </w:p>
    <w:p>
      <w:pPr>
        <w:jc w:val="both"/>
        <w:ind w:right="40"/>
        <w:spacing w:after="0" w:line="224" w:lineRule="auto"/>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Form of Registrant’s Common Stock certificate, filed as Exhibit 4.1 of Amendment No. 1 to the Registrant’s Registration</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Statement on Form 10 (Reg. No. 001-33913) as filed with the Securities and Exchange Commission on February 14, 2008, and</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incorporated herein by reference.</w:t>
        </w:r>
      </w:hyperlink>
    </w:p>
    <w:p>
      <w:pPr>
        <w:spacing w:after="0" w:line="149" w:lineRule="exact"/>
        <w:rPr>
          <w:rFonts w:ascii="Arial" w:cs="Arial" w:eastAsia="Arial" w:hAnsi="Arial"/>
          <w:sz w:val="18"/>
          <w:szCs w:val="18"/>
          <w:u w:val="single" w:color="auto"/>
          <w:color w:val="0000FF"/>
        </w:rPr>
      </w:pPr>
    </w:p>
    <w:p>
      <w:pPr>
        <w:jc w:val="both"/>
        <w:ind w:right="40"/>
        <w:spacing w:after="0" w:line="237" w:lineRule="auto"/>
        <w:rPr>
          <w:rFonts w:ascii="Arial" w:cs="Arial" w:eastAsia="Arial" w:hAnsi="Arial"/>
          <w:sz w:val="17"/>
          <w:szCs w:val="17"/>
          <w:u w:val="single" w:color="auto"/>
          <w:color w:val="0000FF"/>
        </w:rPr>
      </w:pPr>
      <w:hyperlink r:id="rId66">
        <w:r>
          <w:rPr>
            <w:rFonts w:ascii="Arial" w:cs="Arial" w:eastAsia="Arial" w:hAnsi="Arial"/>
            <w:sz w:val="17"/>
            <w:szCs w:val="17"/>
            <w:u w:val="single" w:color="auto"/>
            <w:color w:val="0000FF"/>
          </w:rPr>
          <w:t>Credit Agreement dated as of October 18, 2018, by and among the Company; the lenders party thereto; and Wells Fargo Bank,</w:t>
        </w:r>
      </w:hyperlink>
      <w:r>
        <w:rPr>
          <w:rFonts w:ascii="Arial" w:cs="Arial" w:eastAsia="Arial" w:hAnsi="Arial"/>
          <w:sz w:val="17"/>
          <w:szCs w:val="17"/>
          <w:u w:val="single" w:color="auto"/>
          <w:color w:val="0000FF"/>
        </w:rPr>
        <w:t xml:space="preserve"> </w:t>
      </w:r>
      <w:hyperlink r:id="rId66">
        <w:r>
          <w:rPr>
            <w:rFonts w:ascii="Arial" w:cs="Arial" w:eastAsia="Arial" w:hAnsi="Arial"/>
            <w:sz w:val="17"/>
            <w:szCs w:val="17"/>
            <w:u w:val="single" w:color="auto"/>
            <w:color w:val="0000FF"/>
          </w:rPr>
          <w:t>National Association, as Agent; filed as Exhibit 10.1 of the Registrant's Current Report on Form 8-K (Reg. No. 001-33913) as</w:t>
        </w:r>
      </w:hyperlink>
      <w:r>
        <w:rPr>
          <w:rFonts w:ascii="Arial" w:cs="Arial" w:eastAsia="Arial" w:hAnsi="Arial"/>
          <w:sz w:val="17"/>
          <w:szCs w:val="17"/>
          <w:u w:val="single" w:color="auto"/>
          <w:color w:val="0000FF"/>
        </w:rPr>
        <w:t xml:space="preserve"> </w:t>
      </w:r>
      <w:hyperlink r:id="rId66">
        <w:r>
          <w:rPr>
            <w:rFonts w:ascii="Arial" w:cs="Arial" w:eastAsia="Arial" w:hAnsi="Arial"/>
            <w:sz w:val="17"/>
            <w:szCs w:val="17"/>
            <w:u w:val="single" w:color="auto"/>
            <w:color w:val="0000FF"/>
          </w:rPr>
          <w:t>filed with the Securities and Exchange Commission on October 18, 2018, and incorporated herein by reference.</w:t>
        </w:r>
      </w:hyperlink>
    </w:p>
    <w:p>
      <w:pPr>
        <w:spacing w:after="0" w:line="119" w:lineRule="exact"/>
        <w:rPr>
          <w:rFonts w:ascii="Arial" w:cs="Arial" w:eastAsia="Arial" w:hAnsi="Arial"/>
          <w:sz w:val="17"/>
          <w:szCs w:val="17"/>
          <w:u w:val="single" w:color="auto"/>
          <w:color w:val="0000FF"/>
        </w:rPr>
      </w:pPr>
    </w:p>
    <w:p>
      <w:pPr>
        <w:sectPr>
          <w:pgSz w:w="11900" w:h="16838" w:orient="portrait"/>
          <w:cols w:equalWidth="0" w:num="2">
            <w:col w:w="1140" w:space="720"/>
            <w:col w:w="9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gridSpan w:val="4"/>
          </w:tcPr>
          <w:p>
            <w:pPr>
              <w:jc w:val="center"/>
              <w:ind w:left="590"/>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4.</w:t>
              </w:r>
              <w:r>
                <w:rPr>
                  <w:rFonts w:ascii="Arial" w:cs="Arial" w:eastAsia="Arial" w:hAnsi="Arial"/>
                  <w:sz w:val="18"/>
                  <w:szCs w:val="18"/>
                  <w:u w:val="single" w:color="auto"/>
                  <w:color w:val="0000FF"/>
                  <w:w w:val="95"/>
                </w:rPr>
                <w:t>3</w:t>
              </w:r>
            </w:hyperlink>
          </w:p>
        </w:tc>
        <w:tc>
          <w:tcPr>
            <w:tcW w:w="780" w:type="dxa"/>
            <w:vAlign w:val="bottom"/>
          </w:tcPr>
          <w:p>
            <w:pPr>
              <w:spacing w:after="0"/>
              <w:rPr>
                <w:sz w:val="17"/>
                <w:szCs w:val="17"/>
                <w:color w:val="auto"/>
              </w:rPr>
            </w:pPr>
          </w:p>
        </w:tc>
        <w:tc>
          <w:tcPr>
            <w:tcW w:w="9380" w:type="dxa"/>
            <w:vAlign w:val="bottom"/>
            <w:gridSpan w:val="7"/>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Amendment No. 1 to Amended and Restated Credit Agreement, by and among the Company; the lenders party thereto; and Wells</w:t>
              </w:r>
            </w:hyperlink>
          </w:p>
        </w:tc>
      </w:tr>
      <w:tr>
        <w:trPr>
          <w:trHeight w:val="155"/>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Fargo Bank, National Association, as Agent (portions redacted). filed as Exhibit 4.3 of the Registrant's Quarterly Report on Form</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60" w:type="dxa"/>
            <w:vAlign w:val="bottom"/>
            <w:gridSpan w:val="6"/>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10-Q (Reg. No. 001-33913) for the quarter ended July 31, 2020, and incorporated herein by reference</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64"/>
        </w:trPr>
        <w:tc>
          <w:tcPr>
            <w:tcW w:w="1080" w:type="dxa"/>
            <w:vAlign w:val="bottom"/>
            <w:gridSpan w:val="4"/>
          </w:tcPr>
          <w:p>
            <w:pPr>
              <w:jc w:val="center"/>
              <w:ind w:left="590"/>
              <w:spacing w:after="0"/>
              <w:rPr>
                <w:rFonts w:ascii="Arial" w:cs="Arial" w:eastAsia="Arial" w:hAnsi="Arial"/>
                <w:sz w:val="18"/>
                <w:szCs w:val="18"/>
                <w:color w:val="0000FF"/>
                <w:w w:val="95"/>
              </w:rPr>
            </w:pPr>
            <w:hyperlink w:anchor="page40">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hyperlink>
          </w:p>
        </w:tc>
        <w:tc>
          <w:tcPr>
            <w:tcW w:w="780" w:type="dxa"/>
            <w:vAlign w:val="bottom"/>
          </w:tcPr>
          <w:p>
            <w:pPr>
              <w:spacing w:after="0"/>
              <w:rPr>
                <w:sz w:val="22"/>
                <w:szCs w:val="22"/>
                <w:color w:val="auto"/>
              </w:rPr>
            </w:pPr>
          </w:p>
        </w:tc>
        <w:tc>
          <w:tcPr>
            <w:tcW w:w="55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by chief executive officer pursuant to Rule 13a-14(a)/15d-14(a).</w:t>
              </w:r>
            </w:hyperlink>
          </w:p>
        </w:tc>
        <w:tc>
          <w:tcPr>
            <w:tcW w:w="1740" w:type="dxa"/>
            <w:vAlign w:val="bottom"/>
            <w:tcBorders>
              <w:top w:val="single" w:sz="8" w:color="0000FF"/>
            </w:tcBorders>
          </w:tcPr>
          <w:p>
            <w:pPr>
              <w:spacing w:after="0"/>
              <w:rPr>
                <w:sz w:val="22"/>
                <w:szCs w:val="22"/>
                <w:color w:val="auto"/>
              </w:rPr>
            </w:pPr>
          </w:p>
        </w:tc>
        <w:tc>
          <w:tcPr>
            <w:tcW w:w="2060" w:type="dxa"/>
            <w:vAlign w:val="bottom"/>
            <w:gridSpan w:val="3"/>
          </w:tcPr>
          <w:p>
            <w:pPr>
              <w:spacing w:after="0"/>
              <w:rPr>
                <w:sz w:val="22"/>
                <w:szCs w:val="22"/>
                <w:color w:val="auto"/>
              </w:rPr>
            </w:pPr>
          </w:p>
        </w:tc>
      </w:tr>
      <w:tr>
        <w:trPr>
          <w:trHeight w:val="263"/>
        </w:trPr>
        <w:tc>
          <w:tcPr>
            <w:tcW w:w="1080" w:type="dxa"/>
            <w:vAlign w:val="bottom"/>
            <w:gridSpan w:val="4"/>
          </w:tcPr>
          <w:p>
            <w:pPr>
              <w:jc w:val="center"/>
              <w:ind w:left="590"/>
              <w:spacing w:after="0"/>
              <w:rPr>
                <w:rFonts w:ascii="Arial" w:cs="Arial" w:eastAsia="Arial" w:hAnsi="Arial"/>
                <w:sz w:val="18"/>
                <w:szCs w:val="18"/>
                <w:color w:val="0000FF"/>
                <w:w w:val="95"/>
              </w:rPr>
            </w:pPr>
            <w:hyperlink w:anchor="page41">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780" w:type="dxa"/>
            <w:vAlign w:val="bottom"/>
          </w:tcPr>
          <w:p>
            <w:pPr>
              <w:spacing w:after="0"/>
              <w:rPr>
                <w:sz w:val="22"/>
                <w:szCs w:val="22"/>
                <w:color w:val="auto"/>
              </w:rPr>
            </w:pPr>
          </w:p>
        </w:tc>
        <w:tc>
          <w:tcPr>
            <w:tcW w:w="9380" w:type="dxa"/>
            <w:vAlign w:val="bottom"/>
            <w:gridSpan w:val="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by chief financial officer pursuant to Rule 13a-14(a)/15d-14(a).</w:t>
              </w:r>
            </w:hyperlink>
          </w:p>
        </w:tc>
      </w:tr>
      <w:tr>
        <w:trPr>
          <w:trHeight w:val="20"/>
        </w:trPr>
        <w:tc>
          <w:tcPr>
            <w:tcW w:w="68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r>
      <w:tr>
        <w:trPr>
          <w:trHeight w:val="264"/>
        </w:trPr>
        <w:tc>
          <w:tcPr>
            <w:tcW w:w="1080" w:type="dxa"/>
            <w:vAlign w:val="bottom"/>
            <w:gridSpan w:val="4"/>
          </w:tcPr>
          <w:p>
            <w:pPr>
              <w:jc w:val="center"/>
              <w:ind w:left="590"/>
              <w:spacing w:after="0"/>
              <w:rPr>
                <w:rFonts w:ascii="Arial" w:cs="Arial" w:eastAsia="Arial" w:hAnsi="Arial"/>
                <w:sz w:val="18"/>
                <w:szCs w:val="18"/>
                <w:color w:val="0000FF"/>
                <w:w w:val="95"/>
              </w:rPr>
            </w:pPr>
            <w:hyperlink w:anchor="page42">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hyperlink>
          </w:p>
        </w:tc>
        <w:tc>
          <w:tcPr>
            <w:tcW w:w="780" w:type="dxa"/>
            <w:vAlign w:val="bottom"/>
          </w:tcPr>
          <w:p>
            <w:pPr>
              <w:spacing w:after="0"/>
              <w:rPr>
                <w:sz w:val="22"/>
                <w:szCs w:val="22"/>
                <w:color w:val="auto"/>
              </w:rPr>
            </w:pPr>
          </w:p>
        </w:tc>
        <w:tc>
          <w:tcPr>
            <w:tcW w:w="9380" w:type="dxa"/>
            <w:vAlign w:val="bottom"/>
            <w:gridSpan w:val="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pursuant to Section 906 of the Sarbanes-Oxley Act of 2002.</w:t>
              </w:r>
            </w:hyperlink>
          </w:p>
        </w:tc>
      </w:tr>
      <w:tr>
        <w:trPr>
          <w:trHeight w:val="20"/>
        </w:trPr>
        <w:tc>
          <w:tcPr>
            <w:tcW w:w="1860" w:type="dxa"/>
            <w:vAlign w:val="bottom"/>
            <w:gridSpan w:val="5"/>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r>
      <w:tr>
        <w:trPr>
          <w:trHeight w:val="250"/>
        </w:trPr>
        <w:tc>
          <w:tcPr>
            <w:tcW w:w="1860" w:type="dxa"/>
            <w:vAlign w:val="bottom"/>
            <w:gridSpan w:val="5"/>
          </w:tcPr>
          <w:p>
            <w:pPr>
              <w:jc w:val="center"/>
              <w:ind w:right="100"/>
              <w:spacing w:after="0"/>
              <w:rPr>
                <w:sz w:val="20"/>
                <w:szCs w:val="20"/>
                <w:color w:val="auto"/>
              </w:rPr>
            </w:pPr>
            <w:r>
              <w:rPr>
                <w:rFonts w:ascii="Arial" w:cs="Arial" w:eastAsia="Arial" w:hAnsi="Arial"/>
                <w:sz w:val="18"/>
                <w:szCs w:val="18"/>
                <w:color w:val="auto"/>
                <w:w w:val="94"/>
              </w:rPr>
              <w:t>*101.INS</w:t>
            </w:r>
          </w:p>
        </w:tc>
        <w:tc>
          <w:tcPr>
            <w:tcW w:w="9380" w:type="dxa"/>
            <w:vAlign w:val="bottom"/>
            <w:gridSpan w:val="7"/>
          </w:tcPr>
          <w:p>
            <w:pPr>
              <w:spacing w:after="0"/>
              <w:rPr>
                <w:sz w:val="20"/>
                <w:szCs w:val="20"/>
                <w:color w:val="auto"/>
              </w:rPr>
            </w:pPr>
            <w:r>
              <w:rPr>
                <w:rFonts w:ascii="Arial" w:cs="Arial" w:eastAsia="Arial" w:hAnsi="Arial"/>
                <w:sz w:val="18"/>
                <w:szCs w:val="18"/>
                <w:color w:val="auto"/>
                <w:w w:val="96"/>
              </w:rPr>
              <w:t>XBRL Instance Document - the instance document does not appear in the Interactive Data File because its XBRL tags are</w:t>
            </w:r>
          </w:p>
        </w:tc>
      </w:tr>
      <w:tr>
        <w:trPr>
          <w:trHeight w:val="230"/>
        </w:trPr>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38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1860" w:type="dxa"/>
            <w:vAlign w:val="bottom"/>
            <w:gridSpan w:val="5"/>
          </w:tcPr>
          <w:p>
            <w:pPr>
              <w:jc w:val="center"/>
              <w:ind w:right="100"/>
              <w:spacing w:after="0"/>
              <w:rPr>
                <w:sz w:val="20"/>
                <w:szCs w:val="20"/>
                <w:color w:val="auto"/>
              </w:rPr>
            </w:pPr>
            <w:r>
              <w:rPr>
                <w:rFonts w:ascii="Arial" w:cs="Arial" w:eastAsia="Arial" w:hAnsi="Arial"/>
                <w:sz w:val="18"/>
                <w:szCs w:val="18"/>
                <w:color w:val="auto"/>
                <w:w w:val="94"/>
              </w:rPr>
              <w:t>*101.SCH</w:t>
            </w:r>
          </w:p>
        </w:tc>
        <w:tc>
          <w:tcPr>
            <w:tcW w:w="938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860" w:type="dxa"/>
            <w:vAlign w:val="bottom"/>
            <w:gridSpan w:val="5"/>
          </w:tcPr>
          <w:p>
            <w:pPr>
              <w:jc w:val="center"/>
              <w:ind w:right="100"/>
              <w:spacing w:after="0"/>
              <w:rPr>
                <w:sz w:val="20"/>
                <w:szCs w:val="20"/>
                <w:color w:val="auto"/>
              </w:rPr>
            </w:pPr>
            <w:r>
              <w:rPr>
                <w:rFonts w:ascii="Arial" w:cs="Arial" w:eastAsia="Arial" w:hAnsi="Arial"/>
                <w:sz w:val="18"/>
                <w:szCs w:val="18"/>
                <w:color w:val="auto"/>
                <w:w w:val="98"/>
              </w:rPr>
              <w:t>*101.CAL</w:t>
            </w:r>
          </w:p>
        </w:tc>
        <w:tc>
          <w:tcPr>
            <w:tcW w:w="93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1860" w:type="dxa"/>
            <w:vAlign w:val="bottom"/>
            <w:gridSpan w:val="5"/>
          </w:tcPr>
          <w:p>
            <w:pPr>
              <w:jc w:val="center"/>
              <w:ind w:right="100"/>
              <w:spacing w:after="0"/>
              <w:rPr>
                <w:sz w:val="20"/>
                <w:szCs w:val="20"/>
                <w:color w:val="auto"/>
              </w:rPr>
            </w:pPr>
            <w:r>
              <w:rPr>
                <w:rFonts w:ascii="Arial" w:cs="Arial" w:eastAsia="Arial" w:hAnsi="Arial"/>
                <w:sz w:val="18"/>
                <w:szCs w:val="18"/>
                <w:color w:val="auto"/>
                <w:w w:val="97"/>
              </w:rPr>
              <w:t>*101.DEF</w:t>
            </w:r>
          </w:p>
        </w:tc>
        <w:tc>
          <w:tcPr>
            <w:tcW w:w="93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860" w:type="dxa"/>
            <w:vAlign w:val="bottom"/>
            <w:gridSpan w:val="5"/>
          </w:tcPr>
          <w:p>
            <w:pPr>
              <w:jc w:val="center"/>
              <w:ind w:right="100"/>
              <w:spacing w:after="0"/>
              <w:rPr>
                <w:sz w:val="20"/>
                <w:szCs w:val="20"/>
                <w:color w:val="auto"/>
              </w:rPr>
            </w:pPr>
            <w:r>
              <w:rPr>
                <w:rFonts w:ascii="Arial" w:cs="Arial" w:eastAsia="Arial" w:hAnsi="Arial"/>
                <w:sz w:val="18"/>
                <w:szCs w:val="18"/>
                <w:color w:val="auto"/>
                <w:w w:val="99"/>
              </w:rPr>
              <w:t>*101.LAB</w:t>
            </w:r>
          </w:p>
        </w:tc>
        <w:tc>
          <w:tcPr>
            <w:tcW w:w="93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860" w:type="dxa"/>
            <w:vAlign w:val="bottom"/>
            <w:gridSpan w:val="5"/>
          </w:tcPr>
          <w:p>
            <w:pPr>
              <w:jc w:val="center"/>
              <w:ind w:right="100"/>
              <w:spacing w:after="0"/>
              <w:rPr>
                <w:sz w:val="20"/>
                <w:szCs w:val="20"/>
                <w:color w:val="auto"/>
              </w:rPr>
            </w:pPr>
            <w:r>
              <w:rPr>
                <w:rFonts w:ascii="Arial" w:cs="Arial" w:eastAsia="Arial" w:hAnsi="Arial"/>
                <w:sz w:val="18"/>
                <w:szCs w:val="18"/>
                <w:color w:val="auto"/>
                <w:w w:val="91"/>
              </w:rPr>
              <w:t>*101.PRE</w:t>
            </w:r>
          </w:p>
        </w:tc>
        <w:tc>
          <w:tcPr>
            <w:tcW w:w="93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27"/>
        </w:trPr>
        <w:tc>
          <w:tcPr>
            <w:tcW w:w="1860" w:type="dxa"/>
            <w:vAlign w:val="bottom"/>
            <w:gridSpan w:val="5"/>
          </w:tcPr>
          <w:p>
            <w:pPr>
              <w:spacing w:after="0"/>
              <w:rPr>
                <w:sz w:val="20"/>
                <w:szCs w:val="20"/>
                <w:color w:val="auto"/>
              </w:rPr>
            </w:pPr>
            <w:r>
              <w:rPr>
                <w:rFonts w:ascii="Arial" w:cs="Arial" w:eastAsia="Arial" w:hAnsi="Arial"/>
                <w:sz w:val="18"/>
                <w:szCs w:val="18"/>
                <w:color w:val="auto"/>
              </w:rPr>
              <w:t>* Filed herewith</w:t>
            </w:r>
          </w:p>
        </w:tc>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George L. Wilson, certify that:</w:t>
      </w:r>
    </w:p>
    <w:p>
      <w:pPr>
        <w:spacing w:after="0" w:line="15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5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1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hanging="316"/>
        <w:spacing w:after="0" w:line="342" w:lineRule="auto"/>
        <w:tabs>
          <w:tab w:leader="none" w:pos="161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June 4, 2021</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4659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L. Wilson</w:t>
      </w:r>
    </w:p>
    <w:p>
      <w:pPr>
        <w:ind w:left="40"/>
        <w:spacing w:after="0" w:line="203" w:lineRule="auto"/>
        <w:rPr>
          <w:sz w:val="20"/>
          <w:szCs w:val="20"/>
          <w:color w:val="auto"/>
        </w:rPr>
      </w:pPr>
      <w:r>
        <w:rPr>
          <w:rFonts w:ascii="Arial" w:cs="Arial" w:eastAsia="Arial" w:hAnsi="Arial"/>
          <w:sz w:val="18"/>
          <w:szCs w:val="18"/>
          <w:color w:val="auto"/>
        </w:rPr>
        <w:t>President and Chief Executive Officer</w:t>
      </w: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Scott M. Zuehlke, certify that:</w:t>
      </w:r>
    </w:p>
    <w:p>
      <w:pPr>
        <w:spacing w:after="0" w:line="15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5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1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hanging="316"/>
        <w:spacing w:after="0" w:line="342" w:lineRule="auto"/>
        <w:tabs>
          <w:tab w:leader="none" w:pos="161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June 4, 2021</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4659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M. Zuehlke</w:t>
      </w:r>
    </w:p>
    <w:p>
      <w:pPr>
        <w:ind w:left="40"/>
        <w:spacing w:after="0" w:line="203" w:lineRule="auto"/>
        <w:rPr>
          <w:sz w:val="20"/>
          <w:szCs w:val="20"/>
          <w:color w:val="auto"/>
        </w:rPr>
      </w:pPr>
      <w:r>
        <w:rPr>
          <w:rFonts w:ascii="Arial" w:cs="Arial" w:eastAsia="Arial" w:hAnsi="Arial"/>
          <w:sz w:val="18"/>
          <w:szCs w:val="18"/>
          <w:color w:val="auto"/>
        </w:rPr>
        <w:t>Senior Vice President - Chief Financial Officer and Treasurer</w:t>
      </w: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We hereby certify that the accompanying Quarterly Report on Form 10-Q of Quanex Building Products Corporation for the quarter ended April 30, 2021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June 4,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/s/ George L. Wilson</w:t>
            </w:r>
          </w:p>
        </w:tc>
        <w:tc>
          <w:tcPr>
            <w:tcW w:w="5400" w:type="dxa"/>
            <w:vAlign w:val="bottom"/>
          </w:tcPr>
          <w:p>
            <w:pPr>
              <w:jc w:val="center"/>
              <w:spacing w:after="0"/>
              <w:rPr>
                <w:sz w:val="20"/>
                <w:szCs w:val="20"/>
                <w:color w:val="auto"/>
              </w:rPr>
            </w:pPr>
            <w:r>
              <w:rPr>
                <w:rFonts w:ascii="Arial" w:cs="Arial" w:eastAsia="Arial" w:hAnsi="Arial"/>
                <w:sz w:val="18"/>
                <w:szCs w:val="18"/>
                <w:color w:val="auto"/>
                <w:w w:val="93"/>
              </w:rPr>
              <w:t>/s/ Scott M. Zuehlke</w:t>
            </w:r>
          </w:p>
        </w:tc>
      </w:tr>
      <w:tr>
        <w:trPr>
          <w:trHeight w:val="169"/>
        </w:trPr>
        <w:tc>
          <w:tcPr>
            <w:tcW w:w="5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Scott M. Zuehlke</w:t>
            </w:r>
          </w:p>
        </w:tc>
      </w:tr>
      <w:tr>
        <w:trPr>
          <w:trHeight w:val="176"/>
        </w:trPr>
        <w:tc>
          <w:tcPr>
            <w:tcW w:w="5840" w:type="dxa"/>
            <w:vAlign w:val="bottom"/>
            <w:gridSpan w:val="2"/>
          </w:tcPr>
          <w:p>
            <w:pPr>
              <w:jc w:val="center"/>
              <w:ind w:right="420"/>
              <w:spacing w:after="0" w:line="176" w:lineRule="exact"/>
              <w:rPr>
                <w:sz w:val="20"/>
                <w:szCs w:val="20"/>
                <w:color w:val="auto"/>
              </w:rPr>
            </w:pPr>
            <w:r>
              <w:rPr>
                <w:rFonts w:ascii="Arial" w:cs="Arial" w:eastAsia="Arial" w:hAnsi="Arial"/>
                <w:sz w:val="18"/>
                <w:szCs w:val="18"/>
                <w:i w:val="1"/>
                <w:iCs w:val="1"/>
                <w:color w:val="auto"/>
                <w:w w:val="91"/>
              </w:rPr>
              <w:t>President and Chief Executive Officer</w:t>
            </w:r>
          </w:p>
        </w:tc>
        <w:tc>
          <w:tcPr>
            <w:tcW w:w="54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Senior Vice President—Chief Financial Officer and Treasurer</w:t>
            </w:r>
          </w:p>
        </w:tc>
      </w:tr>
      <w:tr>
        <w:trPr>
          <w:trHeight w:val="230"/>
        </w:trPr>
        <w:tc>
          <w:tcPr>
            <w:tcW w:w="58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4"/>
              </w:rPr>
              <w:t>(Principal Executive Officer)</w:t>
            </w: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63" Type="http://schemas.openxmlformats.org/officeDocument/2006/relationships/hyperlink" Target="http://www.sec.gov/Archives/edgar/data/1423221/000119312516495257/d156158dex31.htm" TargetMode="External"/><Relationship Id="rId64" Type="http://schemas.openxmlformats.org/officeDocument/2006/relationships/hyperlink" Target="http://www.sec.gov/Archives/edgar/data/1423221/000142322120000005/nx01312020ex32.htm" TargetMode="External"/><Relationship Id="rId65" Type="http://schemas.openxmlformats.org/officeDocument/2006/relationships/hyperlink" Target="http://www.sec.gov/Archives/edgar/data/1423221/000095012908000988/h52992a1exv4w1.htm" TargetMode="External"/><Relationship Id="rId66" Type="http://schemas.openxmlformats.org/officeDocument/2006/relationships/hyperlink" Target="http://www.sec.gov/Archives/edgar/data/1423221/000119312518302063/d637291dex101.htm" TargetMode="External"/><Relationship Id="rId67" Type="http://schemas.openxmlformats.org/officeDocument/2006/relationships/hyperlink" Target="http://www.sec.gov/Archives/edgar/data/1423221/000142322120000016/exhibit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2021-06-04T15:09:35Z</dcterms:created>
  <dcterms:modified xsi:type="dcterms:W3CDTF">2021-06-04T15:09:35Z</dcterms:modified>
</cp:coreProperties>
</file>