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772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7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Maier Donald R.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Quanex Building Products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Foreign Trading Symbol</w:t>
            </w: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945 BUNKER HILL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900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42,509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cash in an amount equivalent to the value of one share of Quanex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immediately. The restricted stock units will become payable upon the grantee's death, disability, cessation of service as a director, or change in control of the Company.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Paul B. Cornett, Power 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Attorney</w:t>
            </w:r>
          </w:p>
        </w:tc>
        <w:tc>
          <w:tcPr>
            <w:tcW w:w="13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37460" TargetMode="External"/><Relationship Id="rId14" Type="http://schemas.openxmlformats.org/officeDocument/2006/relationships/hyperlink" Target="http://www.sec.gov/cgi-bin/browse-edgar?action=getcompany&amp;CIK=00014232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2026-11-03T15:31:30Z</dcterms:created>
  <dcterms:modified xsi:type="dcterms:W3CDTF">2026-11-03T15:31:30Z</dcterms:modified>
</cp:coreProperties>
</file>