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414655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40" w:lineRule="exact"/>
        <w:rPr>
          <w:sz w:val="24"/>
          <w:szCs w:val="24"/>
          <w:color w:val="auto"/>
        </w:rPr>
      </w:pPr>
    </w:p>
    <w:p>
      <w:pPr>
        <w:ind w:left="680" w:hanging="449"/>
        <w:spacing w:after="0"/>
        <w:tabs>
          <w:tab w:leader="none" w:pos="6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31, 2026</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680" w:hanging="429"/>
        <w:spacing w:after="0"/>
        <w:tabs>
          <w:tab w:leader="none" w:pos="6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23" w:lineRule="exact"/>
        <w:rPr>
          <w:sz w:val="24"/>
          <w:szCs w:val="24"/>
          <w:color w:val="auto"/>
        </w:rPr>
      </w:pPr>
    </w:p>
    <w:p>
      <w:pPr>
        <w:ind w:left="38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1-33913</w:t>
      </w:r>
    </w:p>
    <w:p>
      <w:pPr>
        <w:spacing w:after="0" w:line="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QUANEX BUILDING PRODUCTS CORPORATION</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15" w:lineRule="exact"/>
        <w:rPr>
          <w:sz w:val="24"/>
          <w:szCs w:val="24"/>
          <w:color w:val="auto"/>
        </w:rPr>
      </w:pPr>
    </w:p>
    <w:tbl>
      <w:tblPr>
        <w:tblLayout w:type="fixed"/>
        <w:tblInd w:w="1860" w:type="dxa"/>
        <w:tblCellMar>
          <w:top w:w="0" w:type="dxa"/>
          <w:left w:w="0" w:type="dxa"/>
          <w:bottom w:w="0" w:type="dxa"/>
          <w:right w:w="0" w:type="dxa"/>
        </w:tblCellMar>
      </w:tblPr>
      <w:tr>
        <w:trPr>
          <w:trHeight w:val="207"/>
        </w:trPr>
        <w:tc>
          <w:tcPr>
            <w:tcW w:w="3940" w:type="dxa"/>
            <w:vAlign w:val="bottom"/>
          </w:tcPr>
          <w:p>
            <w:pPr>
              <w:jc w:val="center"/>
              <w:ind w:right="200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00" w:type="dxa"/>
            <w:vAlign w:val="bottom"/>
          </w:tcPr>
          <w:p>
            <w:pPr>
              <w:jc w:val="center"/>
              <w:ind w:left="2025"/>
              <w:spacing w:after="0"/>
              <w:rPr>
                <w:sz w:val="20"/>
                <w:szCs w:val="20"/>
                <w:color w:val="auto"/>
              </w:rPr>
            </w:pPr>
            <w:r>
              <w:rPr>
                <w:rFonts w:ascii="Times New Roman" w:cs="Times New Roman" w:eastAsia="Times New Roman" w:hAnsi="Times New Roman"/>
                <w:sz w:val="16"/>
                <w:szCs w:val="16"/>
                <w:b w:val="1"/>
                <w:bCs w:val="1"/>
                <w:color w:val="auto"/>
              </w:rPr>
              <w:t>26-1561397</w:t>
            </w:r>
          </w:p>
        </w:tc>
      </w:tr>
      <w:tr>
        <w:trPr>
          <w:trHeight w:val="149"/>
        </w:trPr>
        <w:tc>
          <w:tcPr>
            <w:tcW w:w="3940" w:type="dxa"/>
            <w:vAlign w:val="bottom"/>
          </w:tcPr>
          <w:p>
            <w:pPr>
              <w:jc w:val="center"/>
              <w:ind w:right="200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00" w:type="dxa"/>
            <w:vAlign w:val="bottom"/>
          </w:tcPr>
          <w:p>
            <w:pPr>
              <w:jc w:val="center"/>
              <w:ind w:left="200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40" w:type="dxa"/>
            <w:vAlign w:val="bottom"/>
          </w:tcPr>
          <w:p>
            <w:pPr>
              <w:jc w:val="center"/>
              <w:ind w:right="200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00" w:type="dxa"/>
            <w:vAlign w:val="bottom"/>
          </w:tcPr>
          <w:p>
            <w:pPr>
              <w:jc w:val="center"/>
              <w:ind w:left="200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945 Bunker Hill Road, Suite 900, Houston, Texas 77024</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961-4600</w:t>
      </w:r>
    </w:p>
    <w:p>
      <w:pPr>
        <w:spacing w:after="0" w:line="1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5"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780" w:type="dxa"/>
            <w:vAlign w:val="bottom"/>
            <w:gridSpan w:val="2"/>
          </w:tcPr>
          <w:p>
            <w:pPr>
              <w:jc w:val="center"/>
              <w:ind w:right="16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64"/>
        </w:trPr>
        <w:tc>
          <w:tcPr>
            <w:tcW w:w="388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860" w:type="dxa"/>
            <w:vAlign w:val="bottom"/>
          </w:tcPr>
          <w:p>
            <w:pPr>
              <w:spacing w:after="0"/>
              <w:rPr>
                <w:sz w:val="22"/>
                <w:szCs w:val="22"/>
                <w:color w:val="auto"/>
              </w:rPr>
            </w:pPr>
          </w:p>
        </w:tc>
        <w:tc>
          <w:tcPr>
            <w:tcW w:w="278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color w:val="auto"/>
                <w:w w:val="99"/>
              </w:rPr>
              <w:t>NX</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81" w:right="339" w:bottom="1440" w:gutter="0" w:footer="0" w:header="0"/>
        </w:sectPr>
      </w:pPr>
    </w:p>
    <w:p>
      <w:pPr>
        <w:spacing w:after="0" w:line="54"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Accelerated filer</w:t>
      </w:r>
    </w:p>
    <w:p>
      <w:pPr>
        <w:spacing w:after="0" w:line="77"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(Do not check if a smaller reporting company)</w:t>
      </w:r>
      <w:r>
        <w:rPr>
          <w:sz w:val="20"/>
          <w:szCs w:val="20"/>
          <w:color w:val="auto"/>
        </w:rPr>
        <w:tab/>
      </w:r>
      <w:r>
        <w:rPr>
          <w:rFonts w:ascii="Times New Roman" w:cs="Times New Roman" w:eastAsia="Times New Roman" w:hAnsi="Times New Roman"/>
          <w:sz w:val="17"/>
          <w:szCs w:val="17"/>
          <w:color w:val="auto"/>
        </w:rPr>
        <w:t>Smaller reporting company</w:t>
      </w:r>
    </w:p>
    <w:p>
      <w:pPr>
        <w:spacing w:after="0" w:line="29" w:lineRule="exact"/>
        <w:rPr>
          <w:sz w:val="24"/>
          <w:szCs w:val="24"/>
          <w:color w:val="auto"/>
        </w:rPr>
      </w:pPr>
    </w:p>
    <w:p>
      <w:pPr>
        <w:ind w:left="822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7" w:lineRule="exact"/>
        <w:rPr>
          <w:sz w:val="24"/>
          <w:szCs w:val="24"/>
          <w:color w:val="auto"/>
        </w:rPr>
      </w:pPr>
    </w:p>
    <w:p>
      <w:pPr>
        <w:ind w:left="40"/>
        <w:spacing w:after="0" w:line="234"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Securities Act.</w:t>
      </w:r>
    </w:p>
    <w:p>
      <w:pPr>
        <w:spacing w:after="0" w:line="50" w:lineRule="exact"/>
        <w:rPr>
          <w:sz w:val="24"/>
          <w:szCs w:val="24"/>
          <w:color w:val="auto"/>
        </w:rPr>
      </w:pPr>
    </w:p>
    <w:p>
      <w:pPr>
        <w:ind w:right="126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outstanding of the registrant's Common Stock as of February 27, 2026 was 45,933,814.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68580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740" w:space="140"/>
            <w:col w:w="360"/>
          </w:cols>
          <w:pgMar w:left="320" w:top="78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9880" w:type="dxa"/>
            <w:vAlign w:val="bottom"/>
            <w:gridSpan w:val="10"/>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QUANEX BUILDING PRODUCTS CORPORATION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300" w:type="dxa"/>
            <w:vAlign w:val="bottom"/>
            <w:gridSpan w:val="9"/>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8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 (Unaudited)</w:t>
            </w: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60" w:type="dxa"/>
            <w:vAlign w:val="bottom"/>
            <w:vMerge w:val="continue"/>
          </w:tcPr>
          <w:p>
            <w:pPr>
              <w:spacing w:after="0"/>
              <w:rPr>
                <w:sz w:val="24"/>
                <w:szCs w:val="24"/>
                <w:color w:val="auto"/>
              </w:rPr>
            </w:pPr>
          </w:p>
        </w:tc>
        <w:tc>
          <w:tcPr>
            <w:tcW w:w="9880" w:type="dxa"/>
            <w:vAlign w:val="bottom"/>
            <w:gridSpan w:val="10"/>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5960" w:type="dxa"/>
            <w:vAlign w:val="bottom"/>
            <w:gridSpan w:val="5"/>
          </w:tcPr>
          <w:p>
            <w:pPr>
              <w:spacing w:after="0"/>
              <w:rPr>
                <w:sz w:val="20"/>
                <w:szCs w:val="20"/>
                <w:color w:val="auto"/>
              </w:rPr>
            </w:pPr>
            <w:r>
              <w:rPr>
                <w:rFonts w:ascii="Times New Roman" w:cs="Times New Roman" w:eastAsia="Times New Roman" w:hAnsi="Times New Roman"/>
                <w:sz w:val="18"/>
                <w:szCs w:val="18"/>
                <w:color w:val="0E32E1"/>
                <w:w w:val="99"/>
              </w:rPr>
              <w:t>Condensed Consolidated Balance Sheets – January 31, 2026 and October 31, 2025</w:t>
            </w:r>
          </w:p>
        </w:tc>
        <w:tc>
          <w:tcPr>
            <w:tcW w:w="3920" w:type="dxa"/>
            <w:vAlign w:val="bottom"/>
            <w:gridSpan w:val="5"/>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gridSpan w:val="2"/>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740" w:type="dxa"/>
            <w:vAlign w:val="bottom"/>
            <w:shd w:val="clear" w:color="auto" w:fill="0E32E1"/>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righ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Statements of (Loss) Income – Three Months Ended January 31, 2026 and 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 xml:space="preserve">Condensed Consolidated Statements of Comprehensive Income (Loss) </w:t>
            </w:r>
            <w:r>
              <w:rPr>
                <w:rFonts w:ascii="Times New Roman" w:cs="Times New Roman" w:eastAsia="Times New Roman" w:hAnsi="Times New Roman"/>
                <w:sz w:val="18"/>
                <w:szCs w:val="18"/>
                <w:color w:val="0E32E1"/>
              </w:rPr>
              <w:t>–</w:t>
            </w:r>
            <w:r>
              <w:rPr>
                <w:rFonts w:ascii="Times New Roman" w:cs="Times New Roman" w:eastAsia="Times New Roman" w:hAnsi="Times New Roman"/>
                <w:sz w:val="18"/>
                <w:szCs w:val="18"/>
                <w:color w:val="0000FF"/>
              </w:rPr>
              <w:t xml:space="preserve"> Three Months Ended January 31, 2026 and 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Three Months Ended January 31, 2026 and 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80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Stockholders’ Equity – Three Months Ended January 31, 2026 and 2025</w:t>
            </w:r>
          </w:p>
        </w:tc>
        <w:tc>
          <w:tcPr>
            <w:tcW w:w="1860" w:type="dxa"/>
            <w:vAlign w:val="bottom"/>
            <w:gridSpan w:val="2"/>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80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860" w:type="dxa"/>
            <w:vAlign w:val="bottom"/>
            <w:gridSpan w:val="2"/>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gridSpan w:val="2"/>
            <w:shd w:val="clear" w:color="auto" w:fill="0000FF"/>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Item 1A:</w:t>
            </w: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2"/>
        </w:trPr>
        <w:tc>
          <w:tcPr>
            <w:tcW w:w="11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00" w:type="dxa"/>
            <w:vAlign w:val="bottom"/>
          </w:tcPr>
          <w:p>
            <w:pPr>
              <w:spacing w:after="0"/>
              <w:rPr>
                <w:sz w:val="13"/>
                <w:szCs w:val="13"/>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5"/>
        </w:trPr>
        <w:tc>
          <w:tcPr>
            <w:tcW w:w="4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36"/>
        </w:trPr>
        <w:tc>
          <w:tcPr>
            <w:tcW w:w="4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80" w:type="dxa"/>
            <w:vAlign w:val="bottom"/>
            <w:gridSpan w:val="4"/>
          </w:tcPr>
          <w:p>
            <w:pPr>
              <w:jc w:val="right"/>
              <w:ind w:right="591"/>
              <w:spacing w:after="0" w:line="136"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r>
      <w:tr>
        <w:trPr>
          <w:trHeight w:val="195"/>
        </w:trPr>
        <w:tc>
          <w:tcPr>
            <w:tcW w:w="4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140" w:type="dxa"/>
            <w:vAlign w:val="bottom"/>
          </w:tcPr>
          <w:p>
            <w:pPr>
              <w:spacing w:after="0"/>
              <w:rPr>
                <w:sz w:val="16"/>
                <w:szCs w:val="16"/>
                <w:color w:val="auto"/>
              </w:rPr>
            </w:pPr>
          </w:p>
        </w:tc>
      </w:tr>
      <w:tr>
        <w:trPr>
          <w:trHeight w:val="234"/>
        </w:trPr>
        <w:tc>
          <w:tcPr>
            <w:tcW w:w="8220" w:type="dxa"/>
            <w:vAlign w:val="bottom"/>
            <w:gridSpan w:val="3"/>
            <w:shd w:val="clear" w:color="auto" w:fill="CCEEFF"/>
          </w:tcPr>
          <w:p>
            <w:pPr>
              <w:ind w:left="3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76,018</w:t>
            </w:r>
          </w:p>
        </w:tc>
      </w:tr>
      <w:tr>
        <w:trPr>
          <w:trHeight w:val="229"/>
        </w:trPr>
        <w:tc>
          <w:tcPr>
            <w:tcW w:w="8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r>
      <w:tr>
        <w:trPr>
          <w:trHeight w:val="230"/>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shd w:val="clear" w:color="auto" w:fill="CCEEFF"/>
              </w:rPr>
              <w:t>$2,456</w:t>
            </w:r>
          </w:p>
        </w:tc>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$2,039</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189,243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205,384</w:t>
            </w:r>
          </w:p>
        </w:tc>
      </w:tr>
      <w:tr>
        <w:trPr>
          <w:trHeight w:val="229"/>
        </w:trPr>
        <w:tc>
          <w:tcPr>
            <w:tcW w:w="8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270,597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254,122</w:t>
            </w:r>
          </w:p>
        </w:tc>
      </w:tr>
      <w:tr>
        <w:trPr>
          <w:trHeight w:val="229"/>
        </w:trPr>
        <w:tc>
          <w:tcPr>
            <w:tcW w:w="8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32,387</w:t>
            </w:r>
          </w:p>
        </w:tc>
      </w:tr>
      <w:tr>
        <w:trPr>
          <w:trHeight w:val="230"/>
        </w:trPr>
        <w:tc>
          <w:tcPr>
            <w:tcW w:w="822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w:t>
            </w:r>
          </w:p>
        </w:tc>
      </w:tr>
      <w:tr>
        <w:trPr>
          <w:trHeight w:val="223"/>
        </w:trPr>
        <w:tc>
          <w:tcPr>
            <w:tcW w:w="822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568,673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573,775</w:t>
            </w:r>
          </w:p>
        </w:tc>
      </w:tr>
      <w:tr>
        <w:trPr>
          <w:trHeight w:val="230"/>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$430,294 and $414,809</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401,701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411,591</w:t>
            </w:r>
          </w:p>
        </w:tc>
      </w:tr>
      <w:tr>
        <w:trPr>
          <w:trHeight w:val="229"/>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179,221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154,866</w:t>
            </w:r>
          </w:p>
        </w:tc>
      </w:tr>
      <w:tr>
        <w:trPr>
          <w:trHeight w:val="230"/>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r>
      <w:tr>
        <w:trPr>
          <w:trHeight w:val="229"/>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275,468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271,346</w:t>
            </w:r>
          </w:p>
        </w:tc>
      </w:tr>
      <w:tr>
        <w:trPr>
          <w:trHeight w:val="229"/>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544,323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549,137</w:t>
            </w:r>
          </w:p>
        </w:tc>
      </w:tr>
      <w:tr>
        <w:trPr>
          <w:trHeight w:val="230"/>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w:t>
            </w:r>
          </w:p>
        </w:tc>
      </w:tr>
      <w:tr>
        <w:trPr>
          <w:trHeight w:val="223"/>
        </w:trPr>
        <w:tc>
          <w:tcPr>
            <w:tcW w:w="82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1,978,163</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1,968,233</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8220" w:type="dxa"/>
            <w:vAlign w:val="bottom"/>
            <w:gridSpan w:val="3"/>
            <w:shd w:val="clear" w:color="auto" w:fill="CCEEFF"/>
          </w:tcPr>
          <w:p>
            <w:pPr>
              <w:ind w:left="21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131,307</w:t>
            </w:r>
          </w:p>
        </w:tc>
      </w:tr>
      <w:tr>
        <w:trPr>
          <w:trHeight w:val="229"/>
        </w:trPr>
        <w:tc>
          <w:tcPr>
            <w:tcW w:w="8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95,155</w:t>
            </w:r>
          </w:p>
        </w:tc>
      </w:tr>
      <w:tr>
        <w:trPr>
          <w:trHeight w:val="230"/>
        </w:trPr>
        <w:tc>
          <w:tcPr>
            <w:tcW w:w="8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12,076</w:t>
            </w:r>
          </w:p>
        </w:tc>
      </w:tr>
      <w:tr>
        <w:trPr>
          <w:trHeight w:val="230"/>
        </w:trPr>
        <w:tc>
          <w:tcPr>
            <w:tcW w:w="8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27,561</w:t>
            </w:r>
          </w:p>
        </w:tc>
      </w:tr>
      <w:tr>
        <w:trPr>
          <w:trHeight w:val="230"/>
        </w:trPr>
        <w:tc>
          <w:tcPr>
            <w:tcW w:w="8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16,749</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15,446</w:t>
            </w:r>
          </w:p>
        </w:tc>
      </w:tr>
      <w:tr>
        <w:trPr>
          <w:trHeight w:val="223"/>
        </w:trPr>
        <w:tc>
          <w:tcPr>
            <w:tcW w:w="82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245,836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281,545</w:t>
            </w:r>
          </w:p>
        </w:tc>
      </w:tr>
      <w:tr>
        <w:trPr>
          <w:trHeight w:val="229"/>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678,636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665,268</w:t>
            </w:r>
          </w:p>
        </w:tc>
      </w:tr>
      <w:tr>
        <w:trPr>
          <w:trHeight w:val="230"/>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145,459</w:t>
            </w:r>
          </w:p>
        </w:tc>
      </w:tr>
      <w:tr>
        <w:trPr>
          <w:trHeight w:val="230"/>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139,804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135,993</w:t>
            </w:r>
          </w:p>
        </w:tc>
      </w:tr>
      <w:tr>
        <w:trPr>
          <w:trHeight w:val="230"/>
        </w:trPr>
        <w:tc>
          <w:tcPr>
            <w:tcW w:w="82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14,865</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13,789</w:t>
            </w:r>
          </w:p>
        </w:tc>
      </w:tr>
      <w:tr>
        <w:trPr>
          <w:trHeight w:val="223"/>
        </w:trPr>
        <w:tc>
          <w:tcPr>
            <w:tcW w:w="822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1,247,809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1,242,054</w:t>
            </w:r>
          </w:p>
        </w:tc>
      </w:tr>
      <w:tr>
        <w:trPr>
          <w:trHeight w:val="230"/>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shares authorized 1,000,000; issued and outstanding - none</w:t>
            </w:r>
          </w:p>
        </w:tc>
        <w:tc>
          <w:tcPr>
            <w:tcW w:w="2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8220" w:type="dxa"/>
            <w:vAlign w:val="bottom"/>
            <w:gridSpan w:val="3"/>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Common stock, $0.01 par value, shares authorized 125,000,000; issued 51,174,857 and 51,211,469,</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0"/>
        </w:trPr>
        <w:tc>
          <w:tcPr>
            <w:tcW w:w="8220" w:type="dxa"/>
            <w:vAlign w:val="bottom"/>
            <w:tcBorders>
              <w:bottom w:val="single" w:sz="8" w:color="CCEEFF"/>
            </w:tcBorders>
            <w:gridSpan w:val="3"/>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respectively; outstanding 45,931,814 and 45,674,726, respectively</w:t>
            </w: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512</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512</w:t>
            </w:r>
          </w:p>
        </w:tc>
      </w:tr>
      <w:tr>
        <w:trPr>
          <w:trHeight w:val="229"/>
        </w:trPr>
        <w:tc>
          <w:tcPr>
            <w:tcW w:w="8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695,426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700,029</w:t>
            </w:r>
          </w:p>
        </w:tc>
      </w:tr>
      <w:tr>
        <w:trPr>
          <w:trHeight w:val="230"/>
        </w:trPr>
        <w:tc>
          <w:tcPr>
            <w:tcW w:w="8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156,963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164,710</w:t>
            </w:r>
          </w:p>
        </w:tc>
      </w:tr>
      <w:tr>
        <w:trPr>
          <w:trHeight w:val="230"/>
        </w:trPr>
        <w:tc>
          <w:tcPr>
            <w:tcW w:w="8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(35,439)</w:t>
            </w:r>
          </w:p>
        </w:tc>
      </w:tr>
      <w:tr>
        <w:trPr>
          <w:trHeight w:val="230"/>
        </w:trPr>
        <w:tc>
          <w:tcPr>
            <w:tcW w:w="8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shd w:val="clear" w:color="auto" w:fill="CCEEFF"/>
              </w:rPr>
              <w:t>Less: Treasury stock at cost, 5,243,043 and 5,536,743 shares, respectively</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(103,633)</w:t>
            </w:r>
          </w:p>
        </w:tc>
      </w:tr>
      <w:tr>
        <w:trPr>
          <w:trHeight w:val="223"/>
        </w:trPr>
        <w:tc>
          <w:tcPr>
            <w:tcW w:w="8220" w:type="dxa"/>
            <w:vAlign w:val="bottom"/>
            <w:tcBorders>
              <w:bottom w:val="single" w:sz="8" w:color="CCEEFF"/>
            </w:tcBorders>
            <w:gridSpan w:val="3"/>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730,354</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726,179</w:t>
            </w:r>
          </w:p>
        </w:tc>
      </w:tr>
      <w:tr>
        <w:trPr>
          <w:trHeight w:val="248"/>
        </w:trPr>
        <w:tc>
          <w:tcPr>
            <w:tcW w:w="8220" w:type="dxa"/>
            <w:vAlign w:val="bottom"/>
            <w:tcBorders>
              <w:bottom w:val="single" w:sz="8" w:color="CCEEFF"/>
            </w:tcBorders>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1,978,163</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1,968,233</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r>
      <w:tr>
        <w:trPr>
          <w:trHeight w:val="203"/>
        </w:trPr>
        <w:tc>
          <w:tcPr>
            <w:tcW w:w="7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000" w:type="dxa"/>
            <w:vAlign w:val="bottom"/>
          </w:tcPr>
          <w:p>
            <w:pPr>
              <w:spacing w:after="0"/>
              <w:rPr>
                <w:sz w:val="17"/>
                <w:szCs w:val="17"/>
                <w:color w:val="auto"/>
              </w:rPr>
            </w:pPr>
          </w:p>
        </w:tc>
      </w:tr>
      <w:tr>
        <w:trPr>
          <w:trHeight w:val="23"/>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7840" w:type="dxa"/>
            <w:vAlign w:val="bottom"/>
          </w:tcPr>
          <w:p>
            <w:pPr>
              <w:spacing w:after="0"/>
              <w:rPr>
                <w:sz w:val="17"/>
                <w:szCs w:val="17"/>
                <w:color w:val="auto"/>
              </w:rPr>
            </w:pPr>
          </w:p>
        </w:tc>
        <w:tc>
          <w:tcPr>
            <w:tcW w:w="34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r>
      <w:tr>
        <w:trPr>
          <w:trHeight w:val="23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409,089</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400,044</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310,562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307,728</w:t>
            </w:r>
          </w:p>
        </w:tc>
      </w:tr>
      <w:tr>
        <w:trPr>
          <w:trHeight w:val="23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66,650</w:t>
            </w: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charges</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w:t>
            </w:r>
          </w:p>
        </w:tc>
      </w:tr>
      <w:tr>
        <w:trPr>
          <w:trHeight w:val="230"/>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24,249</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24,740</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(14,186)</w:t>
            </w:r>
          </w:p>
        </w:tc>
      </w:tr>
      <w:tr>
        <w:trPr>
          <w:trHeight w:val="229"/>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(19,935)</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common share</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70"/>
        </w:trPr>
        <w:tc>
          <w:tcPr>
            <w:tcW w:w="7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Basic and diluted</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47,015</w:t>
            </w:r>
          </w:p>
        </w:tc>
      </w:tr>
      <w:tr>
        <w:trPr>
          <w:trHeight w:val="270"/>
        </w:trPr>
        <w:tc>
          <w:tcPr>
            <w:tcW w:w="78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34"/>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dividends per share</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0"/>
                <w:szCs w:val="20"/>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bl>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left="340" w:right="1980"/>
        <w:spacing w:after="0" w:line="278" w:lineRule="auto"/>
        <w:rPr>
          <w:sz w:val="20"/>
          <w:szCs w:val="20"/>
          <w:color w:val="auto"/>
        </w:rPr>
      </w:pPr>
      <w:r>
        <w:rPr>
          <w:rFonts w:ascii="Times New Roman" w:cs="Times New Roman" w:eastAsia="Times New Roman" w:hAnsi="Times New Roman"/>
          <w:sz w:val="18"/>
          <w:szCs w:val="18"/>
          <w:b w:val="1"/>
          <w:bCs w:val="1"/>
          <w:color w:val="auto"/>
        </w:rPr>
        <w:t>QUANEX BUILDING PRODUCTS CORPORATION CONDENSED CONSOLIDATED STATEMENTS OF COMPREHENSIVE INCOME (LOSS) (Unaudited)</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203"/>
        </w:trPr>
        <w:tc>
          <w:tcPr>
            <w:tcW w:w="7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100" w:type="dxa"/>
            <w:vAlign w:val="bottom"/>
          </w:tcPr>
          <w:p>
            <w:pPr>
              <w:spacing w:after="0"/>
              <w:rPr>
                <w:sz w:val="17"/>
                <w:szCs w:val="17"/>
                <w:color w:val="auto"/>
              </w:rPr>
            </w:pPr>
          </w:p>
        </w:tc>
      </w:tr>
      <w:tr>
        <w:trPr>
          <w:trHeight w:val="23"/>
        </w:trPr>
        <w:tc>
          <w:tcPr>
            <w:tcW w:w="75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5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7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r>
      <w:tr>
        <w:trPr>
          <w:trHeight w:val="23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(14,885)</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comprehensive income:</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 (loss), net of tax</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w:t>
            </w:r>
          </w:p>
        </w:tc>
      </w:tr>
      <w:tr>
        <w:trPr>
          <w:trHeight w:val="223"/>
        </w:trPr>
        <w:tc>
          <w:tcPr>
            <w:tcW w:w="7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(15,951)</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(30,836)</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203"/>
        </w:trPr>
        <w:tc>
          <w:tcPr>
            <w:tcW w:w="7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100" w:type="dxa"/>
            <w:vAlign w:val="bottom"/>
          </w:tcPr>
          <w:p>
            <w:pPr>
              <w:spacing w:after="0"/>
              <w:rPr>
                <w:sz w:val="17"/>
                <w:szCs w:val="17"/>
                <w:color w:val="auto"/>
              </w:rPr>
            </w:pPr>
          </w:p>
        </w:tc>
      </w:tr>
      <w:tr>
        <w:trPr>
          <w:trHeight w:val="23"/>
        </w:trPr>
        <w:tc>
          <w:tcPr>
            <w:tcW w:w="7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7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r>
      <w:tr>
        <w:trPr>
          <w:trHeight w:val="23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2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cash used for operating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24,249</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24,740</w:t>
            </w:r>
          </w:p>
        </w:tc>
      </w:tr>
      <w:tr>
        <w:trPr>
          <w:trHeight w:val="230"/>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29"/>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r>
      <w:tr>
        <w:trPr>
          <w:trHeight w:val="229"/>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w:t>
            </w:r>
          </w:p>
        </w:tc>
      </w:tr>
      <w:tr>
        <w:trPr>
          <w:trHeight w:val="230"/>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30,330</w:t>
            </w:r>
          </w:p>
        </w:tc>
      </w:tr>
      <w:tr>
        <w:trPr>
          <w:trHeight w:val="229"/>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inventory</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(13,669)</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w:t>
            </w:r>
          </w:p>
        </w:tc>
      </w:tr>
      <w:tr>
        <w:trPr>
          <w:trHeight w:val="230"/>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w:t>
            </w:r>
          </w:p>
        </w:tc>
      </w:tr>
      <w:tr>
        <w:trPr>
          <w:trHeight w:val="229"/>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(16,548)</w:t>
            </w:r>
          </w:p>
        </w:tc>
      </w:tr>
      <w:tr>
        <w:trPr>
          <w:trHeight w:val="230"/>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accrued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(22,558)</w:t>
            </w:r>
          </w:p>
        </w:tc>
      </w:tr>
      <w:tr>
        <w:trPr>
          <w:trHeight w:val="229"/>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 income taxes payable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r>
      <w:tr>
        <w:trPr>
          <w:trHeight w:val="22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operating activities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(20,208)</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(12,510)</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(11,624)</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disposition of capital assets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under credit facilities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credit facility borrowings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(56,250)</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of other long-term debt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dividends paid</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Payroll tax paid to settle shares forfeited upon vesting of stock</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w:t>
            </w:r>
          </w:p>
        </w:tc>
      </w:tr>
      <w:tr>
        <w:trPr>
          <w:trHeight w:val="22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for) financing activities</w:t>
            </w:r>
          </w:p>
        </w:tc>
        <w:tc>
          <w:tcPr>
            <w:tcW w:w="10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15,920</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(21,972)</w:t>
            </w:r>
          </w:p>
        </w:tc>
      </w:tr>
      <w:tr>
        <w:trPr>
          <w:trHeight w:val="230"/>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(47,527)</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78,118</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102,995</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QUANEX BUILDING PRODUCTS CORPORATION CONDENSED CONSOLIDATED STATEMENTS OF STOCKHOLDERS’ EQUITY (Unaudited)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 January 31, 2026</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4"/>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00" w:type="dxa"/>
            <w:vAlign w:val="bottom"/>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700,029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(103,633)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1"/>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38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January 31, 2026</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695,426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156,963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(24,329)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(98,218)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730,354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 January 31, 2025</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4"/>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0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00" w:type="dxa"/>
            <w:vAlign w:val="bottom"/>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701,008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430,405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1,010,746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 purchased, at cost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 vested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January 31, 2025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697,358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411,708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(75,083)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Basis of Presentation and Significant Accounting Policies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Quanex Building Products Corporation is a leading manufacturer and component supplier to original equipment manufacturers (OEMs) in the building products industry, including window, door, solar, refrigeration, custom mixing, building access, and cabinetry markets. We have organized our business into three reportable business segments: (1) Hardware Solutions, which manufactures window and door hardware and screens; (2) Extruded Solutions, which manufactures insulating glass spacers, vinyl window and door profiles, seals, and weatherstripping; and (3) Custom Solutions, which manufactures wood, mixing, and building access solutions. For additional discussion of our reportable business segments, see Note 12, “Segment Information.” We leverage efficient production and distribution processes and engineering expertise to provide our customers with specialized products for their specific hardware, extrusion, and custom applications. We believe these capabilities enhance our ability to provide value to our customers. We serve a primary customer base in North America and the United Kingdom (U.K.), and also serve customers in international markets through our operating locations in the U.K., Germany, Mexico, Canada, and Italy, as well as through sales and marketing efforts in other countries.</w:t>
      </w:r>
    </w:p>
    <w:p>
      <w:pPr>
        <w:spacing w:after="0" w:line="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August 1, 2024, we completed the acquisition of Tyman plc (“Tyman”), a company incorporated in England and Wales (“Tyman Acquisition”). The acquisition was accounted for as a business combination requiring all the acquired assets and liabilities to be remeasured to fair value resulting in a consolidated fair value of net assets and liabilities of $848.6 million. Tyman’s results are allocated to our Hardware Solutions, Extruded Solutions, and Custom Solutions segments in accordance with the nature of operations. For additional discussion of our reportable business segments, see Note 12, “Segment Information.”</w:t>
      </w:r>
    </w:p>
    <w:p>
      <w:pPr>
        <w:spacing w:after="0" w:line="127"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include the accounts of Quanex Building Products Corporation. All intercompany accounts and transactions have been eliminated in consolidation. These unaudited financial statements have been prepared by us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2025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2025.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long-lived assets and goodwill, contingencies and income taxes. Changes in facts and circumstances may result in revised estimates and actual results may differ from these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recognize revenue that reflects the consideration we expect to receive for product sales upon transfer to customers. Revenue for product sales is recognized when control of the promised products is transferred to our customers, and we are entitled to consideration in exchange for such transfer. We account for a contract when a customer provides us with a firm purchase order that identifies the products to be provided, the payment terms for those products, and when collectability of the consideration due is reasonably assured.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7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12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generally expense incremental costs of obtaining a contract when incurred because the amortization period would be less than one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do not disclose the value of unsatisfied performance obligations as our contract terms are less than one year.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and sales incentives</w:t>
      </w:r>
    </w:p>
    <w:p>
      <w:pPr>
        <w:spacing w:after="0" w:line="17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Pricing is established at or prior to the time of sale with our customers and we record sales at the agreed-upon net selling price, reflective of current and prospective discounts.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17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(loss)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7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Deferred revenue, which is not significant, is recorded when we have remaining unsatisfied performance obligations for which we have received consideration.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manufacture and distribute a diverse portfolio of products for OEMs operating in hardware, extrusion, and custom markets worldwide. Our broad geographic reach exposes us to diverse economic conditions, which can impact demand, currency fluctuations, and supply chain dynamics.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product sales for the three months ended January 31, 2026 and 2025, into groupings by segment which we believe depicts how the nature, amount, timing and uncertainty of our revenues and cash flows are affected by economic factors. For further details regarding our results by segment, refer to Note 12, “Segment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203"/>
        </w:trPr>
        <w:tc>
          <w:tcPr>
            <w:tcW w:w="7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100" w:type="dxa"/>
            <w:vAlign w:val="bottom"/>
          </w:tcPr>
          <w:p>
            <w:pPr>
              <w:spacing w:after="0"/>
              <w:rPr>
                <w:sz w:val="17"/>
                <w:szCs w:val="17"/>
                <w:color w:val="auto"/>
              </w:rPr>
            </w:pPr>
          </w:p>
        </w:tc>
      </w:tr>
      <w:tr>
        <w:trPr>
          <w:trHeight w:val="23"/>
        </w:trPr>
        <w:tc>
          <w:tcPr>
            <w:tcW w:w="75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5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7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r>
      <w:tr>
        <w:trPr>
          <w:trHeight w:val="23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Hardware Solutions:</w:t>
            </w:r>
          </w:p>
        </w:tc>
        <w:tc>
          <w:tcPr>
            <w:tcW w:w="10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Window and door hardware</w:t>
            </w:r>
          </w:p>
        </w:tc>
        <w:tc>
          <w:tcPr>
            <w:tcW w:w="106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124,701</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122,353</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Screens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60,554</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r>
      <w:tr>
        <w:trPr>
          <w:trHeight w:val="223"/>
        </w:trPr>
        <w:tc>
          <w:tcPr>
            <w:tcW w:w="7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189,112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184,740</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Extruded Solutions:</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Window profiles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59,845</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Seals and gaskets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18,041</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Spacers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42,861</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Solar</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Flashing Tape</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Window and door hardware</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23"/>
        </w:trPr>
        <w:tc>
          <w:tcPr>
            <w:tcW w:w="7560" w:type="dxa"/>
            <w:vAlign w:val="bottom"/>
          </w:tcPr>
          <w:p>
            <w:pPr>
              <w:spacing w:after="0"/>
              <w:rPr>
                <w:sz w:val="19"/>
                <w:szCs w:val="19"/>
                <w:color w:val="auto"/>
              </w:rPr>
            </w:pPr>
          </w:p>
        </w:tc>
        <w:tc>
          <w:tcPr>
            <w:tcW w:w="106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139,800</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139,630</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 Solutions: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Wood solutions</w:t>
            </w:r>
          </w:p>
        </w:tc>
        <w:tc>
          <w:tcPr>
            <w:tcW w:w="106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46,654</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43,810</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Access solutions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22,908</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Mixing solutions</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18,320</w:t>
            </w:r>
          </w:p>
        </w:tc>
      </w:tr>
      <w:tr>
        <w:trPr>
          <w:trHeight w:val="223"/>
        </w:trPr>
        <w:tc>
          <w:tcPr>
            <w:tcW w:w="7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85,038</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Corporate &amp; Other:</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06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(9,364)</w:t>
            </w:r>
          </w:p>
        </w:tc>
      </w:tr>
      <w:tr>
        <w:trPr>
          <w:trHeight w:val="223"/>
        </w:trPr>
        <w:tc>
          <w:tcPr>
            <w:tcW w:w="75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(9,364)</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409,089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400,044</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Cash equivalents include all highly liquid investments with an original maturity of three months or less. Such securities with an original maturity which exceeds three months are deemed to be short-term investments. Restricted cash represents cash held by our foreign subsidiary that is subject to foreign exchange and capital control regulations that may restrict the timing and manner of remittance of funds outside the country. We maintain cash, cash equivalents and restricted cash at several financial institutions, which at times may not be federally insured or may exceed federally insured limits. We have not experienced any losses in such accounts and believe we are not exposed to any significant credit risks on such accounts.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established an allowance for credit losses to estimate the risk of loss associated with our accounts receivable balances. Our policy for determining the allowance is based on factors that affect collectability, including historical trends of write-offs, recoveries and credit losses, and the credit quality of our customers. We believe our allowance is adequate to absorb any known or probable losses as of January 31, 2026. Different assumptions or changes in economic circumstances could result in changes to the allowance.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Net sales to customers which are related parties with two of our non-employee directors for the three months ended January 31, 2026 was $0.3 million and $0.5 million for comparable prior year period. Purchases from a supplier which is a related party with one of our non-employee directors for the three months ended January 31, 2026 was $0.1 million and $0.2 million for the comparable prior year period. We performed a review of these transactions, of which no single transaction or series of related transactions exceeded $120,000 in amount, and determined that these transactions were enacted independently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each other. We are not aware of any other related party transactions with any of our current non-employee directors or officers outside of their normal business functions or expected contractual duties.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accrue one-time severance costs pursuant to an approved plan of restructuring at the communication date, when affected employees have been notified of the potential severance and sufficient information has been provided for the employee to calculate severance benefits, in the event the employee is involuntarily terminated. In addition, we accrue costs associated with the termination of contractual commitments including leases at the time the lease is terminated pursuant to the lease provisions or in accordance with another agreement with the landlord. Otherwise, we continue to recognize lease expense through the cease-use date. After the cease-use date, we determine if our operating lease payments are at market. We assume sublet of the facility at the market rate. To the extent our lease obligations exceed the fair value rentals, we discount to arrive at the present value and record a liability. If the facility is not sublet, we expense the amount of the assumed sublet in the current period. For other costs directly related to the restructuring effort, such as equipment moving costs, we expense in the period incurred.</w:t>
      </w:r>
    </w:p>
    <w:p>
      <w:pPr>
        <w:spacing w:after="0" w:line="1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fiscal 2025, we restructured our reportable segments to integrate the acquisition of Tyman plc with our legacy Quanex operations. This restructuring aligns our business into three reportable segments: Hardware Solutions, Extruded Solutions, and Custom Solutions, which is how our Chief Operating Decision Maker (“CODM”) assesses the performance of our business, makes key operating decisions and allocates resources. For additional discussion of our reportable business segments, see Note 12, “Segment Information.”</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three months ended January 31, 2026 and 2025, we incurred zero and 7.9 million, respectively, in restructuring charges including zero and $4.0 million, respectively, related to workforce alignment costs, primarily severance and employee-related expenses. As of January 31, 2026, we have paid $5.9 million in 2025 workforce alignment costs, with a remaining accrual of $0.4 million. Additionally, we recognized $3.9 million during the three months ended January 31, 2025 related to the disposal of software which no longer supports our business. We may incur additional restructuring charges in future periods. The nature and amount of any such charges will depend on further developments in the restructuring process.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Inventories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consisted of the following at January 31, 2026 and October 31, 2025 (in thousands):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00" w:type="dxa"/>
            <w:vAlign w:val="bottom"/>
          </w:tcPr>
          <w:p>
            <w:pPr>
              <w:spacing w:after="0"/>
              <w:rPr>
                <w:sz w:val="13"/>
                <w:szCs w:val="13"/>
                <w:color w:val="auto"/>
              </w:rPr>
            </w:pPr>
          </w:p>
        </w:tc>
        <w:tc>
          <w:tcPr>
            <w:tcW w:w="14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6"/>
        </w:trPr>
        <w:tc>
          <w:tcPr>
            <w:tcW w:w="75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85,054</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 and work in process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176,451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165,711</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r>
      <w:tr>
        <w:trPr>
          <w:trHeight w:val="223"/>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270,597</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254,122</w:t>
            </w:r>
          </w:p>
        </w:tc>
      </w:tr>
      <w:tr>
        <w:trPr>
          <w:trHeight w:val="21"/>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did not record any impairment charges related to inventories for the periods ended January 31, 2026 and October 31, 2025.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Plant and Equipment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as of January 31, 2026 and October 31, 2025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00" w:type="dxa"/>
            <w:vAlign w:val="bottom"/>
          </w:tcPr>
          <w:p>
            <w:pPr>
              <w:spacing w:after="0"/>
              <w:rPr>
                <w:sz w:val="13"/>
                <w:szCs w:val="13"/>
                <w:color w:val="auto"/>
              </w:rPr>
            </w:pPr>
          </w:p>
        </w:tc>
        <w:tc>
          <w:tcPr>
            <w:tcW w:w="14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5"/>
        </w:trPr>
        <w:tc>
          <w:tcPr>
            <w:tcW w:w="76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21,725</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194,034</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548,623</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62,018</w:t>
            </w:r>
          </w:p>
        </w:tc>
      </w:tr>
      <w:tr>
        <w:trPr>
          <w:trHeight w:val="223"/>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831,995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826,400</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414,809</w:t>
            </w:r>
          </w:p>
        </w:tc>
      </w:tr>
      <w:tr>
        <w:trPr>
          <w:trHeight w:val="248"/>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411,591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Depreciation expense, including amortization of finance leases, for the three months ended January 31, 2026 was $14.5 million and $13.9 million for the comparable prior year period.</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If there are indicators of potential impairment, we evaluate our property, plant and equipment for recoverability over the remaining useful lives of the assets.</w:t>
      </w:r>
    </w:p>
    <w:p>
      <w:pPr>
        <w:spacing w:after="0" w:line="10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did not record any impairment charges related to property, plant and equipment or intangible assets for the periods ended January 31, 2026 and October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 in the carrying amount of goodwill for the three months ended January 31, 2026 was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9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January 31, 2026</w:t>
            </w:r>
          </w:p>
        </w:tc>
      </w:tr>
      <w:tr>
        <w:trPr>
          <w:trHeight w:val="23"/>
        </w:trPr>
        <w:tc>
          <w:tcPr>
            <w:tcW w:w="9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271,346</w:t>
            </w:r>
          </w:p>
        </w:tc>
      </w:tr>
      <w:tr>
        <w:trPr>
          <w:trHeight w:val="230"/>
        </w:trPr>
        <w:tc>
          <w:tcPr>
            <w:tcW w:w="9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275,468</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January 31, 2026, we have ten reporting units, seven of which comprised our goodwill balance. These ten reporting units are aggregated into our three reportable segments. For additional information and discussion of our reporting units and a summary of the change in the carrying amount of goodwill by segment, see Note 12, “Segment Information.”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Amortizable intangible assets consisted of the following as of January 31, 2026 and October 31, 2025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60" w:type="dxa"/>
            <w:vAlign w:val="bottom"/>
          </w:tcPr>
          <w:p>
            <w:pPr>
              <w:spacing w:after="0"/>
              <w:rPr>
                <w:sz w:val="16"/>
                <w:szCs w:val="16"/>
                <w:color w:val="auto"/>
              </w:rPr>
            </w:pPr>
          </w:p>
        </w:tc>
        <w:tc>
          <w:tcPr>
            <w:tcW w:w="2860" w:type="dxa"/>
            <w:vAlign w:val="bottom"/>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October 31, 2025</w:t>
            </w:r>
          </w:p>
        </w:tc>
      </w:tr>
      <w:tr>
        <w:trPr>
          <w:trHeight w:val="23"/>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28"/>
        </w:trPr>
        <w:tc>
          <w:tcPr>
            <w:tcW w:w="50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36"/>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16"/>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96"/>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2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510,588</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149,341</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506,473</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141,462</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243,083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59,833</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other technology</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26,133</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22,875</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26,105</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22,768</w:t>
            </w: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779,804</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235,481</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773,200</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224,063</w:t>
            </w: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had amortization expense related to intangible assets for the three months ended January 31, 2026 of $9.8 million and $10.6 million for the comparable prior year period.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Estimated remaining amortization expense, assuming current intangible balances and no new acquisitions, for future fiscal years as of January 31, 2026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 (remaining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2030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 and Finance Lease Obligations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Long-term debt consisted of the following at January 31, 2026 and October 31, 2025 (in thousands):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98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92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6"/>
        </w:trPr>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24"/>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29,453</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39,270</w:t>
            </w:r>
          </w:p>
        </w:tc>
      </w:tr>
      <w:tr>
        <w:trPr>
          <w:trHeight w:val="230"/>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34,037</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34,020</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32,569</w:t>
            </w:r>
          </w:p>
        </w:tc>
      </w:tr>
      <w:tr>
        <w:trPr>
          <w:trHeight w:val="234"/>
        </w:trPr>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374,974</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544,323</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4"/>
          <w:szCs w:val="14"/>
          <w:b w:val="1"/>
          <w:bCs w:val="1"/>
          <w:color w:val="auto"/>
        </w:rPr>
        <w:t>January 31,</w:t>
      </w:r>
      <w:r>
        <w:rPr>
          <w:sz w:val="20"/>
          <w:szCs w:val="20"/>
          <w:color w:val="auto"/>
        </w:rPr>
        <w:tab/>
      </w:r>
      <w:r>
        <w:rPr>
          <w:rFonts w:ascii="Times New Roman" w:cs="Times New Roman" w:eastAsia="Times New Roman" w:hAnsi="Times New Roman"/>
          <w:sz w:val="14"/>
          <w:szCs w:val="14"/>
          <w:b w:val="1"/>
          <w:bCs w:val="1"/>
          <w:color w:val="auto"/>
        </w:rPr>
        <w:t>October 31,</w:t>
      </w:r>
    </w:p>
    <w:p>
      <w:pPr>
        <w:spacing w:after="0" w:line="6" w:lineRule="exact"/>
        <w:rPr>
          <w:sz w:val="20"/>
          <w:szCs w:val="20"/>
          <w:color w:val="auto"/>
        </w:rPr>
      </w:pPr>
    </w:p>
    <w:p>
      <w:pPr>
        <w:ind w:left="220"/>
        <w:spacing w:after="0"/>
        <w:tabs>
          <w:tab w:leader="none" w:pos="212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11" w:lineRule="exact"/>
        <w:rPr>
          <w:sz w:val="20"/>
          <w:szCs w:val="20"/>
          <w:color w:val="auto"/>
        </w:rPr>
      </w:pPr>
    </w:p>
    <w:p>
      <w:pPr>
        <w:sectPr>
          <w:pgSz w:w="11900" w:h="16838" w:orient="portrait"/>
          <w:cols w:equalWidth="0" w:num="2">
            <w:col w:w="7680" w:space="400"/>
            <w:col w:w="316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3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 Facility</w:t>
            </w: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462,500</w:t>
            </w:r>
          </w:p>
        </w:tc>
        <w:tc>
          <w:tcPr>
            <w:tcW w:w="1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468,750</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199,500</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172,500</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 and other</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55,505</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62,619</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1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(11,040)</w:t>
            </w:r>
          </w:p>
        </w:tc>
      </w:tr>
      <w:tr>
        <w:trPr>
          <w:trHeight w:val="223"/>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707,202</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692,829</w:t>
            </w:r>
          </w:p>
        </w:tc>
      </w:tr>
      <w:tr>
        <w:trPr>
          <w:trHeight w:val="230"/>
        </w:trPr>
        <w:tc>
          <w:tcPr>
            <w:tcW w:w="7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28,566</w:t>
            </w:r>
          </w:p>
        </w:tc>
        <w:tc>
          <w:tcPr>
            <w:tcW w:w="1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27,561</w:t>
            </w:r>
          </w:p>
        </w:tc>
      </w:tr>
      <w:tr>
        <w:trPr>
          <w:trHeight w:val="248"/>
        </w:trPr>
        <w:tc>
          <w:tcPr>
            <w:tcW w:w="7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Long-term debt</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678,636</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665,268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 and Term A Facility</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June 12, 2024, in connection with the Tyman Acquisition, the Company, Wells Fargo Bank, National Association (“Wells Fargo Bank”, acting as agent, swingline lender and issuing lender, the “Agent”), the other entities therein specified in the capacities therein specified, and the lenders parties thereto, entered into an amendment to the Second Amended and Restated Credit Agreement, dated as of July 6, 2022 (the “Existing Credit Agreement”, and the Existing Credit Agreement as so amended, the “Amended Credit Agreement”). The Amended Credit Agreement did not become effective until August 1, 2024 upon the completion of the Tyman Acquisition. Our previous credit facility is more fully described in our Annual Report on Form 10-K for the fiscal year ended October 31, 2023.</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Amended Credit Agreement (i) increased the senior secured revolving credit facility to an aggregate principal amount of $475 million (the “Revolving Credit Facility”) and (ii) provides for a senior secured term loan A facility in an aggregate principal amount of $500 million (the “Term A Facility” and together with the Revolving Credit Facility, the “Facilities”). The Revolving Credit Facility will include alternative currency, letter of credit, and swing-line sub-facilities of $100 million, $30 million, and $15 million, respectively. We capitalized $13.8 million of deferred financing fees related to the Amended Credit Agreement. The maturity date of the Facilities will be five years after the acquisition effective date, maturing on August 1, 2029.</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Term A Facility amortizes on a quarterly basis at 5% per annum of the original principal amount of the Term A Facility, with the remainder due at maturity. The Term A Facility must be prepaid with 100% of the net cash proceeds of the issuance or incurrence of debt and 100% of the net cash proceeds of all asset sales, insurance and condemnation recoveries, and other asset dispositions.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Borrowings under the Facilities bear interest, at our option, at (1) the Base Rate plus an applicable margin or (2) Adjusted Term SOFR plus an applicable margin. The applicable margin will range from 1.0% to 1.75% for Base Rate loans and 2.0% to 2.75% for Adjusted Term SOFR loans. In addition, we are subject to commitment fees for the unused portion of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applicable margin percentages are based on the Consolidated Net Leverage Ratio outlined in the following table:</w:t>
      </w:r>
    </w:p>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Pricing Level</w:t>
            </w:r>
          </w:p>
        </w:tc>
        <w:tc>
          <w:tcPr>
            <w:tcW w:w="33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Consolidated Net Leverage Ratio</w:t>
            </w:r>
          </w:p>
        </w:tc>
        <w:tc>
          <w:tcPr>
            <w:tcW w:w="204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SOFR Loans, Eurocurrency</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Base Rate Loans</w:t>
            </w:r>
          </w:p>
        </w:tc>
        <w:tc>
          <w:tcPr>
            <w:tcW w:w="0" w:type="dxa"/>
            <w:vAlign w:val="bottom"/>
          </w:tcPr>
          <w:p>
            <w:pPr>
              <w:spacing w:after="0"/>
              <w:rPr>
                <w:sz w:val="1"/>
                <w:szCs w:val="1"/>
                <w:color w:val="auto"/>
              </w:rPr>
            </w:pPr>
          </w:p>
        </w:tc>
      </w:tr>
      <w:tr>
        <w:trPr>
          <w:trHeight w:val="193"/>
        </w:trPr>
        <w:tc>
          <w:tcPr>
            <w:tcW w:w="1400" w:type="dxa"/>
            <w:vAlign w:val="bottom"/>
            <w:vMerge w:val="continue"/>
          </w:tcPr>
          <w:p>
            <w:pPr>
              <w:spacing w:after="0"/>
              <w:rPr>
                <w:sz w:val="16"/>
                <w:szCs w:val="16"/>
                <w:color w:val="auto"/>
              </w:rPr>
            </w:pPr>
          </w:p>
        </w:tc>
        <w:tc>
          <w:tcPr>
            <w:tcW w:w="3300" w:type="dxa"/>
            <w:vAlign w:val="bottom"/>
            <w:vMerge w:val="continue"/>
          </w:tcPr>
          <w:p>
            <w:pPr>
              <w:spacing w:after="0"/>
              <w:rPr>
                <w:sz w:val="16"/>
                <w:szCs w:val="16"/>
                <w:color w:val="auto"/>
              </w:rPr>
            </w:pPr>
          </w:p>
        </w:tc>
        <w:tc>
          <w:tcPr>
            <w:tcW w:w="2040" w:type="dxa"/>
            <w:vAlign w:val="bottom"/>
            <w:vMerge w:val="continue"/>
          </w:tcPr>
          <w:p>
            <w:pPr>
              <w:spacing w:after="0"/>
              <w:rPr>
                <w:sz w:val="16"/>
                <w:szCs w:val="16"/>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Loans and RFR Loans</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III</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or equal to 1.50 to 1.00</w:t>
      </w:r>
    </w:p>
    <w:p>
      <w:pPr>
        <w:spacing w:after="0" w:line="2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Greater than 1.50 to 1.00, but less than or equal to 2.25 to 1.00</w:t>
      </w:r>
    </w:p>
    <w:p>
      <w:pPr>
        <w:spacing w:after="0" w:line="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Greater than 2.25 to 1.00, but less than or equal to 3.00 to 1.00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than 3.00 to 1.00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174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0.150%</w:t>
            </w:r>
          </w:p>
        </w:tc>
        <w:tc>
          <w:tcPr>
            <w:tcW w:w="140" w:type="dxa"/>
            <w:vAlign w:val="bottom"/>
          </w:tcPr>
          <w:p>
            <w:pPr>
              <w:spacing w:after="0"/>
              <w:rPr>
                <w:sz w:val="21"/>
                <w:szCs w:val="21"/>
                <w:color w:val="auto"/>
              </w:rPr>
            </w:pPr>
          </w:p>
        </w:tc>
        <w:tc>
          <w:tcPr>
            <w:tcW w:w="228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21"/>
                <w:szCs w:val="21"/>
                <w:color w:val="auto"/>
              </w:rPr>
            </w:pPr>
          </w:p>
        </w:tc>
        <w:tc>
          <w:tcPr>
            <w:tcW w:w="17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1.00%</w:t>
            </w:r>
          </w:p>
        </w:tc>
      </w:tr>
      <w:tr>
        <w:trPr>
          <w:trHeight w:val="319"/>
        </w:trPr>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0.175%</w:t>
            </w:r>
          </w:p>
        </w:tc>
        <w:tc>
          <w:tcPr>
            <w:tcW w:w="140" w:type="dxa"/>
            <w:vAlign w:val="bottom"/>
          </w:tcPr>
          <w:p>
            <w:pPr>
              <w:spacing w:after="0"/>
              <w:rPr>
                <w:sz w:val="24"/>
                <w:szCs w:val="24"/>
                <w:color w:val="auto"/>
              </w:rPr>
            </w:pPr>
          </w:p>
        </w:tc>
        <w:tc>
          <w:tcPr>
            <w:tcW w:w="22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Pr>
          <w:p>
            <w:pPr>
              <w:spacing w:after="0"/>
              <w:rPr>
                <w:sz w:val="24"/>
                <w:szCs w:val="24"/>
                <w:color w:val="auto"/>
              </w:rPr>
            </w:pPr>
          </w:p>
        </w:tc>
        <w:tc>
          <w:tcPr>
            <w:tcW w:w="1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1.25%</w:t>
            </w:r>
          </w:p>
        </w:tc>
      </w:tr>
      <w:tr>
        <w:trPr>
          <w:trHeight w:val="418"/>
        </w:trPr>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0.200%</w:t>
            </w:r>
          </w:p>
        </w:tc>
        <w:tc>
          <w:tcPr>
            <w:tcW w:w="140" w:type="dxa"/>
            <w:vAlign w:val="bottom"/>
          </w:tcPr>
          <w:p>
            <w:pPr>
              <w:spacing w:after="0"/>
              <w:rPr>
                <w:sz w:val="24"/>
                <w:szCs w:val="24"/>
                <w:color w:val="auto"/>
              </w:rPr>
            </w:pPr>
          </w:p>
        </w:tc>
        <w:tc>
          <w:tcPr>
            <w:tcW w:w="22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24"/>
                <w:szCs w:val="24"/>
                <w:color w:val="auto"/>
              </w:rPr>
            </w:pPr>
          </w:p>
        </w:tc>
        <w:tc>
          <w:tcPr>
            <w:tcW w:w="1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1.50%</w:t>
            </w:r>
          </w:p>
        </w:tc>
      </w:tr>
      <w:tr>
        <w:trPr>
          <w:trHeight w:val="324"/>
        </w:trPr>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0.250%</w:t>
            </w:r>
          </w:p>
        </w:tc>
        <w:tc>
          <w:tcPr>
            <w:tcW w:w="140" w:type="dxa"/>
            <w:vAlign w:val="bottom"/>
          </w:tcPr>
          <w:p>
            <w:pPr>
              <w:spacing w:after="0"/>
              <w:rPr>
                <w:sz w:val="24"/>
                <w:szCs w:val="24"/>
                <w:color w:val="auto"/>
              </w:rPr>
            </w:pPr>
          </w:p>
        </w:tc>
        <w:tc>
          <w:tcPr>
            <w:tcW w:w="22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24"/>
                <w:szCs w:val="24"/>
                <w:color w:val="auto"/>
              </w:rPr>
            </w:pPr>
          </w:p>
        </w:tc>
        <w:tc>
          <w:tcPr>
            <w:tcW w:w="1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-410845</wp:posOffset>
            </wp:positionV>
            <wp:extent cx="7132320" cy="266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-830580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20" w:space="560"/>
            <w:col w:w="3600" w:space="400"/>
            <w:col w:w="6060"/>
          </w:cols>
          <w:pgMar w:left="320" w:top="121" w:right="339" w:bottom="1440" w:gutter="0" w:footer="0" w:header="0"/>
          <w:type w:val="continuous"/>
        </w:sectPr>
      </w:pPr>
    </w:p>
    <w:p>
      <w:pPr>
        <w:spacing w:after="0" w:line="2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the event of default, outstanding borrowings accrue interest at the Default Rate, as defined, whereby the obligations will bear interest at a per annum rate equal to 2% above the total per annum rate otherwise applicable.</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Facilities provide for incremental revolving credit commitments for a minimum principal amount of $10.0 million, up to an aggregate amount of the greater of (1) $310.0 million and (2) 100% of Consolidated EBITDA, subject to the lender's discretion to elect or decline the incremental increase. We can also borrow up to the lesser of $15.0 million or the revolving credit commitment, as defined, under a Swingline feature of the Credit Agreement.</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Facilities contain a: (1) Consolidated Interest Coverage Ratio requirement whereby we must not permit the Consolidated Interest Coverage Ratio, as defined, to be less than 3.00 to 1.00, and (2) Consolidated Net Leverage Ratio requirement, whereby the Consolidated Net Leverage Ratio, as defined, must be greater than 3.25 to 1.00.</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to maintaining these financial covenants, the Facilities also limit our ability to enter into certain business transactions, such as to incur indebtedness or liens, to acquire businesses or dispose of material assets, make restricted payments, pay dividends (limited to $35.0 million per year) and other transactions as further defined in the Credit Facility. Some of these limitations, however, do not take effect so long as total leverage is less than or equal to 2.75 to 1.00 and available liquidity exceeds $25.0 million. Substantially all of our domestic assets, with the exception of real property, were used as collateral for the Credit Agreement.</w:t>
      </w:r>
    </w:p>
    <w:p>
      <w:pPr>
        <w:spacing w:after="0" w:line="10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January 31, 2026, we had $662.0 million borrowings outstanding under the Facilities (reduced by unamortized debt issuance costs of $10.3 million), $6.2 million of outstanding letters of credit, and $55.5 million outstanding primarily under finance leases and other debt. We had $269.3 million available for use under the Revolving Credit Facility at January 31, 2026. The borrowings outstanding as of January 31, 2026 under the Facilities accrue interest at 6.04% per annum, and our weighted-average borrowing rate for borrowings outstanding during the three months ended January 31, 2026 and 2025 was 6.39% and 6.85%, respectively. We were in compliance with our debt covenants as of January 31,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Retirement Plans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maintain a non-qualified deferred compensation plan covering members of the Board of Directors and certain key employees. As of January 31, 2026 and October 31, 2025, the liability associated with the deferred compensation plan was approximately $4.5 million and $4.1 million, respectively. We record the current portion of liabilities associated with these plans under the caption “Accrued liabilities,” and the long-term portion under the caption “Other liabilities” in the accompanying condensed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To determine our income tax expense or benefit for interim periods, consistent with accounting standards, we apply the estimated annual effective income tax rate to year-to-date results, plus any applicable discrete items, which are recorded in the period in which they occur. Discrete items include, among others, such events as changes in estimates due to the finalization of tax returns, tax audit settlements, expiration of statutes of limitations, tax benefits on equity compensation, and increases or decreases in valuation allowances on deferred tax assets. Our estimated annual effective tax rates from continuing operations for the three months ended January 31, 2026 and 2025 were 4.4% and 25.3%, respectively. The difference between our estimated annual effective income tax rate and the U.S. federal statutory rate of 21% principally results from discrete tax items, U.S. state taxes, a non-U.S. tax rate differential and other permanent differences. Total discrete tax expense recorded in the first quarter of fiscal 2026 was $1.1 million, primarily related to equity-based compensation award activity and state deferred tax remeasurement from legal entity reorganization activities. The primary discrete item affecting the 2025 effective rate was the benefit of $0.4 million related to equity-based compensation award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evaluate the likelihood of realization of our deferred tax assets by considering both positive and negative evidence. We maintain a valuation allowance for certain state net operating losses which totaled $0.8 million as of January 31, 2026 and October 31, 2025, respectively. We also maintain a valuation allowance for capital losses which totaled $3.6 million as of January 31, 2026 and October 31, 2025, respectively.</w:t>
      </w:r>
    </w:p>
    <w:p>
      <w:pPr>
        <w:spacing w:after="0" w:line="12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Act was enacted. There were multiple business tax provisions that have an impact to the company, including a reclass of our income tax payable and deferred tax liability related to the timing differences on fixed assets depreciation.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and Environmental Compliance Costs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Currently, we are not involved in any such matters.</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2026.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2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and additional claims may be raised in the future that result in the Company bearing legal fees and/or judgment costs, if any.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35" w:lineRule="exact"/>
        <w:rPr>
          <w:sz w:val="20"/>
          <w:szCs w:val="20"/>
          <w:color w:val="auto"/>
        </w:rPr>
      </w:pPr>
    </w:p>
    <w:p>
      <w:pPr>
        <w:jc w:val="both"/>
        <w:ind w:firstLine="405"/>
        <w:spacing w:after="0" w:line="219" w:lineRule="exact"/>
        <w:rPr>
          <w:sz w:val="20"/>
          <w:szCs w:val="20"/>
          <w:color w:val="auto"/>
        </w:rPr>
      </w:pPr>
      <w:r>
        <w:rPr>
          <w:rFonts w:ascii="Times New Roman" w:cs="Times New Roman" w:eastAsia="Times New Roman" w:hAnsi="Times New Roman"/>
          <w:sz w:val="18"/>
          <w:szCs w:val="18"/>
          <w:color w:val="auto"/>
        </w:rPr>
        <w:t>On September 19, 2025, a purported shareholder class action lawsuit against the Company and two of its officers was filed in federal court in the Southern District of Texas, titled Zanol v. Quanex Building Products Corporation et al, Case No. 4:25-cv-04453. During the quarter ended January 31, 2026, Roofers’ Pension Fund was appointed lead plaintiff and the case was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styled as </w:t>
      </w:r>
      <w:r>
        <w:rPr>
          <w:rFonts w:ascii="Times New Roman" w:cs="Times New Roman" w:eastAsia="Times New Roman" w:hAnsi="Times New Roman"/>
          <w:sz w:val="18"/>
          <w:szCs w:val="18"/>
          <w:i w:val="1"/>
          <w:iCs w:val="1"/>
          <w:color w:val="auto"/>
        </w:rPr>
        <w:t>In re Quanex Building Products Corporation Securities Litigation.</w:t>
      </w:r>
      <w:r>
        <w:rPr>
          <w:rFonts w:ascii="Times New Roman" w:cs="Times New Roman" w:eastAsia="Times New Roman" w:hAnsi="Times New Roman"/>
          <w:sz w:val="18"/>
          <w:szCs w:val="18"/>
          <w:color w:val="auto"/>
        </w:rPr>
        <w:t xml:space="preserve"> The suit alleges certain violations of federal securities laws related to public disclosures made by the Company in 2025 principally related to our window and door operations in Mexico and seeks unspecified damages. While the ultimate outcome of any legal matter cannot be predicted with certainty, the Company strongly believes that this complaint is without merit, intends to vigorously defend itself and its officers against the allegations, and maintains insurance coverage for such matters. At present, the Company cannot reasonably estimate a range of loss, if any, for this action based on its early stage and the information available to the Company, and accordingly, the Company has not accrued any liability associated with this action.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 of Assets and Liabilities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75" w:lineRule="exact"/>
        <w:rPr>
          <w:sz w:val="20"/>
          <w:szCs w:val="20"/>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jc w:val="both"/>
        <w:ind w:left="500" w:hanging="168"/>
        <w:spacing w:after="0" w:line="26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that are both significant to the fair value measurement and unobservable.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Recurring Basis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 in interest rate risk. As a result, the fair value of our debt instrument approximates carrying value at January 31, 2026, and October 31, 2025 (Level 2 measurement).</w:t>
      </w:r>
    </w:p>
    <w:p>
      <w:pPr>
        <w:spacing w:after="0" w:line="12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of January 31, 2026, we have outstanding forward foreign exchange contracts to hedge our foreign currency exposures against the Mexican Peso (“MXN”) to U.S. Dollar (“USD”), with a notional principal amount of $5.0 million. Hedge accounting is not applied to our forward exchange contracts. These contracts have a range of maturities up to February 27, 2026. Our forward foreign exchange contracts are adjusted to fair value by recording gains and losses to “Other, net,” and we record the related asset or liability to “Other Assets” or “Current Liabilities” in the accompanying consolidated statement of (loss) income and consolidated balance sheets, respectively. During the three months ended January 31, 2026 and 2025, we recognized a net gain of $0.6 million and $0.1 million, respectively, related to our forward foreign exchange contracts. The value of our forward foreign exchange contracts fluctuates based on exchange rate fluctuations against the USD to GBP, and the MXN to USD (Level 2 measurements).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spacing w:after="0" w:line="6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aggregate number of shares of common stock authorized for grant under the 2020 Plan is 3,139,895 as approved by the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performance shares and/or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7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Restricted stock awards are granted to key employees and officers annually, and typically cliff vest over a three-year period or a three-year graded vesting schedule with service and continued employment as the only vesting criteria. The recipient of the restricted stock award is entitled to all of the rights of a shareholder, except that the awards are nontransferable during the vesting period and dividends are not paid until the vesting.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non-vested restricted stock award activity during the three months ended January 31, 2026 is presented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8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6"/>
        </w:trPr>
        <w:tc>
          <w:tcPr>
            <w:tcW w:w="708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 per Share</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257,982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r>
        <w:trPr>
          <w:trHeight w:val="229"/>
        </w:trPr>
        <w:tc>
          <w:tcPr>
            <w:tcW w:w="7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(91,621)</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31, 2026</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450,149</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total weighted-average grant-date fair value of restricted stock awards that vested during each of the three months ended January 31, 2026 and 2025 was $2.2 million and $1.9 million, respectively. As of January 31, 2026, total unrecognized compensation cost related to unamortized restricted stock awards was $6.0 million. We expect to recognize this expense over the remaining weighted average vesting period of 2.1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as further described below. As a result, stock options were not granted during the three months ended January 31, 2026 and 2025. Stock options typically vested ratably over a three-year period with service and continued employment as the vesting conditions. Our stock options may be exercised up to a maximum of ten years from the date of grant. The fair value of the stock options was determined on the grant date and expensed over the vesting period resulting in an increase in additional paid-in-capital. For employees who were nearing retirement-eligibility, we recognized stock option expense ratably over the shorter of the vesting period or the period from the grant-date to the retirement-eligibility date.</w:t>
      </w:r>
    </w:p>
    <w:p>
      <w:pPr>
        <w:spacing w:after="0" w:line="13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use a Black-Scholes pricing model to estimate the fair value of stock options. A description of the methodology for the valuation assumptions was disclosed in our Annual Report on Form 10-K for the fiscal year ended October 31, 2025.</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three months ended January 31, 2026: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00" w:type="dxa"/>
            <w:vAlign w:val="bottom"/>
          </w:tcPr>
          <w:p>
            <w:pPr>
              <w:spacing w:after="0"/>
              <w:rPr>
                <w:sz w:val="12"/>
                <w:szCs w:val="12"/>
                <w:color w:val="auto"/>
              </w:rPr>
            </w:pPr>
          </w:p>
        </w:tc>
        <w:tc>
          <w:tcPr>
            <w:tcW w:w="112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00" w:type="dxa"/>
            <w:vAlign w:val="bottom"/>
          </w:tcPr>
          <w:p>
            <w:pPr>
              <w:spacing w:after="0"/>
              <w:rPr>
                <w:sz w:val="16"/>
                <w:szCs w:val="16"/>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Value (000s)</w:t>
            </w: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2025</w:t>
            </w:r>
          </w:p>
        </w:tc>
        <w:tc>
          <w:tcPr>
            <w:tcW w:w="1520" w:type="dxa"/>
            <w:vAlign w:val="bottom"/>
            <w:tcBorders>
              <w:top w:val="single" w:sz="8" w:color="auto"/>
            </w:tcBorders>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color w:val="auto"/>
                <w:w w:val="96"/>
              </w:rPr>
              <w:t>68,950</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Forfeited/Expired</w:t>
            </w:r>
          </w:p>
        </w:tc>
        <w:tc>
          <w:tcPr>
            <w:tcW w:w="1520" w:type="dxa"/>
            <w:vAlign w:val="bottom"/>
            <w:tcBorders>
              <w:bottom w:val="single" w:sz="8" w:color="auto"/>
            </w:tcBorders>
          </w:tcPr>
          <w:p>
            <w:pPr>
              <w:jc w:val="center"/>
              <w:ind w:left="773"/>
              <w:spacing w:after="0"/>
              <w:rPr>
                <w:sz w:val="20"/>
                <w:szCs w:val="20"/>
                <w:color w:val="auto"/>
              </w:rPr>
            </w:pPr>
            <w:r>
              <w:rPr>
                <w:rFonts w:ascii="Times New Roman" w:cs="Times New Roman" w:eastAsia="Times New Roman" w:hAnsi="Times New Roman"/>
                <w:sz w:val="18"/>
                <w:szCs w:val="18"/>
                <w:color w:val="auto"/>
              </w:rPr>
              <w:t>(32,400)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31, 2026</w:t>
            </w:r>
          </w:p>
        </w:tc>
        <w:tc>
          <w:tcPr>
            <w:tcW w:w="1520" w:type="dxa"/>
            <w:vAlign w:val="bottom"/>
            <w:tcBorders>
              <w:bottom w:val="single" w:sz="8" w:color="auto"/>
            </w:tcBorders>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color w:val="auto"/>
                <w:w w:val="96"/>
              </w:rPr>
              <w:t>36,550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at January 31, 2026</w:t>
            </w:r>
          </w:p>
        </w:tc>
        <w:tc>
          <w:tcPr>
            <w:tcW w:w="1520" w:type="dxa"/>
            <w:vAlign w:val="bottom"/>
            <w:tcBorders>
              <w:bottom w:val="single" w:sz="8" w:color="auto"/>
            </w:tcBorders>
          </w:tcPr>
          <w:p>
            <w:pPr>
              <w:jc w:val="center"/>
              <w:ind w:left="793"/>
              <w:spacing w:after="0" w:line="203" w:lineRule="exact"/>
              <w:rPr>
                <w:sz w:val="20"/>
                <w:szCs w:val="20"/>
                <w:color w:val="auto"/>
              </w:rPr>
            </w:pPr>
            <w:r>
              <w:rPr>
                <w:rFonts w:ascii="Times New Roman" w:cs="Times New Roman" w:eastAsia="Times New Roman" w:hAnsi="Times New Roman"/>
                <w:sz w:val="18"/>
                <w:szCs w:val="18"/>
                <w:color w:val="auto"/>
                <w:w w:val="96"/>
              </w:rPr>
              <w:t>36,550</w:t>
            </w:r>
          </w:p>
        </w:tc>
        <w:tc>
          <w:tcPr>
            <w:tcW w:w="3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19.45</w:t>
            </w:r>
          </w:p>
        </w:tc>
        <w:tc>
          <w:tcPr>
            <w:tcW w:w="20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8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January 31, 2026</w:t>
            </w:r>
          </w:p>
        </w:tc>
        <w:tc>
          <w:tcPr>
            <w:tcW w:w="1520" w:type="dxa"/>
            <w:vAlign w:val="bottom"/>
            <w:tcBorders>
              <w:bottom w:val="single" w:sz="8" w:color="auto"/>
            </w:tcBorders>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color w:val="auto"/>
                <w:w w:val="96"/>
              </w:rPr>
              <w:t>36,550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Intrinsic value is the amount by which the market price of the common stock on the date of exercise exceeds the exercise price of the stock option. The total intrinsic value of our stock options that were exercised during the three months ended January 31, 2026 and 2025 was zero and $0.1 million,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vesting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three months ended January 31, 2026 and 2025, non-employee directors received 64,360 and 28,240 restricted stock units, respectively, at a weighted-average grant date fair value of $14.92 per share and $29.02 per share, respectively. During the three months ended January 31, 2026 and 2025, 6,061 and 39,871 restricted stock units, which were awarded to key employees, vested, respectively, and 1,910 and zero restricted stock units were forfeited for the same periods, respectively. During the three months ended January 31, 2026, we paid $0.1 million and $1.0 million for the comparable prior year to settle vested restricted stock units awarded to key employees.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Awards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awarded annual grants of performance shares to key employees and officers. The performance share awards granted in December 2023 vest with return on net assets (RONA) as the vesting condition and pay out 100% in cash, and are accounted for as liability. The performance share awards granted in December 2024, March 2025 and December 2025 vest with adjusted earnings per share performance as the vesting condition and RONA as a performance modifier and pay out 100% in cash, and are accounted for as a liability.</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expected cash settlement of the performance share award is recorded as a liability and is being marked to market over the three-year term of the award and can fluctuate depending on the number of shares ultimately expected to vest. Depending on the achievement of the performance conditions, 0% to 200% of the December 2022 and December 2023 awarded performance shares may ultimately vest and 0% to 250% of the December 2024 performance shares may ultimately vest.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share  grants  and  the  grant  date</w:t>
            </w:r>
          </w:p>
        </w:tc>
        <w:tc>
          <w:tcPr>
            <w:tcW w:w="22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fair  value  for  the  RONA</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performance  metric:</w:t>
            </w:r>
          </w:p>
        </w:tc>
        <w:tc>
          <w:tcPr>
            <w:tcW w:w="0" w:type="dxa"/>
            <w:vAlign w:val="bottom"/>
          </w:tcPr>
          <w:p>
            <w:pPr>
              <w:spacing w:after="0"/>
              <w:rPr>
                <w:sz w:val="1"/>
                <w:szCs w:val="1"/>
                <w:color w:val="auto"/>
              </w:rPr>
            </w:pPr>
          </w:p>
        </w:tc>
      </w:tr>
      <w:tr>
        <w:trPr>
          <w:trHeight w:val="434"/>
        </w:trPr>
        <w:tc>
          <w:tcPr>
            <w:tcW w:w="7320" w:type="dxa"/>
            <w:vAlign w:val="bottom"/>
            <w:vMerge w:val="restart"/>
          </w:tcPr>
          <w:p>
            <w:pPr>
              <w:ind w:left="34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200"/>
        </w:trPr>
        <w:tc>
          <w:tcPr>
            <w:tcW w:w="7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1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2023</w:t>
            </w:r>
          </w:p>
        </w:tc>
        <w:tc>
          <w:tcPr>
            <w:tcW w:w="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72,200</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4, 2024</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88,900</w:t>
            </w:r>
          </w:p>
        </w:tc>
        <w:tc>
          <w:tcPr>
            <w:tcW w:w="12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2025</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4, 2025</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207,200</w:t>
            </w:r>
          </w:p>
        </w:tc>
        <w:tc>
          <w:tcPr>
            <w:tcW w:w="12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January 31, 2025, none of the December 2023 grants are expected to vest. During the three months ended December 2025, no shares vested pursuant to the December 2022 grant.</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Performance share awards are payable in cash based upon the number of performance shares ultimately earned, and are therefore not considered outstanding shares.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awarded performance restricted stock units to key employees and officers. These awards cliff vest upon a three-year service period with the absolute total shareholder return of our common stock over this three-year term as the vesting criteria. The number of performance restricted stock units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 value the performance restricted stock units, we utilized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Level</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Criteria</w:t>
            </w:r>
          </w:p>
        </w:tc>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Percentage of Award Vested</w:t>
            </w:r>
          </w:p>
        </w:tc>
      </w:tr>
      <w:tr>
        <w:trPr>
          <w:trHeight w:val="223"/>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greater than or equal to 50%</w:t>
            </w:r>
          </w:p>
        </w:tc>
        <w:tc>
          <w:tcPr>
            <w:tcW w:w="1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50% and greater than or equal to 20%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less than 20% and greater than or equal to -20%</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4</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-20%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3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restricted stock unit grants and the grant date fair value for the A-TSR performance metric:</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34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200"/>
        </w:trPr>
        <w:tc>
          <w:tcPr>
            <w:tcW w:w="78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2023</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4,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2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4, 2025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1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tcPr>
          <w:p>
            <w:pPr>
              <w:spacing w:after="0"/>
              <w:rPr>
                <w:sz w:val="20"/>
                <w:szCs w:val="20"/>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January 31, 2025, none of the December 2023 grants are expected to vest. During the three months ended January 31, 2025, no performance restricted stock units vested pursuant to the December 2022 grant.</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January 31, 2026, we have deemed 12,373 shares related to the December 2023 grant of performance restricted stock units as probable to vest.</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amounts expensed as selling, general and administrative expense related to restricted stock awards, stock options, restricted stock units, performance share awards and performance restricted stock units for the three months ended January 31, 2026 and 2025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203"/>
        </w:trPr>
        <w:tc>
          <w:tcPr>
            <w:tcW w:w="7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100" w:type="dxa"/>
            <w:vAlign w:val="bottom"/>
          </w:tcPr>
          <w:p>
            <w:pPr>
              <w:spacing w:after="0"/>
              <w:rPr>
                <w:sz w:val="17"/>
                <w:szCs w:val="17"/>
                <w:color w:val="auto"/>
              </w:rPr>
            </w:pPr>
          </w:p>
        </w:tc>
      </w:tr>
      <w:tr>
        <w:trPr>
          <w:trHeight w:val="23"/>
        </w:trPr>
        <w:tc>
          <w:tcPr>
            <w:tcW w:w="75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awards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48"/>
        </w:trPr>
        <w:tc>
          <w:tcPr>
            <w:tcW w:w="7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There were no charges to retained earnings during the three months ended January 31, 2026.</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treasury stock activity during the three months ended January 31, 2026:</w:t>
      </w:r>
    </w:p>
    <w:p>
      <w:pPr>
        <w:spacing w:after="0" w:line="138"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8860" w:type="dxa"/>
            <w:vAlign w:val="bottom"/>
          </w:tcPr>
          <w:p>
            <w:pPr>
              <w:spacing w:after="0"/>
              <w:rPr>
                <w:sz w:val="16"/>
                <w:szCs w:val="16"/>
                <w:color w:val="auto"/>
              </w:rPr>
            </w:pPr>
          </w:p>
        </w:tc>
        <w:tc>
          <w:tcPr>
            <w:tcW w:w="218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860" w:type="dxa"/>
            <w:vAlign w:val="bottom"/>
          </w:tcPr>
          <w:p>
            <w:pPr>
              <w:spacing w:after="0"/>
              <w:rPr>
                <w:sz w:val="17"/>
                <w:szCs w:val="17"/>
                <w:color w:val="auto"/>
              </w:rPr>
            </w:pPr>
          </w:p>
        </w:tc>
        <w:tc>
          <w:tcPr>
            <w:tcW w:w="21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January 31, 2026</w:t>
            </w:r>
          </w:p>
        </w:tc>
      </w:tr>
      <w:tr>
        <w:trPr>
          <w:trHeight w:val="23"/>
        </w:trPr>
        <w:tc>
          <w:tcPr>
            <w:tcW w:w="88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2025</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5,536,743</w:t>
            </w:r>
          </w:p>
        </w:tc>
      </w:tr>
      <w:tr>
        <w:trPr>
          <w:trHeight w:val="230"/>
        </w:trPr>
        <w:tc>
          <w:tcPr>
            <w:tcW w:w="8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(293,700)</w:t>
            </w:r>
          </w:p>
        </w:tc>
      </w:tr>
      <w:tr>
        <w:trPr>
          <w:trHeight w:val="242"/>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Balance at January 31, 2026</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5,243,043</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net</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Other income included under the caption “Other, net” on the condensed consolidated statements of (loss) income, consisted of the following for the three months ended January 31, 2026 and 2025 (in thousands):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203"/>
        </w:trPr>
        <w:tc>
          <w:tcPr>
            <w:tcW w:w="7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100" w:type="dxa"/>
            <w:vAlign w:val="bottom"/>
          </w:tcPr>
          <w:p>
            <w:pPr>
              <w:spacing w:after="0"/>
              <w:rPr>
                <w:sz w:val="17"/>
                <w:szCs w:val="17"/>
                <w:color w:val="auto"/>
              </w:rPr>
            </w:pPr>
          </w:p>
        </w:tc>
      </w:tr>
      <w:tr>
        <w:trPr>
          <w:trHeight w:val="23"/>
        </w:trPr>
        <w:tc>
          <w:tcPr>
            <w:tcW w:w="75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5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gains</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derivative gains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8"/>
        </w:trPr>
        <w:tc>
          <w:tcPr>
            <w:tcW w:w="7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l2. Segment Information</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our Annual Report on Form 10-K as of October 31, 2024 and our Quarterly Reports on Form 10-Q as of January 31, 2025 and April 30, 2025, respectively, we presented four reportable business segments in accordance with ASC Topic 280-10-50, “Segment Reporting” (ASC 280): (1) NA Fenestration, comprising four operating segments primarily focused on the fenestration market in North America including vinyl profiles, insulating glass spacers, screens, custom compound mixing, and other fenestration components; (2) EU Fenestration, comprising our U.K.-based vinyl extrusion business, manufacturing vinyl profiles and conservatories, and the European insulating glass business manufacturing insulating glass spacers; (3) NA Cabinet Components, comprising our cabinet door and components segment; and (4) Tyman, which was acquired on August 1, 2024, comprising a leading international supplier of engineered fenestration components and access solutions to the construction industry.</w:t>
      </w:r>
    </w:p>
    <w:p>
      <w:pPr>
        <w:spacing w:after="0" w:line="13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During the third quarter of 2025, we restructured our reportable segments due to changes in our organizational structure and how our CODM makes key operating decisions, allocates resources and assesses the performance of our business. As a result, we now report in three reportable segments: Hardware Solutions, which provides window and door hardware and screens; Extruded Solutions, which supplies insulating glass spacers, vinyl window and door profiles, seals, and weatherstripping; and Custom Solutions, which provides wood, mixing, and building access solutions. We continue to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inter-segment eliminations, and executive incentive compensation and medical expense fluctuations relative to planned costs as determined during annual planning process. Other general and administrative costs associated with the corporate office are allocated to the reportable segments, based upon each segment’s relative operating activity. The accounting policies of our operating segments are the same as those used to prepare the accompanying condensed consolidated financial statements. Corporate general and administrative expenses allocated during the three month period ended January 31, 2026 was $12.1 million and $7.9 million for the comparable prior year period.</w:t>
      </w:r>
    </w:p>
    <w:p>
      <w:pPr>
        <w:spacing w:after="0" w:line="13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ASC Topic 280-10-50, “Segment Reporting”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CODM, the President and Chief Executive Officer, reviews several measures of segment profitability to assess performance and allocate resources. Segment operating income (loss) is the measure of segment profit or loss that is most consistent with GAAP and is used by the CODM to evaluate segment results, allocate resources, and monitor performance against the annual budget and forecasts. The CODM considers forecast-to-actual variances on a monthly basis using this measure for each segment when making decisions about allocating capital and personnel. In addition, the CODM uses this measure, along with net sales, to compare segment performance and in the compensation of certain employees.</w:t>
      </w:r>
    </w:p>
    <w:p>
      <w:pPr>
        <w:spacing w:after="0" w:line="1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does not present segment asset information as such information is not provided to the CODM and accordingly, asset information is not used in assessing segment performance.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Selected segment information for the three months ended January 31, 2026 and 2025 was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Hardware Solutions</w:t>
            </w:r>
          </w:p>
        </w:tc>
        <w:tc>
          <w:tcPr>
            <w:tcW w:w="100" w:type="dxa"/>
            <w:vAlign w:val="bottom"/>
          </w:tcPr>
          <w:p>
            <w:pPr>
              <w:spacing w:after="0"/>
              <w:rPr>
                <w:sz w:val="13"/>
                <w:szCs w:val="13"/>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Extruded Solutions</w:t>
            </w:r>
          </w:p>
        </w:tc>
        <w:tc>
          <w:tcPr>
            <w:tcW w:w="14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Custom Solutions</w:t>
            </w:r>
          </w:p>
        </w:tc>
        <w:tc>
          <w:tcPr>
            <w:tcW w:w="15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Unallocated Corp. &amp;</w:t>
            </w:r>
          </w:p>
        </w:tc>
        <w:tc>
          <w:tcPr>
            <w:tcW w:w="320" w:type="dxa"/>
            <w:vAlign w:val="bottom"/>
          </w:tcPr>
          <w:p>
            <w:pPr>
              <w:spacing w:after="0"/>
              <w:rPr>
                <w:sz w:val="13"/>
                <w:szCs w:val="13"/>
                <w:color w:val="auto"/>
              </w:rPr>
            </w:pPr>
          </w:p>
        </w:tc>
        <w:tc>
          <w:tcPr>
            <w:tcW w:w="108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tcBorders>
            <w:shd w:val="clear" w:color="auto" w:fill="CCEEFF"/>
          </w:tcPr>
          <w:p>
            <w:pPr>
              <w:spacing w:after="0"/>
              <w:rPr>
                <w:sz w:val="15"/>
                <w:szCs w:val="15"/>
                <w:color w:val="auto"/>
              </w:rPr>
            </w:pPr>
          </w:p>
        </w:tc>
        <w:tc>
          <w:tcPr>
            <w:tcW w:w="3500" w:type="dxa"/>
            <w:vAlign w:val="bottom"/>
            <w:tcBorders>
              <w:top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 January 31, 2026</w:t>
            </w:r>
          </w:p>
        </w:tc>
        <w:tc>
          <w:tcPr>
            <w:tcW w:w="4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8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189,112</w:t>
            </w: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139,800</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89,142</w:t>
            </w: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409,089</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4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150,724</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97,709</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71,424</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5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Three Months Ended January 31, 2025</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8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184,740</w:t>
            </w: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139,630</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85,038</w:t>
            </w: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(9,364)</w:t>
            </w:r>
          </w:p>
        </w:tc>
        <w:tc>
          <w:tcPr>
            <w:tcW w:w="1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400,044</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4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150,785</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97,680</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68,298</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11,470</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15,802</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2"/>
            <w:vMerge w:val="continue"/>
          </w:tcPr>
          <w:p>
            <w:pPr>
              <w:spacing w:after="0"/>
              <w:rPr>
                <w:sz w:val="18"/>
                <w:szCs w:val="18"/>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8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reconcile our segment presentation, as previously reported in our Quarterly Report on Form 10-Q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2025, to the current presentation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3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4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NA Cabinet</w:t>
            </w:r>
          </w:p>
        </w:tc>
        <w:tc>
          <w:tcPr>
            <w:tcW w:w="160" w:type="dxa"/>
            <w:vAlign w:val="bottom"/>
          </w:tcPr>
          <w:p>
            <w:pPr>
              <w:spacing w:after="0"/>
              <w:rPr>
                <w:sz w:val="13"/>
                <w:szCs w:val="13"/>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Tyman</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60" w:type="dxa"/>
            <w:vAlign w:val="bottom"/>
          </w:tcPr>
          <w:p>
            <w:pPr>
              <w:spacing w:after="0"/>
              <w:rPr>
                <w:sz w:val="13"/>
                <w:szCs w:val="13"/>
                <w:color w:val="auto"/>
              </w:rPr>
            </w:pPr>
          </w:p>
        </w:tc>
        <w:tc>
          <w:tcPr>
            <w:tcW w:w="8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700" w:type="dxa"/>
            <w:vAlign w:val="bottom"/>
            <w:tcBorders>
              <w:top w:val="single" w:sz="8" w:color="CCEEFF"/>
              <w:bottom w:val="single" w:sz="8" w:color="auto"/>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 January 31, 2025</w:t>
            </w:r>
          </w:p>
        </w:tc>
        <w:tc>
          <w:tcPr>
            <w:tcW w:w="8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134,333</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48,471</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43,810</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175,676</w:t>
            </w:r>
          </w:p>
        </w:tc>
        <w:tc>
          <w:tcPr>
            <w:tcW w:w="18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400,044</w:t>
            </w:r>
          </w:p>
        </w:tc>
        <w:tc>
          <w:tcPr>
            <w:tcW w:w="0" w:type="dxa"/>
            <w:vAlign w:val="bottom"/>
          </w:tcPr>
          <w:p>
            <w:pPr>
              <w:spacing w:after="0"/>
              <w:rPr>
                <w:sz w:val="1"/>
                <w:szCs w:val="1"/>
                <w:color w:val="auto"/>
              </w:rPr>
            </w:pPr>
          </w:p>
        </w:tc>
      </w:tr>
      <w:tr>
        <w:trPr>
          <w:trHeight w:val="175"/>
        </w:trPr>
        <w:tc>
          <w:tcPr>
            <w:tcW w:w="6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 w:type="dxa"/>
            <w:vAlign w:val="bottom"/>
            <w:shd w:val="clear" w:color="auto" w:fill="CCEEFF"/>
          </w:tcPr>
          <w:p>
            <w:pPr>
              <w:spacing w:after="0"/>
              <w:rPr>
                <w:sz w:val="21"/>
                <w:szCs w:val="21"/>
                <w:color w:val="auto"/>
              </w:rPr>
            </w:pPr>
          </w:p>
        </w:tc>
        <w:tc>
          <w:tcPr>
            <w:tcW w:w="3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106,567</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30,638</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39,415</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132,796</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307,728</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66,650</w:t>
            </w: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0" w:type="dxa"/>
            <w:vAlign w:val="bottom"/>
          </w:tcPr>
          <w:p>
            <w:pPr>
              <w:spacing w:after="0"/>
              <w:rPr>
                <w:sz w:val="1"/>
                <w:szCs w:val="1"/>
                <w:color w:val="auto"/>
              </w:rPr>
            </w:pPr>
          </w:p>
        </w:tc>
      </w:tr>
      <w:tr>
        <w:trPr>
          <w:trHeight w:val="230"/>
        </w:trPr>
        <w:tc>
          <w:tcPr>
            <w:tcW w:w="6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14,263</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0" w:type="dxa"/>
            <w:vAlign w:val="bottom"/>
          </w:tcPr>
          <w:p>
            <w:pPr>
              <w:spacing w:after="0"/>
              <w:rPr>
                <w:sz w:val="1"/>
                <w:szCs w:val="1"/>
                <w:color w:val="auto"/>
              </w:rPr>
            </w:pPr>
          </w:p>
        </w:tc>
      </w:tr>
      <w:tr>
        <w:trPr>
          <w:trHeight w:val="248"/>
        </w:trPr>
        <w:tc>
          <w:tcPr>
            <w:tcW w:w="6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bottom w:val="single" w:sz="8" w:color="CCEEFF"/>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 w:type="dxa"/>
            <w:vAlign w:val="bottom"/>
          </w:tcPr>
          <w:p>
            <w:pPr>
              <w:spacing w:after="0"/>
              <w:rPr>
                <w:sz w:val="18"/>
                <w:szCs w:val="18"/>
                <w:color w:val="auto"/>
              </w:rPr>
            </w:pPr>
          </w:p>
        </w:tc>
        <w:tc>
          <w:tcPr>
            <w:tcW w:w="3500" w:type="dxa"/>
            <w:vAlign w:val="bottom"/>
            <w:gridSpan w:val="2"/>
            <w:vMerge w:val="continue"/>
          </w:tcPr>
          <w:p>
            <w:pPr>
              <w:spacing w:after="0"/>
              <w:rPr>
                <w:sz w:val="18"/>
                <w:szCs w:val="18"/>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8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0" w:type="dxa"/>
            <w:vAlign w:val="bottom"/>
          </w:tcPr>
          <w:p>
            <w:pPr>
              <w:spacing w:after="0"/>
              <w:rPr>
                <w:sz w:val="1"/>
                <w:szCs w:val="1"/>
                <w:color w:val="auto"/>
              </w:rPr>
            </w:pPr>
          </w:p>
        </w:tc>
      </w:tr>
      <w:tr>
        <w:trPr>
          <w:trHeight w:val="400"/>
        </w:trPr>
        <w:tc>
          <w:tcPr>
            <w:tcW w:w="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Hardware</w:t>
            </w:r>
          </w:p>
        </w:tc>
        <w:tc>
          <w:tcPr>
            <w:tcW w:w="14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Extruded</w:t>
            </w:r>
          </w:p>
        </w:tc>
        <w:tc>
          <w:tcPr>
            <w:tcW w:w="160" w:type="dxa"/>
            <w:vAlign w:val="bottom"/>
          </w:tcPr>
          <w:p>
            <w:pPr>
              <w:spacing w:after="0"/>
              <w:rPr>
                <w:sz w:val="24"/>
                <w:szCs w:val="24"/>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Custom</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60" w:type="dxa"/>
            <w:vAlign w:val="bottom"/>
          </w:tcPr>
          <w:p>
            <w:pPr>
              <w:spacing w:after="0"/>
              <w:rPr>
                <w:sz w:val="24"/>
                <w:szCs w:val="24"/>
                <w:color w:val="auto"/>
              </w:rPr>
            </w:pPr>
          </w:p>
        </w:tc>
        <w:tc>
          <w:tcPr>
            <w:tcW w:w="8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340"/>
              <w:spacing w:after="0" w:line="202" w:lineRule="exact"/>
              <w:rPr>
                <w:sz w:val="20"/>
                <w:szCs w:val="20"/>
                <w:color w:val="auto"/>
              </w:rPr>
            </w:pPr>
            <w:r>
              <w:rPr>
                <w:rFonts w:ascii="Times New Roman" w:cs="Times New Roman" w:eastAsia="Times New Roman" w:hAnsi="Times New Roman"/>
                <w:sz w:val="14"/>
                <w:szCs w:val="14"/>
                <w:b w:val="1"/>
                <w:bCs w:val="1"/>
                <w:color w:val="auto"/>
                <w:w w:val="98"/>
              </w:rPr>
              <w:t>Solutions</w:t>
            </w:r>
            <w:r>
              <w:rPr>
                <w:rFonts w:ascii="Times New Roman" w:cs="Times New Roman" w:eastAsia="Times New Roman" w:hAnsi="Times New Roman"/>
                <w:sz w:val="18"/>
                <w:szCs w:val="18"/>
                <w:b w:val="1"/>
                <w:bCs w:val="1"/>
                <w:color w:val="auto"/>
                <w:w w:val="98"/>
                <w:vertAlign w:val="superscript"/>
              </w:rPr>
              <w:t>(1)</w:t>
            </w:r>
          </w:p>
        </w:tc>
        <w:tc>
          <w:tcPr>
            <w:tcW w:w="140" w:type="dxa"/>
            <w:vAlign w:val="bottom"/>
          </w:tcPr>
          <w:p>
            <w:pPr>
              <w:spacing w:after="0"/>
              <w:rPr>
                <w:sz w:val="17"/>
                <w:szCs w:val="17"/>
                <w:color w:val="auto"/>
              </w:rPr>
            </w:pPr>
          </w:p>
        </w:tc>
        <w:tc>
          <w:tcPr>
            <w:tcW w:w="11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4"/>
                <w:szCs w:val="14"/>
                <w:b w:val="1"/>
                <w:bCs w:val="1"/>
                <w:color w:val="auto"/>
                <w:w w:val="98"/>
              </w:rPr>
              <w:t>Solutions</w:t>
            </w:r>
            <w:r>
              <w:rPr>
                <w:rFonts w:ascii="Times New Roman" w:cs="Times New Roman" w:eastAsia="Times New Roman" w:hAnsi="Times New Roman"/>
                <w:sz w:val="18"/>
                <w:szCs w:val="18"/>
                <w:b w:val="1"/>
                <w:bCs w:val="1"/>
                <w:color w:val="auto"/>
                <w:w w:val="98"/>
                <w:vertAlign w:val="superscript"/>
              </w:rPr>
              <w:t>(2)</w:t>
            </w:r>
          </w:p>
        </w:tc>
        <w:tc>
          <w:tcPr>
            <w:tcW w:w="160" w:type="dxa"/>
            <w:vAlign w:val="bottom"/>
          </w:tcPr>
          <w:p>
            <w:pPr>
              <w:spacing w:after="0"/>
              <w:rPr>
                <w:sz w:val="17"/>
                <w:szCs w:val="17"/>
                <w:color w:val="auto"/>
              </w:rPr>
            </w:pPr>
          </w:p>
        </w:tc>
        <w:tc>
          <w:tcPr>
            <w:tcW w:w="1100" w:type="dxa"/>
            <w:vAlign w:val="bottom"/>
            <w:gridSpan w:val="2"/>
          </w:tcPr>
          <w:p>
            <w:pPr>
              <w:jc w:val="center"/>
              <w:ind w:right="340"/>
              <w:spacing w:after="0" w:line="202" w:lineRule="exact"/>
              <w:rPr>
                <w:sz w:val="20"/>
                <w:szCs w:val="20"/>
                <w:color w:val="auto"/>
              </w:rPr>
            </w:pPr>
            <w:r>
              <w:rPr>
                <w:rFonts w:ascii="Times New Roman" w:cs="Times New Roman" w:eastAsia="Times New Roman" w:hAnsi="Times New Roman"/>
                <w:sz w:val="14"/>
                <w:szCs w:val="14"/>
                <w:b w:val="1"/>
                <w:bCs w:val="1"/>
                <w:color w:val="auto"/>
                <w:w w:val="98"/>
              </w:rPr>
              <w:t>Solutions</w:t>
            </w:r>
            <w:r>
              <w:rPr>
                <w:rFonts w:ascii="Times New Roman" w:cs="Times New Roman" w:eastAsia="Times New Roman" w:hAnsi="Times New Roman"/>
                <w:sz w:val="18"/>
                <w:szCs w:val="18"/>
                <w:b w:val="1"/>
                <w:bCs w:val="1"/>
                <w:color w:val="auto"/>
                <w:w w:val="98"/>
                <w:vertAlign w:val="superscript"/>
              </w:rPr>
              <w:t>(3)</w:t>
            </w:r>
          </w:p>
        </w:tc>
        <w:tc>
          <w:tcPr>
            <w:tcW w:w="2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70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 Ended January 31, 2025</w:t>
            </w:r>
          </w:p>
        </w:tc>
        <w:tc>
          <w:tcPr>
            <w:tcW w:w="8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184,740</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139,630</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85,038</w:t>
            </w:r>
          </w:p>
        </w:tc>
        <w:tc>
          <w:tcPr>
            <w:tcW w:w="18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(9,364)</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400,044</w:t>
            </w:r>
          </w:p>
        </w:tc>
        <w:tc>
          <w:tcPr>
            <w:tcW w:w="0" w:type="dxa"/>
            <w:vAlign w:val="bottom"/>
          </w:tcPr>
          <w:p>
            <w:pPr>
              <w:spacing w:after="0"/>
              <w:rPr>
                <w:sz w:val="1"/>
                <w:szCs w:val="1"/>
                <w:color w:val="auto"/>
              </w:rPr>
            </w:pPr>
          </w:p>
        </w:tc>
      </w:tr>
      <w:tr>
        <w:trPr>
          <w:trHeight w:val="175"/>
        </w:trPr>
        <w:tc>
          <w:tcPr>
            <w:tcW w:w="6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Cost of sales (excluding depreciation and</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 w:type="dxa"/>
            <w:vAlign w:val="bottom"/>
            <w:shd w:val="clear" w:color="auto" w:fill="CCEEFF"/>
          </w:tcPr>
          <w:p>
            <w:pPr>
              <w:spacing w:after="0"/>
              <w:rPr>
                <w:sz w:val="21"/>
                <w:szCs w:val="21"/>
                <w:color w:val="auto"/>
              </w:rPr>
            </w:pPr>
          </w:p>
        </w:tc>
        <w:tc>
          <w:tcPr>
            <w:tcW w:w="3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150,785</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97,680</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68,298</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307,728</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66,650</w:t>
            </w: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0" w:type="dxa"/>
            <w:vAlign w:val="bottom"/>
          </w:tcPr>
          <w:p>
            <w:pPr>
              <w:spacing w:after="0"/>
              <w:rPr>
                <w:sz w:val="1"/>
                <w:szCs w:val="1"/>
                <w:color w:val="auto"/>
              </w:rPr>
            </w:pPr>
          </w:p>
        </w:tc>
      </w:tr>
      <w:tr>
        <w:trPr>
          <w:trHeight w:val="230"/>
        </w:trPr>
        <w:tc>
          <w:tcPr>
            <w:tcW w:w="6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0" w:type="dxa"/>
            <w:vAlign w:val="bottom"/>
          </w:tcPr>
          <w:p>
            <w:pPr>
              <w:spacing w:after="0"/>
              <w:rPr>
                <w:sz w:val="1"/>
                <w:szCs w:val="1"/>
                <w:color w:val="auto"/>
              </w:rPr>
            </w:pPr>
          </w:p>
        </w:tc>
      </w:tr>
      <w:tr>
        <w:trPr>
          <w:trHeight w:val="248"/>
        </w:trPr>
        <w:tc>
          <w:tcPr>
            <w:tcW w:w="6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(16,991)</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15,802</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bottom w:val="single" w:sz="8" w:color="CCEEFF"/>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 w:type="dxa"/>
            <w:vAlign w:val="bottom"/>
          </w:tcPr>
          <w:p>
            <w:pPr>
              <w:spacing w:after="0"/>
              <w:rPr>
                <w:sz w:val="18"/>
                <w:szCs w:val="18"/>
                <w:color w:val="auto"/>
              </w:rPr>
            </w:pPr>
          </w:p>
        </w:tc>
        <w:tc>
          <w:tcPr>
            <w:tcW w:w="35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8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Hardware Solutions segment contains a portion of the previously reported NA Fenestration segment.</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Extruded Solutions segment contains a portion of the NA Fenestration segment and the EU Fenestration segment.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The Custom Solutions segment contains a portion of the NA Fenestration segment and the NA Cabinet Components segment.</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change in the carrying amount of goodwill by reportable business segment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2026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Hardware</w:t>
            </w:r>
          </w:p>
        </w:tc>
        <w:tc>
          <w:tcPr>
            <w:tcW w:w="20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Extruded</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Custom Solutions</w:t>
            </w:r>
          </w:p>
        </w:tc>
        <w:tc>
          <w:tcPr>
            <w:tcW w:w="14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40" w:type="dxa"/>
            <w:vAlign w:val="bottom"/>
          </w:tcPr>
          <w:p>
            <w:pPr>
              <w:spacing w:after="0"/>
              <w:rPr>
                <w:sz w:val="13"/>
                <w:szCs w:val="13"/>
                <w:color w:val="auto"/>
              </w:rPr>
            </w:pPr>
          </w:p>
        </w:tc>
        <w:tc>
          <w:tcPr>
            <w:tcW w:w="8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3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October 31,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180,933</w:t>
            </w:r>
          </w:p>
        </w:tc>
        <w:tc>
          <w:tcPr>
            <w:tcW w:w="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75,812</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271,346</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January 31, 2026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184,317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76,158</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275,468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did not allocate non-operating expense or income tax expense to the reportable segments. The following table reconciles operating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reported above to net income for the three months ended January 31, 2026 and 2025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203"/>
        </w:trPr>
        <w:tc>
          <w:tcPr>
            <w:tcW w:w="7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100" w:type="dxa"/>
            <w:vAlign w:val="bottom"/>
          </w:tcPr>
          <w:p>
            <w:pPr>
              <w:spacing w:after="0"/>
              <w:rPr>
                <w:sz w:val="17"/>
                <w:szCs w:val="17"/>
                <w:color w:val="auto"/>
              </w:rPr>
            </w:pPr>
          </w:p>
        </w:tc>
      </w:tr>
      <w:tr>
        <w:trPr>
          <w:trHeight w:val="23"/>
        </w:trPr>
        <w:tc>
          <w:tcPr>
            <w:tcW w:w="7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6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(12,367)</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(14,186)</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w:t>
            </w: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and contingent shares associated with performance share awards, if dilutive.</w:t>
      </w:r>
    </w:p>
    <w:p>
      <w:pPr>
        <w:spacing w:after="0" w:line="7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earnings per share for the three months ended January 31, 2026 and 2025 follows (in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60" w:type="dxa"/>
            <w:vAlign w:val="bottom"/>
          </w:tcPr>
          <w:p>
            <w:pPr>
              <w:spacing w:after="0"/>
              <w:rPr>
                <w:sz w:val="13"/>
                <w:szCs w:val="13"/>
                <w:color w:val="auto"/>
              </w:rPr>
            </w:pPr>
          </w:p>
        </w:tc>
        <w:tc>
          <w:tcPr>
            <w:tcW w:w="118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700" w:type="dxa"/>
            <w:vAlign w:val="bottom"/>
            <w:tcBorders>
              <w:top w:val="single" w:sz="8" w:color="CCEEFF"/>
              <w:bottom w:val="single" w:sz="8" w:color="auto"/>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shd w:val="clear" w:color="auto" w:fill="CCEEFF"/>
              </w:rPr>
              <w:t>Three Months Ended January 31, 2026</w:t>
            </w:r>
          </w:p>
        </w:tc>
        <w:tc>
          <w:tcPr>
            <w:tcW w:w="37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64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Basic and diluted loss per common share</w:t>
            </w: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20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45,456</w:t>
            </w:r>
          </w:p>
        </w:tc>
        <w:tc>
          <w:tcPr>
            <w:tcW w:w="2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shd w:val="clear" w:color="auto" w:fill="CCEEFF"/>
              </w:rPr>
              <w:t>Three Months Ended January 31, 2025</w:t>
            </w:r>
          </w:p>
        </w:tc>
        <w:tc>
          <w:tcPr>
            <w:tcW w:w="37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CCEEFF"/>
            </w:tcBorders>
          </w:tcPr>
          <w:p>
            <w:pPr>
              <w:spacing w:after="0"/>
              <w:rPr>
                <w:sz w:val="20"/>
                <w:szCs w:val="20"/>
                <w:color w:val="auto"/>
              </w:rPr>
            </w:pPr>
          </w:p>
        </w:tc>
        <w:tc>
          <w:tcPr>
            <w:tcW w:w="64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Basic and diluted loss per common share</w:t>
            </w: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20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47,015</w:t>
            </w:r>
          </w:p>
        </w:tc>
        <w:tc>
          <w:tcPr>
            <w:tcW w:w="20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do not include equity instruments in our calculation of diluted earnings per share if those instruments would be anti-dilutive. We had anti-dilutive restricted stock award equivalents for the three months ended January 31, 2026 of 32,295 and 5,450 for the comparable prior year period. Such dilution is dependent on the excess of the market price of our stock over the exercise price and other components of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New Accounting Guidance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months ended January 31, 2026.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(“ASU”) 2024-03, “Income Statement - Reporting Comprehensive Income - Expense Disaggregation Disclosures (Subtopic 220-40): Disaggregation of Income Statement Expenses,” which requires expanded disclosures of expense information, including the amounts of inventory purchases, employee compensation, depreciation and amortization within commonly presented expense captions during the period. The amendments are effective for annual reporting periods beginning after December 15, 2026, and interim periods within annual reporting periods beginning after December 15, 2027, with early adoption permitted. The amendments should be applied either (1) prospectively to financial statements issued for reporting periods after the effective date or (2) retrospectively to any or all prior periods presented in the financial statements. We are currently evaluating the potential impact of adopting this new guidance on our consolidated financial statements and related disclosures.</w:t>
      </w:r>
    </w:p>
    <w:p>
      <w:pPr>
        <w:spacing w:after="0" w:line="8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includes updates to the income tax disclosures related to the rate reconciliation and disaggregation of income taxes paid by jurisdiction. The amendments are effective for fiscal years beginning after December 15, 2024 with early adoption permitted. The amendments should be applied prospectively, however retrospective application is permitted. This ASU is expected to result in expanded tax disclosures for our annual financial statements for the year ended October 31,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has been subject to the impact of evolving U.S. and global tariff and trade policies. On February 20, 2026, the U.S. Supreme Court rendered a decision invalidating certain tariffs imposed under the International Emergency Economic Powers Act. We are assessing the potential impact of this decision and other trade policy developments on our operations, supply chain and cost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 xml:space="preserve">Certain of the statements contained in this document and in documents incorporated by reference herein, including those made under the caption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include “forward-looking” statements as defined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Securities Litigation Reform Act of 1995. Generally, the words “expect,” “believe,” “intend,” “estimate,” “anticipate,” “project,” “will,” and similar expressions identify forward-looking statements, which generally are not historical in nature. Forward-looking statements are statements as to matters that are not historical facts, and include statements about our plans, objectives, expectations and intentions, including (1) all statements which address future operating performance, (2) events or developments that we expect or anticipate will occur in the future, including statements relating to the Tyman Acquisition and statements relating to volume, sales, operating income, and earnings per share, and (3) statements expressing general outlook about future operating results. Forward-looking statements also include any statements relating to future capital expenditures, expenses, revenues, economic performance, financial conditions, dividend policy, losses, future prospects or business or management strategies, and the expansion and/or growth of the operations of the Company. Forward-looking statements are subject to certain risks and uncertainties that could cause actual results to differ materially from our historical experience and our current projections or expectations. As and when made, we believe that the assumptions and expectations reflected in such forward-looking statements are reasonable, provided, that we cannot give any assurance that such expectations will prove to be correct.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w:t>
      </w:r>
    </w:p>
    <w:p>
      <w:pPr>
        <w:spacing w:after="0" w:line="33" w:lineRule="exact"/>
        <w:rPr>
          <w:sz w:val="20"/>
          <w:szCs w:val="20"/>
          <w:color w:val="auto"/>
        </w:rPr>
      </w:pPr>
    </w:p>
    <w:p>
      <w:pPr>
        <w:ind w:left="660" w:hanging="166"/>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on the economy, demand for our products or our operations, including the responses of governmental authorities to contain such public health issues;</w:t>
      </w:r>
    </w:p>
    <w:p>
      <w:pPr>
        <w:spacing w:after="0" w:line="13" w:lineRule="exact"/>
        <w:rPr>
          <w:rFonts w:ascii="Times New Roman" w:cs="Times New Roman" w:eastAsia="Times New Roman" w:hAnsi="Times New Roman"/>
          <w:sz w:val="18"/>
          <w:szCs w:val="18"/>
          <w:color w:val="auto"/>
        </w:rPr>
      </w:pPr>
    </w:p>
    <w:p>
      <w:pPr>
        <w:ind w:left="660" w:right="20" w:hanging="166"/>
        <w:spacing w:after="0" w:line="27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and implement our plans, forecasts, expectations, and realize anticipated synergies with respect to the Tyman business we purchased in August 2024;</w:t>
      </w:r>
    </w:p>
    <w:p>
      <w:pPr>
        <w:spacing w:after="0" w:line="4"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foreign trade relations and associated tariffs could result in a global trade war;</w:t>
      </w:r>
    </w:p>
    <w:p>
      <w:pPr>
        <w:spacing w:after="0" w:line="63" w:lineRule="exact"/>
        <w:rPr>
          <w:rFonts w:ascii="Times New Roman" w:cs="Times New Roman" w:eastAsia="Times New Roman" w:hAnsi="Times New Roman"/>
          <w:sz w:val="18"/>
          <w:szCs w:val="18"/>
          <w:b w:val="1"/>
          <w:bCs w:val="1"/>
          <w:color w:val="auto"/>
        </w:rPr>
      </w:pPr>
    </w:p>
    <w:p>
      <w:pPr>
        <w:ind w:left="660" w:hanging="166"/>
        <w:spacing w:after="0" w:line="281"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market conditions, particularly in the new home construction, and residential remodeling and replacement (R&amp;R) activity markets in the United States, United Kingdom, Germany, Italy and elsewhere;</w:t>
      </w:r>
    </w:p>
    <w:p>
      <w:pPr>
        <w:spacing w:after="0" w:line="1" w:lineRule="exact"/>
        <w:rPr>
          <w:rFonts w:ascii="Times New Roman" w:cs="Times New Roman" w:eastAsia="Times New Roman" w:hAnsi="Times New Roman"/>
          <w:sz w:val="18"/>
          <w:szCs w:val="18"/>
          <w:b w:val="1"/>
          <w:bCs w:val="1"/>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non-pass-through raw material costs;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international economic conditions;</w:t>
      </w:r>
    </w:p>
    <w:p>
      <w:pPr>
        <w:spacing w:after="0" w:line="63" w:lineRule="exact"/>
        <w:rPr>
          <w:rFonts w:ascii="Times New Roman" w:cs="Times New Roman" w:eastAsia="Times New Roman" w:hAnsi="Times New Roman"/>
          <w:sz w:val="18"/>
          <w:szCs w:val="18"/>
          <w:color w:val="auto"/>
        </w:rPr>
      </w:pPr>
    </w:p>
    <w:p>
      <w:pPr>
        <w:ind w:left="660" w:right="20" w:hanging="166"/>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and prices of raw material including inflationary pressures and supply chain challenges, which could be exacerbated by political or global unrest;</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skilled labor;</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purchases by our principal customers;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internal operating plans and acquisition strategies;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plans with respect to information technology (IT) systems and processes;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and increase profitability;</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laws and regulations;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warranty obligations;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costs and the availability of energy;</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facilities and remain in good standing with our lenders;</w:t>
      </w:r>
    </w:p>
    <w:p>
      <w:pPr>
        <w:spacing w:after="0" w:line="63" w:lineRule="exact"/>
        <w:rPr>
          <w:rFonts w:ascii="Times New Roman" w:cs="Times New Roman" w:eastAsia="Times New Roman" w:hAnsi="Times New Roman"/>
          <w:sz w:val="18"/>
          <w:szCs w:val="18"/>
          <w:color w:val="auto"/>
        </w:rPr>
      </w:pPr>
    </w:p>
    <w:p>
      <w:pPr>
        <w:ind w:left="660" w:right="200" w:hanging="166"/>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any material weakness that we have identified or may identify in the future that could result in material misstatements in our financial statements;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or applicability of our insurance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our suppliers, subcontractors, and key customers;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impairments of goodwill or our long-lived assets; and</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litigation and other legal proceedings.</w:t>
      </w:r>
    </w:p>
    <w:p>
      <w:pPr>
        <w:spacing w:after="0" w:line="156"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on additional factors that could cause actual results to differ materially, please refer to the section entitled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within this Form 10-Q and in our Annual Report on Form 10-K for the fiscal year ended October 31,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1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this report, we rely on and refer to information regarding industry data obtained from market research, publicly available information, industry publications, U.S. government sources and other third parties. Although we believe this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based on our current assumptions, expectations, estimates and projections about our business and the homebuilding industry, and therefore, it should be read in conjunction with our accompanying unaudited condensed consolidated financial statements and related notes as of January 31, 2026, and for the three months ended January 31, 2026 and 2025, included elsewhere herein. Actual results could differ from our expectations due to several factors which include, but are not limited to: the impact of market price and demand for our products, economic and competitive conditions, capital expenditures, new technology, regulatory changes and other uncertainties. For additional information pertaining to our business, including risk factors which should be considered before investing in our common stock, refer to our Annual Report on Form 10-K for the fiscal year ended October 31, 2025.</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a leading manufacturer and component supplier to original equipment manufacturers (OEMs) in the building products industry, including window, door, solar, refrigeration, custom mixing, building access, and cabinetry markets. The majority of these components can be categorized as window and door components and kitchen and bath cabinet components. Examples of window and door components include energy-efficient flexible insulating glass spacers, extruded vinyl profiles, window and door screens, precision-formed metal and wood products, window and door seals, and window and door hardware. In addition, we provide certain other components and products, which include solar panel sealants, trim moldings, vinyl decking, water retention barriers, conservatory roof components, and commercial access solutions. We use cost-effective production processes and engineering expertise to provide our customers with specialized products for their specific applications. We believe these capabilities provide us with unique competitive advantages. We serve a primary customer base in North America and the U.K., and also serve customers in international markets through our operating locations in the U.K., Germany, Mexico, Canada, and Italy, as well as through sales and marketing efforts in other countries.</w:t>
      </w:r>
    </w:p>
    <w:p>
      <w:pPr>
        <w:spacing w:after="0" w:line="1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the Tyman acquisition, we re-evaluated our reportable segment presentation during the third quarter of 2025 and adjusted our segment structure to better align our business operations. As a result, we now report three reportable segments: Hardware Solutions, Extruded Solutions, and Custom Solutions.</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Hardware Solutions segment manufactures engineered window and door hardware, screens, and other fenestration components primarily serving the residential and light-commercial building markets. The majority of segment revenue is generated in North America, and as such, domestic housing starts and R&amp;R activity remain the primary demand drivers. Long-term secular trends, including a structural undersupply of U.S. housing, an aging housing stock, and increasing home equity, are expected to support sustained demand for window and door replacement. Internationally, the segment serves a broad customer base of OEMs and distributors across Europe and Asia, where government incentives for energy efficiency and renovation activity are expected to support steady replacement demand over the medium term.</w:t>
      </w:r>
    </w:p>
    <w:p>
      <w:pPr>
        <w:spacing w:after="0" w:line="13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Extruded Solutions segment manufactures insulating-glass spacers, vinyl and composite profiles, and sealing solutions used in the fabrication of windows, doors, conservatories, roofs, and related building applications. This segment operates across North America and Europe, and its results are influenced by housing starts, energy-efficiency standards, and renovation activity in those regions. In the U.S., demand for insulating-glass spacers and vinyl profiles is supported by increasing adoption of high-performance window systems that improve thermal performance. In the U.K. and continental Europe, our vinyl business serves window fabricators and distributors with a broad offering of vinyl extrusions, decking, and roofing systems. The European market continues to benefit from government-sponsored retrofit programs and EU directives targeting energy efficiency and sustainability in existing building stock.</w:t>
      </w:r>
    </w:p>
    <w:p>
      <w:pPr>
        <w:spacing w:after="0" w:line="13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Custom Solutions segment delivers a diverse range of engineered product solutions across wood, metal, and elastomeric materials that serve residential, commercial, and industrial end markets. The segment’s portfolio includes interior building components, specialty access systems, and custom-formulated compounds designed for highly technical applications. Demand for these products is driven by overall levels of construction and remodeling activity, as well as broader trends in manufacturing, infrastructure investment, and industrial production. The segment’s ability to offer customized, high-performance solutions tailored to specific customer requirements positions it to participate in both residential and commercial growth cycles, while providing diversification beyond traditional fenestration markets.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continue to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each segment’s relative operating activity.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Transactions and Events</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monitoring evolving U.S. and global tariff and trade policies, including the recent decision by the U.S. Supreme Court that invalidates certain tariffs imposed under the International Emergency Economic Powers Act. We are assessing the potential impact of this decision and other trade policy developments on our operations, supply chain and cost structure and continue to work with our suppliers and customers to mitigate potential impacts on our business. We are also monitoring ongoing geopolitical tensions and conflicts in various regions of the world, which may contribute to volatility in global markets, supply chains, commodity pricing and foreign currency exchange rates. The extent and duration of current and potential tariff measures and geopolitical developments, and the resulting impact on general economic conditions and our operations, remain uncertain and depend on various factors, including negotiations between the U.S. and affected countries, responses by other governments, potential exemptions, and the availability and cost of alternative sources of supply.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Overview and Outlook</w:t>
      </w:r>
    </w:p>
    <w:p>
      <w:pPr>
        <w:spacing w:after="0" w:line="14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believe the primary drivers of our operating results continue to be North American residential remodeling and replacement (R&amp;R) and new home construction activity. In the U.K. and Continental Europe, our operating results are primarily influenced by repair, maintenance and improvement (RMI) and residential renovation activity, as well as new construction activity. We believe that housing starts and window shipments are indicators of activity levels in the homebuilding and window industries, and we use this data, as published by or derived from third-party sources, to evaluate the market. We have historically evaluated the market using data from the National Association of Homebuilders (NAHB) with regard to housing starts and R&amp;R activity, and published reports by Ducker Worldwide, LLC (Ducker), a consulting and research firm, with regard to window shipments in the U.S.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In January </w:t>
      </w:r>
      <w:r>
        <w:rPr>
          <w:rFonts w:ascii="Times New Roman" w:cs="Times New Roman" w:eastAsia="Times New Roman" w:hAnsi="Times New Roman"/>
          <w:sz w:val="16"/>
          <w:szCs w:val="16"/>
          <w:color w:val="auto"/>
        </w:rPr>
        <w:t>2026</w:t>
      </w:r>
      <w:r>
        <w:rPr>
          <w:rFonts w:ascii="Times New Roman" w:cs="Times New Roman" w:eastAsia="Times New Roman" w:hAnsi="Times New Roman"/>
          <w:sz w:val="18"/>
          <w:szCs w:val="18"/>
          <w:color w:val="auto"/>
        </w:rPr>
        <w:t>, the NAHB forecasted calendar-year housing starts to be approximately 1.3 million and 1.4 million in calendar-year 2026 and 2027.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February </w:t>
      </w:r>
      <w:r>
        <w:rPr>
          <w:rFonts w:ascii="Times New Roman" w:cs="Times New Roman" w:eastAsia="Times New Roman" w:hAnsi="Times New Roman"/>
          <w:sz w:val="16"/>
          <w:szCs w:val="16"/>
          <w:color w:val="auto"/>
        </w:rPr>
        <w:t>2026</w:t>
      </w:r>
      <w:r>
        <w:rPr>
          <w:rFonts w:ascii="Times New Roman" w:cs="Times New Roman" w:eastAsia="Times New Roman" w:hAnsi="Times New Roman"/>
          <w:sz w:val="18"/>
          <w:szCs w:val="18"/>
          <w:color w:val="auto"/>
        </w:rPr>
        <w:t>, the Ducker forecast indicated that total window shipments are expected to decrease 2.5% in calendar-year 2026.</w:t>
      </w:r>
    </w:p>
    <w:p>
      <w:pPr>
        <w:spacing w:after="0" w:line="15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business is seasonal, as inclement weather during the winter months tends to slow construction and installation activity for exterior building products.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impacted by regulation of energy standards. Although the U.S. government has been less aggressively pursuing higher energy efficiency standards in recent years, other countries have implemented higher energy efficiency standards which should bode well for our fenestration-related business in these markets, particularly our warm-edge spacer products, window and door seals and tilt ‘n’ turn micro-ventilation products.</w:t>
      </w:r>
    </w:p>
    <w:p>
      <w:pPr>
        <w:spacing w:after="0" w:line="10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Several commodities in our business are subject to pricing fluctuations, including polyvinyl resin (PVC), titanium dioxide (TiO2), petroleum products, stainless steel, zinc,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are in high demand, particularly in Europe, which can affect the cost of the raw materials, a portion of which we may not be able to fully recover.</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global economy remains uncertain due to currency devaluations, political unrest, geopolitical tensions and conflicts, terror threats, and the political landscape in the U.S. These and other macro-economic factors have impacted the global financial markets, which may have contributed to significant changes in foreign currencies. We continue to monitor our exposure to changes in exchange rates.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January 31, 2026 Compared to Three Months Ended January 31, 2025</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table sets forth our condensed consolidated results of operations for the three-month periods ended January 31, 2026 and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7"/>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7"/>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(Dollars in thousands)</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409,089</w:t>
            </w:r>
          </w:p>
        </w:tc>
        <w:tc>
          <w:tcPr>
            <w:tcW w:w="6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400,044</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310,562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307,728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24,249</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(12,367)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10,814</w:t>
            </w:r>
          </w:p>
        </w:tc>
        <w:tc>
          <w:tcPr>
            <w:tcW w:w="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Our period-over-period results by reportable segment follow.</w:t>
            </w: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0" w:type="dxa"/>
            <w:vAlign w:val="bottom"/>
          </w:tcPr>
          <w:p>
            <w:pPr>
              <w:spacing w:after="0"/>
              <w:rPr>
                <w:sz w:val="24"/>
                <w:szCs w:val="24"/>
                <w:color w:val="auto"/>
              </w:rPr>
            </w:pPr>
          </w:p>
        </w:tc>
        <w:tc>
          <w:tcPr>
            <w:tcW w:w="54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Operating Income by Reportable Segment:</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Hardware Solutions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4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7"/>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CCEEFF"/>
            </w:tcBorders>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189,112</w:t>
            </w:r>
          </w:p>
        </w:tc>
        <w:tc>
          <w:tcPr>
            <w:tcW w:w="6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184,740</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150,724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150,785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14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34,180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33,357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6,119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(6,119)</w:t>
            </w:r>
          </w:p>
        </w:tc>
        <w:tc>
          <w:tcPr>
            <w:tcW w:w="14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11,547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11,470</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Borders>
              <w:bottom w:val="single" w:sz="8" w:color="auto"/>
            </w:tcBorders>
            <w:shd w:val="clear" w:color="auto" w:fill="CCEEFF"/>
          </w:tcPr>
          <w:p>
            <w:pPr>
              <w:spacing w:after="0"/>
              <w:rPr>
                <w:sz w:val="19"/>
                <w:szCs w:val="19"/>
                <w:color w:val="auto"/>
              </w:rPr>
            </w:pPr>
          </w:p>
        </w:tc>
        <w:tc>
          <w:tcPr>
            <w:tcW w:w="14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(7,339)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(16,991)</w:t>
            </w: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20" w:type="dxa"/>
            <w:vAlign w:val="bottom"/>
            <w:tcBorders>
              <w:bottom w:val="single" w:sz="8" w:color="auto"/>
            </w:tcBorders>
          </w:tcPr>
          <w:p>
            <w:pPr>
              <w:spacing w:after="0"/>
              <w:rPr>
                <w:sz w:val="19"/>
                <w:szCs w:val="19"/>
                <w:color w:val="auto"/>
              </w:rPr>
            </w:pPr>
          </w:p>
        </w:tc>
        <w:tc>
          <w:tcPr>
            <w:tcW w:w="14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(57)%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margin</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$4.4 million, or 2%, for the three months ended January 31, 2026 compared to the same period in 2025. The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attributable to $5.8 million of favorable tariff-related pricing adjustments and a $4.3 million favorable impact from foreign currency translation, partially offset by a $6.7 million decline in volumes due to softer market demand.</w:t>
      </w:r>
    </w:p>
    <w:p>
      <w:pPr>
        <w:spacing w:after="0" w:line="106"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decreased $0.1 million, for the three months ended January 31, 2026 compared to the same period in 2025. Cost of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primarily due to lower volumes, largely offset by the impact of pricing actions, tariff recoveries, and foreign currency movements.</w:t>
      </w:r>
    </w:p>
    <w:p>
      <w:pPr>
        <w:spacing w:after="0" w:line="77"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S</w:t>
      </w:r>
      <w:r>
        <w:rPr>
          <w:rFonts w:ascii="Times New Roman" w:cs="Times New Roman" w:eastAsia="Times New Roman" w:hAnsi="Times New Roman"/>
          <w:sz w:val="18"/>
          <w:szCs w:val="18"/>
          <w:color w:val="auto"/>
        </w:rPr>
        <w:t>elling, general and administrative expenses increased $0.8 million, or 2%,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31, 2026 compared to the same period in 2025. The increase is primarily due to increases in labor costs and other miscellaneous selling and general administrative costs year-over-year.</w:t>
      </w:r>
    </w:p>
    <w:p>
      <w:pPr>
        <w:spacing w:after="0" w:line="106"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Restructuring Charges</w:t>
      </w:r>
      <w:r>
        <w:rPr>
          <w:rFonts w:ascii="Times New Roman" w:cs="Times New Roman" w:eastAsia="Times New Roman" w:hAnsi="Times New Roman"/>
          <w:sz w:val="18"/>
          <w:szCs w:val="18"/>
          <w:color w:val="auto"/>
        </w:rPr>
        <w:t>. Restructuring charges decreased 6.1 million, or 100%, for the three months ended January 31, 2026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2025. This decrease is primarily attributable to the restructuring of our operating segments in fiscal 2025. For additional discussion of the restructuring, see the “restructuring” section of Note 1, “Nature of Operations, Basis of Presentation and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Extruded Solutions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4"/>
          </w:tcPr>
          <w:p>
            <w:pPr>
              <w:jc w:val="right"/>
              <w:ind w:right="813"/>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139,800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139,630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97,709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97,680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18,508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4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7,339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7,640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0" w:type="dxa"/>
            <w:vAlign w:val="bottom"/>
            <w:tcBorders>
              <w:bottom w:val="single" w:sz="8" w:color="CCEEFF"/>
            </w:tcBorders>
          </w:tcPr>
          <w:p>
            <w:pPr>
              <w:jc w:val="center"/>
              <w:ind w:left="13"/>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13,611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15,802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400" w:type="dxa"/>
            <w:vAlign w:val="bottom"/>
            <w:tcBorders>
              <w:bottom w:val="single" w:sz="8" w:color="CCEEFF"/>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$0.2 million, for the three months ended January 31, 2026 compared to the same period in 2025 primarily due to a $3.3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favorable foreign currency rate change, a $0.4 million increase in price and raw material indexes, partially offset by a $3.5 million decrease in volumes mainly due to softer market demand.</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remained flat for the three months ended January 31, 2026 compared to the same period in 2025.</w:t>
      </w:r>
    </w:p>
    <w:p>
      <w:pPr>
        <w:spacing w:after="0" w:line="144"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increased $2.6 million, or 14%,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31, 2026 compared to the same period in 2025. The increase is primarily due to increases in labor costs and miscellaneous selling and general administrative costs year-over-year.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 Solutions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Variance %</w:t>
            </w: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4"/>
          </w:tcPr>
          <w:p>
            <w:pPr>
              <w:jc w:val="right"/>
              <w:ind w:right="813"/>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89,142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85,038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40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30"/>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71,424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68,298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4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11,598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4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5,222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5,540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0" w:type="dxa"/>
            <w:vAlign w:val="bottom"/>
            <w:tcBorders>
              <w:bottom w:val="single" w:sz="8" w:color="CCEEFF"/>
            </w:tcBorders>
          </w:tcPr>
          <w:p>
            <w:pPr>
              <w:jc w:val="center"/>
              <w:ind w:left="33"/>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0" w:type="dxa"/>
            <w:vAlign w:val="bottom"/>
            <w:tcBorders>
              <w:bottom w:val="single" w:sz="8" w:color="CCEEFF"/>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loss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$4.1 million, or 5%, for the three months ended January 31, 2026 compared to the same period in 2025. The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a $2.0 million increase in volumes, a $1.7 million favorable impact from pricing and raw material index adjustments, and $0.2 million of favorable tariff-related pricing adjustments.</w:t>
      </w:r>
    </w:p>
    <w:p>
      <w:pPr>
        <w:spacing w:after="0" w:line="106"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$3.1 million, or 5%, for the three months ended January 31, 2026 compared to the same period in 2025.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increased primarily due to higher volumes, pricing and raw material index impacts, and foreign currency movements during the period.</w:t>
      </w:r>
    </w:p>
    <w:p>
      <w:pPr>
        <w:spacing w:after="0" w:line="91"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w:t>
      </w:r>
      <w:r>
        <w:rPr>
          <w:rFonts w:ascii="Times New Roman" w:cs="Times New Roman" w:eastAsia="Times New Roman" w:hAnsi="Times New Roman"/>
          <w:sz w:val="18"/>
          <w:szCs w:val="18"/>
          <w:color w:val="auto"/>
        </w:rPr>
        <w:t>elling, general and administrative expenses increased $1.6 million, or 13%,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31, 2026 compared to the same period in 2025. The increase is primarily due to increases in labor costs, information technology costs, and other miscellaneous selling and general administrative costs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Unallocated Corporate &amp; Other</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1420" w:type="dxa"/>
            <w:vAlign w:val="bottom"/>
            <w:tcBorders>
              <w:bottom w:val="single" w:sz="8" w:color="auto"/>
            </w:tcBorders>
          </w:tcPr>
          <w:p>
            <w:pPr>
              <w:spacing w:after="0"/>
              <w:rPr>
                <w:sz w:val="18"/>
                <w:szCs w:val="18"/>
                <w:color w:val="auto"/>
              </w:rPr>
            </w:pPr>
          </w:p>
        </w:tc>
      </w:tr>
      <w:tr>
        <w:trPr>
          <w:trHeight w:val="211"/>
        </w:trPr>
        <w:tc>
          <w:tcPr>
            <w:tcW w:w="5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Variance %</w:t>
            </w:r>
          </w:p>
        </w:tc>
      </w:tr>
      <w:tr>
        <w:trPr>
          <w:trHeight w:val="176"/>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4"/>
          </w:tcPr>
          <w:p>
            <w:pPr>
              <w:jc w:val="right"/>
              <w:ind w:right="693"/>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20" w:type="dxa"/>
            <w:vAlign w:val="bottom"/>
          </w:tcPr>
          <w:p>
            <w:pPr>
              <w:spacing w:after="0"/>
              <w:rPr>
                <w:sz w:val="15"/>
                <w:szCs w:val="15"/>
                <w:color w:val="auto"/>
              </w:rPr>
            </w:pPr>
          </w:p>
        </w:tc>
      </w:tr>
      <w:tr>
        <w:trPr>
          <w:trHeight w:val="23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4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(4)%</w:t>
            </w:r>
          </w:p>
        </w:tc>
      </w:tr>
      <w:tr>
        <w:trPr>
          <w:trHeight w:val="229"/>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2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9"/>
              </w:rPr>
              <w:t>3%</w:t>
            </w:r>
          </w:p>
        </w:tc>
      </w:tr>
      <w:tr>
        <w:trPr>
          <w:trHeight w:val="230"/>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(7)%</w:t>
            </w:r>
          </w:p>
        </w:tc>
      </w:tr>
      <w:tr>
        <w:trPr>
          <w:trHeight w:val="229"/>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42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6"/>
              </w:rPr>
              <w:t>57%</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42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7"/>
              </w:rPr>
              <w:t>(49)%</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Unallocated Corporate &amp; Other represents the elimination of inter-segment sales for the three months ended January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2025.</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for Corporate &amp; Other consists of the elimination of inter-segment sales, profit in inventory, and other costs.</w:t>
      </w:r>
    </w:p>
    <w:p>
      <w:pPr>
        <w:spacing w:after="0" w:line="17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expenses decreased $0.2 million, or 7%,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31, 2026 compared to the same period in 2025. This decrease is primarily attributable to a decrease in reorganization costs, which occurred in 2025, partially offset by higher compensation expense, including the valuations of our stock-based compensation awards during the three months ended January 31, 2026 as compared to the prior year period.</w:t>
      </w:r>
    </w:p>
    <w:p>
      <w:pPr>
        <w:spacing w:after="0" w:line="126"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Charges. </w:t>
      </w:r>
      <w:r>
        <w:rPr>
          <w:rFonts w:ascii="Times New Roman" w:cs="Times New Roman" w:eastAsia="Times New Roman" w:hAnsi="Times New Roman"/>
          <w:sz w:val="18"/>
          <w:szCs w:val="18"/>
          <w:color w:val="auto"/>
        </w:rPr>
        <w:t>Restructuring charges decreased $1.8 million, or 100%, for the three months ended January 31, 2026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2025. This decrease is primarily attributable to the restructuring of our operating segments in fiscal 2025. For additional discussion of the restructuring, see the “restructuring” section of Note 1, “Nature of Operations, Basis of Presentation and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Non-Operating Items:</w:t>
      </w:r>
    </w:p>
    <w:p>
      <w:pPr>
        <w:spacing w:after="0" w:line="52" w:lineRule="exact"/>
        <w:rPr>
          <w:sz w:val="20"/>
          <w:szCs w:val="20"/>
          <w:color w:val="auto"/>
        </w:rPr>
      </w:pPr>
    </w:p>
    <w:p>
      <w:pPr>
        <w:jc w:val="both"/>
        <w:ind w:right="20" w:firstLine="445"/>
        <w:spacing w:after="0" w:line="268"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decreased $1.8 million for the three months ended January 31, 2026 compared to the same period in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as a result of a decrease in borrowings outstanding during the three months ended January 31, 2026 as compared to the prior year period.</w:t>
      </w:r>
    </w:p>
    <w:p>
      <w:pPr>
        <w:spacing w:after="0" w:line="105" w:lineRule="exact"/>
        <w:rPr>
          <w:sz w:val="20"/>
          <w:szCs w:val="20"/>
          <w:color w:val="auto"/>
        </w:rPr>
      </w:pPr>
    </w:p>
    <w:p>
      <w:pPr>
        <w:jc w:val="both"/>
        <w:ind w:firstLine="445"/>
        <w:spacing w:after="0" w:line="24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recorded an income tax expense of $0.2 million on pre-tax loss of $3.9 million for the three months ended January 31, 2026,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rate of (4.4)%, and income tax benefit of $5.1 million on pre-tax loss of $19.9 million for the three months ended January 31, 2025, an effective rate of 25.3%. The decrease in the effective tax rate compared to the prior year was primarily driven by a lower pre-tax loss in the current year, partially offset by a $1.1 million of discrete tax expense, primarily related to equity-based compensation award activity and state deferred tax remeasurement from legal entity reorganization activities, which reduced the expected tax benefit for the period.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Historically, our principal sources of funds have been cash on hand, cash flow from operations, and borrowings under our credit facilities. As of January 31, 2026, we had $62.3 million of cash and equivalents, $662.0 million outstanding under the Facilities, $6.2 million of outstanding letters of credit, and $55.5 million outstanding under finance leases and other debt. Of the $55.5 million outstanding under finance leases and other debt, $49.3 million relates to real estate leases. We had $269.3 million available for use under the revolving credit facility at January 31, 2026.</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August 1, 2024, the Amended Credit Agreement increased our borrowing capacity and established a $475 million revolving credit facility and a $500 million term loan A facility, each maturing on August 1, 2029. As of January 31, 2026, we remained in compliance with all covenants under this agreement. Additional information regarding the Facilities is included in Note 5, “Debt”, to the condensed consolidated financial statements.</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Term A Facility amortizes on a quarterly basis at 5% per annum of the original principal amount of the Term A Facility, with the remainder due at maturity. The Term A Facility must be prepaid with 100% of the net cash proceeds of the issuance or incurrence of debt and 100% of the net cash proceeds of all asset sales, insurance and condemnation recoveries, and other asset dispositions.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Borrowings under the Facilities bear interest, at our option, at (1) the Base Rate plus an applicable margin or (2) Adjusted Term SOFR plus an applicable margin. The applicable margin will range from 1.0% to 1.75% for Base Rate loans and 2.0% to 2.75% for Adjusted Term SOFR loans. In addition, we are subject to commitment fees for the unused portion of the Revolving Credit Facility.</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expect to repatriate excess cash moving forward and use the funds to retire debt or meet current working capital needs. We believe our business model, our current cash reserves and the recent steps we have taken to strengthen our balance sheet leave us well-positioned to manage our business and remain in compliance with our debt covenants.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Cash Flow</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 results for the three months ended January 31, 2026 and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6"/>
                <w:szCs w:val="16"/>
                <w:color w:val="auto"/>
              </w:rPr>
            </w:pPr>
          </w:p>
        </w:tc>
      </w:tr>
      <w:tr>
        <w:trPr>
          <w:trHeight w:val="203"/>
        </w:trPr>
        <w:tc>
          <w:tcPr>
            <w:tcW w:w="8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920" w:type="dxa"/>
            <w:vAlign w:val="bottom"/>
          </w:tcPr>
          <w:p>
            <w:pPr>
              <w:spacing w:after="0"/>
              <w:rPr>
                <w:sz w:val="17"/>
                <w:szCs w:val="17"/>
                <w:color w:val="auto"/>
              </w:rPr>
            </w:pPr>
          </w:p>
        </w:tc>
      </w:tr>
      <w:tr>
        <w:trPr>
          <w:trHeight w:val="23"/>
        </w:trPr>
        <w:tc>
          <w:tcPr>
            <w:tcW w:w="8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81"/>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gridSpan w:val="2"/>
          </w:tcPr>
          <w:p>
            <w:pPr>
              <w:jc w:val="center"/>
              <w:ind w:left="462"/>
              <w:spacing w:after="0"/>
              <w:rPr>
                <w:sz w:val="20"/>
                <w:szCs w:val="20"/>
                <w:color w:val="auto"/>
              </w:rPr>
            </w:pPr>
            <w:r>
              <w:rPr>
                <w:rFonts w:ascii="Times New Roman" w:cs="Times New Roman" w:eastAsia="Times New Roman" w:hAnsi="Times New Roman"/>
                <w:sz w:val="13"/>
                <w:szCs w:val="13"/>
                <w:b w:val="1"/>
                <w:bCs w:val="1"/>
                <w:color w:val="auto"/>
                <w:w w:val="96"/>
              </w:rPr>
              <w:t>(Dollars in thousands)</w:t>
            </w:r>
          </w:p>
        </w:tc>
        <w:tc>
          <w:tcPr>
            <w:tcW w:w="920" w:type="dxa"/>
            <w:vAlign w:val="bottom"/>
          </w:tcPr>
          <w:p>
            <w:pPr>
              <w:spacing w:after="0"/>
              <w:rPr>
                <w:sz w:val="15"/>
                <w:szCs w:val="15"/>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operating activities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342"/>
              <w:spacing w:after="0"/>
              <w:rPr>
                <w:sz w:val="20"/>
                <w:szCs w:val="20"/>
                <w:color w:val="auto"/>
              </w:rPr>
            </w:pPr>
            <w:r>
              <w:rPr>
                <w:rFonts w:ascii="Times New Roman" w:cs="Times New Roman" w:eastAsia="Times New Roman" w:hAnsi="Times New Roman"/>
                <w:sz w:val="18"/>
                <w:szCs w:val="18"/>
                <w:color w:val="auto"/>
                <w:w w:val="97"/>
              </w:rPr>
              <w:t>(20,208)</w:t>
            </w:r>
          </w:p>
        </w:tc>
        <w:tc>
          <w:tcPr>
            <w:tcW w:w="7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342"/>
              <w:spacing w:after="0"/>
              <w:rPr>
                <w:sz w:val="20"/>
                <w:szCs w:val="20"/>
                <w:color w:val="auto"/>
              </w:rPr>
            </w:pPr>
            <w:r>
              <w:rPr>
                <w:rFonts w:ascii="Times New Roman" w:cs="Times New Roman" w:eastAsia="Times New Roman" w:hAnsi="Times New Roman"/>
                <w:sz w:val="18"/>
                <w:szCs w:val="18"/>
                <w:color w:val="auto"/>
                <w:w w:val="97"/>
              </w:rPr>
              <w:t>(11,239)</w:t>
            </w:r>
          </w:p>
        </w:tc>
        <w:tc>
          <w:tcPr>
            <w:tcW w:w="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for) financing activities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362"/>
              <w:spacing w:after="0"/>
              <w:rPr>
                <w:sz w:val="20"/>
                <w:szCs w:val="20"/>
                <w:color w:val="auto"/>
              </w:rPr>
            </w:pPr>
            <w:r>
              <w:rPr>
                <w:rFonts w:ascii="Times New Roman" w:cs="Times New Roman" w:eastAsia="Times New Roman" w:hAnsi="Times New Roman"/>
                <w:sz w:val="18"/>
                <w:szCs w:val="18"/>
                <w:color w:val="auto"/>
              </w:rPr>
              <w:t>15,920</w:t>
            </w:r>
          </w:p>
        </w:tc>
        <w:tc>
          <w:tcPr>
            <w:tcW w:w="7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(21,972)</w:t>
            </w:r>
          </w:p>
        </w:tc>
      </w:tr>
    </w:tbl>
    <w:p>
      <w:pPr>
        <w:spacing w:after="0" w:line="18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Cash used for operating activities increased $7.7 million for the three months ended January 31, 2026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2025. The increase in cash used was primarily driven by unfavorable changes in working capital, including a smaller decrease in accounts receivable compared to the prior year and higher inventory levels, partially offset by smaller decreases in accounts payable and accrued liabilities. The impact of working capital changes was partially mitigated by a reduction in net loss.</w:t>
      </w:r>
    </w:p>
    <w:p>
      <w:pPr>
        <w:spacing w:after="0" w:line="72"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for investing activities decreased $0.2 million for the three months ended January 31, 2026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2025, primarily due to lower capital expenditures, partially offset by lower proceeds from disposition of assets.</w:t>
      </w:r>
    </w:p>
    <w:p>
      <w:pPr>
        <w:spacing w:after="0" w:line="91"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provided by financing activities increased $37.9 million for the three months ended January 31, 2026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2025. The change in financing cash flows is primarily as a result of an increase in net borrowings of long-term debt and a decrease in the purchase of treasury shares during the three months ended January 31, 2026 compared to the prior year period.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Requirements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strategy for deploying cash is to invest in organic growth opportunities, develop our infrastructure, and explore strategic acquisitions. Other uses of cash include paying cash dividends to our shareholders and repurchasing our own stock. During the three months ended January 31, 2026 and 2025, we repatriated $5.8 million and $11.5 million, respectively, of foreign earnings from our foreign locations. We maintain cash balances in foreign countries which totaled $52.2 million as of January 31,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preparation of our financial statements in accordance with accounting principles generally accepted in the United States of America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a description of our critical accounting policies and estimates, see our Annual Report on Form 10-K for the fiscal year ended October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policies and estimates have not changed materially during the three months ended January 31, 2026.</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debt bears interest at variable rates and accordingly is sensitive to changes in interest rates. Based upon the balances of the variable rate debt at January 31, 2026, a hypothetical 1.0% increase or decrease in interest rates could result in approximately $6.6 million of additional pretax charges or credit to our net income per year. This sensitivity pertains primarily to our outstanding revolving credit facility borrowings outstanding under the Credit Facility as of January 31, 2026.</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Rate Risk</w:t>
      </w:r>
    </w:p>
    <w:p>
      <w:pPr>
        <w:spacing w:after="0" w:line="1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due primarily to fluctuations in the Euro, the British Pound Sterling (“GBP”) and the Mexican Peso (“MXN”) exchange rates, to the U.S. Dollar (“USD”). From time to time, we enter into foreign exchange contracts associated with our operations to manage a portion of the foreign currency rate risk and the potential impact to ongoing cash flows. Hedge accounting is not applied to our foreign exchange contracts. As of January 31, 2026, we have outstanding forward foreign exchange contracts to hedge our foreign currency exposures against the MXN to the USD, with a notional principal amount of $5.0 million. As of January 31, 2026, we have no outstanding forward foreign exchange contracts. During the three months ended January 31, 2026 and 2025, we recognized a net gain of $0.6 million and $0.1 million, respectively, related to our forward foreign exchange contracts.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purchase PVC as the significant raw material consumed in the manufacture of vinyl extrusions. We have resin adjusters in place with a majority of our customers and our resin supplier that is adjusted based upon published indices for lagging resin prices. These adjusters effectively share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timing lags.</w:t>
      </w:r>
    </w:p>
    <w:p>
      <w:pPr>
        <w:spacing w:after="0" w:line="1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adjust the pricing of petroleum-based raw materials for the majority of our customers who purchase products using these materials. This is intended to offset the fluctuating cost of products which are highly correlated to the price of oil including butyl and other oil-based raw materials. This program is adjusted monthly based upon the 90-day average published price for Brent crude. The oil-based raw materials that we purchase are subject to similar pricing schemes. As such, our long-term exposure to increases in oil-based raw material prices is significantly reduced under this program.</w:t>
      </w:r>
    </w:p>
    <w:p>
      <w:pPr>
        <w:spacing w:after="0" w:line="112"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Similarly, we include a price index provision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9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our remaining businesses, contractual price adjustment mechanisms are in place for key commodities including stainless steel and zinc for most large U.S. customers, but not all. For those customers not covered by contractual mechanisms, we have successfully implemented surcharges and general price increases to share the impact of price changes with our customers. Like our other businesses, there is exposure to short-term volatility due to a lag in the timing of implementing price increases.</w:t>
      </w:r>
    </w:p>
    <w:p>
      <w:pPr>
        <w:spacing w:after="0" w:line="11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begun implementing additional programs for other raw materials to facilitate more accurate pricing and reduce our exposure to changing material costs when necessary, however these are also subject to timing lags. While we maintain surcharges and other adjusters to manage our exposure to changes in the prices of our critical raw materials, we use several commodities in our business that are not covered by contractual surcharges or adjusters for which pricing can fluctuate, including PVC compound micro ingredients, silicone, polypropylene and other inputs.</w:t>
      </w:r>
    </w:p>
    <w:p>
      <w:pPr>
        <w:spacing w:after="0" w:line="11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Certain raw materials and commodities we use to manufacture our products are subject to tariffs. Currently, there is an uncertainty on how recently enacted tariffs and potential future tariffs may affect the price of these raw materials and commodities. We are constantly assessing potential supply chain vulnerability and implementing strategies (i.e. surcharges) to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mitigate potential tariff impacts. We are also utilizing local supply chains where possible to reduce supply and cost risks. Additionally, we continue to explore alternative supply sources and evaluate shifts in demand. Further discussion of our industry risks is included within our Annual Report on Form 10-K for the fiscal year ended October 31, 2025 and the section entitled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within this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13a-15(e) and 15d-15(e) under the Securities Exchange Act of 1934 (1934 Act) as of January 31, 2026.</w:t>
      </w:r>
    </w:p>
    <w:p>
      <w:pPr>
        <w:spacing w:after="0" w:line="10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October 31, 2025, we identified a material weakness in our internal controls over financial reporting in the design and operation of controls over the preparation and review of our Statement of Cash Flows. During the three months ended January 31, 2026, we implemented remediation efforts related to this material weakness and continue to monitor the effectiveness of these procedures. Our Chief Executive Officer and Chief Financial Officer have concluded that our disclosure controls and procedures were not effective as of January 31, 2026.</w:t>
      </w:r>
    </w:p>
    <w:p>
      <w:pPr>
        <w:spacing w:after="0" w:line="3"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8"/>
          <w:szCs w:val="18"/>
          <w:color w:val="auto"/>
        </w:rPr>
        <w:t>We are actively engaged in remediation efforts to address the identified material weakness related to the Statement of Cash Flows. We will continue to monitor the effectiveness of these procedures and expect to conclude with our October 31, 2026 control evaluation. These efforts include:</w:t>
      </w:r>
    </w:p>
    <w:p>
      <w:pPr>
        <w:spacing w:after="0" w:line="7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review procedures over the preparation and validation of the statement of cash flows;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review of the non-cash transaction checklist to improve classification accuracy;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of quarterly and annual close procedures through additional review controls;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targeted training for finance personnel involved in the financial close and reporting process.</w:t>
      </w:r>
    </w:p>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Notwithstanding the identified material weakness, our management has concluded that the financial statements included in this Form 10-Q fairly present in all material respects the financial position, results of operations and cash flows for the periods presented in conformity with generally accepted accounting principles.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January 31, 2026, we implemented additional review procedures for the Statement of Cash Flow as part of our remediation efforts. We will continue to monitor the effectiveness of our efforts as part of our ongoing evaluation of internal control over financial reporting.</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Other than the ongoing remediation efforts, there have been no changes in our internal control over financial reporting (as defined in Rules 13a-15(f) and 15d-15(f) under the 1934 Act)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addition to the risk factors disclosed in our Annual Report on Form 10-K for the fiscal year ended October 31, 2025 (Part I, Item 1A), additional risks and uncertainties are as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Company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Challenges related to the development, adoption and use of artificial intelligence (“AI”) technologies, whether by us or by third parties, could result in competitive disadvantage, operational risks and reputational harm.</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AI technologies are rapidly evolving and are increasingly being adopted across companies to enhance operational efficiencies, lower costs, improve forecasting and pricing capabilities, accelerate product innovation, and enhance customer engagement. The development, deployment and oversight of AI technologies may require significant investment, introduce operational disruptions or involve inherent risks, including inaccurate, incomplete or unintended outputs. If we are unable to effectively evaluate, implement or utilize AI technologies where appropriate, we may be at a competitive disadvantage, which could adversely affect our business, financial condition, and results of operations.</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Additionally, our suppliers, vendors and other third parties may incorporate AI into their systems or offerings and their use could introduce operational, data security or reputational risks to our business. The use of AI by us or others associated with our Company, may create data privacy concerns, intellectual property risks, and cybersecurity vulnerabilities. In addition, the legal and regulatory landscape governing AI is rapidly evolving and is uncertain. Compliance with new or changing laws, regulations or industry standards may increase costs, require modifications to business practices or limit the use of certain AI applications. Any failure to appropriately manage AI-related risks could adversely affect our operations, reputation and long-term competitive position.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Other Information</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January 31, 2026, none of our directors or executive officers adopted or terminated any contract, instruction or written plan for the purchase or sale of our securities to satisfy the affirmative defense conditions of Rule 10b5-1(c) or any “non-Rule 10b5-1 trading arrangement.”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p>
      <w:pPr>
        <w:spacing w:after="0" w:line="148"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exhibits required to be furnished pursuant to Item 6 are listed in the Exhibit Index filed herewith,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1" w:lineRule="exact"/>
        <w:rPr>
          <w:sz w:val="20"/>
          <w:szCs w:val="20"/>
          <w:color w:val="auto"/>
        </w:rPr>
      </w:pPr>
    </w:p>
    <w:p>
      <w:pPr>
        <w:ind w:left="240"/>
        <w:spacing w:after="0"/>
        <w:tabs>
          <w:tab w:leader="none" w:pos="4540" w:val="left"/>
        </w:tabs>
        <w:rPr>
          <w:sz w:val="20"/>
          <w:szCs w:val="20"/>
          <w:color w:val="auto"/>
        </w:rPr>
      </w:pPr>
      <w:r>
        <w:rPr>
          <w:rFonts w:ascii="Times New Roman" w:cs="Times New Roman" w:eastAsia="Times New Roman" w:hAnsi="Times New Roman"/>
          <w:sz w:val="18"/>
          <w:szCs w:val="18"/>
          <w:color w:val="auto"/>
        </w:rPr>
        <w:t>Date: March 6, 2026</w:t>
      </w:r>
      <w:r>
        <w:rPr>
          <w:sz w:val="20"/>
          <w:szCs w:val="20"/>
          <w:color w:val="auto"/>
        </w:rPr>
        <w:tab/>
      </w:r>
      <w:r>
        <w:rPr>
          <w:rFonts w:ascii="Times New Roman" w:cs="Times New Roman" w:eastAsia="Times New Roman" w:hAnsi="Times New Roman"/>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42348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Scott M. Zuehlke</w:t>
      </w:r>
    </w:p>
    <w:p>
      <w:pPr>
        <w:spacing w:after="0" w:line="1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Senior Vice President - Chief Financial Officer &amp; Treasurer</w:t>
      </w:r>
    </w:p>
    <w:p>
      <w:pPr>
        <w:jc w:val="center"/>
        <w:ind w:right="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236"/>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80" w:type="dxa"/>
            <w:vAlign w:val="bottom"/>
            <w:gridSpan w:val="23"/>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12"/>
        </w:trPr>
        <w:tc>
          <w:tcPr>
            <w:tcW w:w="142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2380" w:type="dxa"/>
            <w:vAlign w:val="bottom"/>
          </w:tcPr>
          <w:p>
            <w:pPr>
              <w:spacing w:after="0"/>
              <w:rPr>
                <w:sz w:val="18"/>
                <w:szCs w:val="18"/>
                <w:color w:val="auto"/>
              </w:rPr>
            </w:pPr>
          </w:p>
        </w:tc>
        <w:tc>
          <w:tcPr>
            <w:tcW w:w="6080" w:type="dxa"/>
            <w:vAlign w:val="bottom"/>
            <w:gridSpan w:val="23"/>
          </w:tcPr>
          <w:p>
            <w:pPr>
              <w:jc w:val="center"/>
              <w:ind w:right="2680"/>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0" w:type="dxa"/>
            <w:vAlign w:val="bottom"/>
          </w:tcPr>
          <w:p>
            <w:pPr>
              <w:spacing w:after="0"/>
              <w:rPr>
                <w:sz w:val="1"/>
                <w:szCs w:val="1"/>
                <w:color w:val="auto"/>
              </w:rPr>
            </w:pPr>
          </w:p>
        </w:tc>
      </w:tr>
      <w:tr>
        <w:trPr>
          <w:trHeight w:val="249"/>
        </w:trPr>
        <w:tc>
          <w:tcPr>
            <w:tcW w:w="760" w:type="dxa"/>
            <w:vAlign w:val="bottom"/>
            <w:gridSpan w:val="4"/>
          </w:tcPr>
          <w:p>
            <w:pPr>
              <w:jc w:val="center"/>
              <w:ind w:left="251"/>
              <w:spacing w:after="0"/>
              <w:rPr>
                <w:rFonts w:ascii="Times New Roman" w:cs="Times New Roman" w:eastAsia="Times New Roman" w:hAnsi="Times New Roman"/>
                <w:sz w:val="18"/>
                <w:szCs w:val="18"/>
                <w:color w:val="0000FF"/>
                <w:w w:val="97"/>
              </w:rPr>
            </w:pPr>
            <w:hyperlink r:id="rId55">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660" w:type="dxa"/>
            <w:vAlign w:val="bottom"/>
          </w:tcPr>
          <w:p>
            <w:pPr>
              <w:spacing w:after="0"/>
              <w:rPr>
                <w:sz w:val="21"/>
                <w:szCs w:val="21"/>
                <w:color w:val="auto"/>
              </w:rPr>
            </w:pPr>
          </w:p>
        </w:tc>
        <w:tc>
          <w:tcPr>
            <w:tcW w:w="8460" w:type="dxa"/>
            <w:vAlign w:val="bottom"/>
            <w:gridSpan w:val="24"/>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Rule 2.7 Announcement dated as of April 22, as filed as Exhibit 2.1 to the Registrant’s Current Report on Form</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8-K (Reg. No. 001-33913), as filed with the Securities and Exchange Commission on April 22, 2024,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380" w:type="dxa"/>
            <w:vAlign w:val="bottom"/>
            <w:gridSpan w:val="20"/>
          </w:tcPr>
          <w:p>
            <w:pPr>
              <w:spacing w:after="0" w:line="16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4"/>
          </w:tcPr>
          <w:p>
            <w:pPr>
              <w:jc w:val="center"/>
              <w:ind w:left="251"/>
              <w:spacing w:after="0"/>
              <w:rPr>
                <w:rFonts w:ascii="Times New Roman" w:cs="Times New Roman" w:eastAsia="Times New Roman" w:hAnsi="Times New Roman"/>
                <w:sz w:val="18"/>
                <w:szCs w:val="18"/>
                <w:color w:val="0000FF"/>
                <w:w w:val="97"/>
              </w:rPr>
            </w:pPr>
            <w:hyperlink r:id="rId56">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2</w:t>
              </w:r>
            </w:hyperlink>
          </w:p>
        </w:tc>
        <w:tc>
          <w:tcPr>
            <w:tcW w:w="660" w:type="dxa"/>
            <w:vAlign w:val="bottom"/>
          </w:tcPr>
          <w:p>
            <w:pPr>
              <w:spacing w:after="0"/>
              <w:rPr>
                <w:sz w:val="22"/>
                <w:szCs w:val="22"/>
                <w:color w:val="auto"/>
              </w:rPr>
            </w:pPr>
          </w:p>
        </w:tc>
        <w:tc>
          <w:tcPr>
            <w:tcW w:w="8460" w:type="dxa"/>
            <w:vAlign w:val="bottom"/>
            <w:gridSpan w:val="24"/>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Co-operation Agreement dated as of April 22, 2024, as filed as Exhibit 2.2 to the Registrant’s Current Report on</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Form 8-K (Reg. No. 001-33913), as filed with the Securities and Exchange Commission on April 22, 2024,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40" w:type="dxa"/>
            <w:vAlign w:val="bottom"/>
            <w:gridSpan w:val="23"/>
          </w:tcPr>
          <w:p>
            <w:pPr>
              <w:spacing w:after="0" w:line="16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4"/>
          </w:tcPr>
          <w:p>
            <w:pPr>
              <w:jc w:val="center"/>
              <w:ind w:left="251"/>
              <w:spacing w:after="0"/>
              <w:rPr>
                <w:rFonts w:ascii="Times New Roman" w:cs="Times New Roman" w:eastAsia="Times New Roman" w:hAnsi="Times New Roman"/>
                <w:sz w:val="18"/>
                <w:szCs w:val="18"/>
                <w:color w:val="0000FF"/>
                <w:w w:val="97"/>
              </w:rPr>
            </w:pPr>
            <w:hyperlink r:id="rId57">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3</w:t>
              </w:r>
            </w:hyperlink>
          </w:p>
        </w:tc>
        <w:tc>
          <w:tcPr>
            <w:tcW w:w="660" w:type="dxa"/>
            <w:vAlign w:val="bottom"/>
          </w:tcPr>
          <w:p>
            <w:pPr>
              <w:spacing w:after="0"/>
              <w:rPr>
                <w:sz w:val="22"/>
                <w:szCs w:val="22"/>
                <w:color w:val="auto"/>
              </w:rPr>
            </w:pPr>
          </w:p>
        </w:tc>
        <w:tc>
          <w:tcPr>
            <w:tcW w:w="8460" w:type="dxa"/>
            <w:vAlign w:val="bottom"/>
            <w:gridSpan w:val="24"/>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Form of Deed of Irrevocable Undertaking dated as of April 22, 2024, as filed as Exhibit 2.3 to the Registrant’s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Current Report on Form 8-K (Reg. No. 001-33913), as filed with the Securities and Exchange Commission 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4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April 22, 2024, and incorporated herein by reference.</w:t>
              </w:r>
            </w:hyperlink>
          </w:p>
        </w:tc>
        <w:tc>
          <w:tcPr>
            <w:tcW w:w="4580" w:type="dxa"/>
            <w:vAlign w:val="bottom"/>
            <w:gridSpan w:val="20"/>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60" w:type="dxa"/>
            <w:vAlign w:val="bottom"/>
            <w:gridSpan w:val="4"/>
          </w:tcPr>
          <w:p>
            <w:pPr>
              <w:jc w:val="center"/>
              <w:ind w:left="251"/>
              <w:spacing w:after="0"/>
              <w:rPr>
                <w:rFonts w:ascii="Times New Roman" w:cs="Times New Roman" w:eastAsia="Times New Roman" w:hAnsi="Times New Roman"/>
                <w:sz w:val="18"/>
                <w:szCs w:val="18"/>
                <w:color w:val="0000FF"/>
                <w:w w:val="97"/>
              </w:rPr>
            </w:pPr>
            <w:hyperlink r:id="rId5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660" w:type="dxa"/>
            <w:vAlign w:val="bottom"/>
          </w:tcPr>
          <w:p>
            <w:pPr>
              <w:spacing w:after="0"/>
              <w:rPr>
                <w:sz w:val="22"/>
                <w:szCs w:val="22"/>
                <w:color w:val="auto"/>
              </w:rPr>
            </w:pPr>
          </w:p>
        </w:tc>
        <w:tc>
          <w:tcPr>
            <w:tcW w:w="8460" w:type="dxa"/>
            <w:vAlign w:val="bottom"/>
            <w:gridSpan w:val="24"/>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Restated Certificate of Incorporation of the Registrant dated as of March 4, 2016, filed as Exhibit 3.1 of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Registrant’s Current Report on Form 8-K (Reg. No. 001-33913) as filed with the Securities and Exchange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Commission on March 7, 2016, and incorporated herein by reference.</w:t>
              </w:r>
            </w:hyperlink>
          </w:p>
        </w:tc>
        <w:tc>
          <w:tcPr>
            <w:tcW w:w="3120" w:type="dxa"/>
            <w:vAlign w:val="bottom"/>
            <w:tcBorders>
              <w:top w:val="single" w:sz="8" w:color="0000FF"/>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60" w:type="dxa"/>
            <w:vAlign w:val="bottom"/>
            <w:gridSpan w:val="4"/>
          </w:tcPr>
          <w:p>
            <w:pPr>
              <w:jc w:val="center"/>
              <w:ind w:left="251"/>
              <w:spacing w:after="0"/>
              <w:rPr>
                <w:rFonts w:ascii="Times New Roman" w:cs="Times New Roman" w:eastAsia="Times New Roman" w:hAnsi="Times New Roman"/>
                <w:sz w:val="18"/>
                <w:szCs w:val="18"/>
                <w:color w:val="0000FF"/>
                <w:w w:val="97"/>
              </w:rPr>
            </w:pPr>
            <w:hyperlink r:id="rId59">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660" w:type="dxa"/>
            <w:vAlign w:val="bottom"/>
          </w:tcPr>
          <w:p>
            <w:pPr>
              <w:spacing w:after="0"/>
              <w:rPr>
                <w:sz w:val="22"/>
                <w:szCs w:val="22"/>
                <w:color w:val="auto"/>
              </w:rPr>
            </w:pPr>
          </w:p>
        </w:tc>
        <w:tc>
          <w:tcPr>
            <w:tcW w:w="8460" w:type="dxa"/>
            <w:vAlign w:val="bottom"/>
            <w:gridSpan w:val="24"/>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Fifth Amended and Restated Bylaws of the Registrant dated as of February 26, 2026, filed as Exhibit 3.1 of the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Registrant’s Current Report on Form 8-K (Reg. No. 001-33913) as filed with the Securities and Exchange</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Commission on March 3, 2026, and incorporated herein by reference.</w:t>
              </w:r>
            </w:hyperlink>
          </w:p>
        </w:tc>
        <w:tc>
          <w:tcPr>
            <w:tcW w:w="314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60" w:type="dxa"/>
            <w:vAlign w:val="bottom"/>
            <w:gridSpan w:val="4"/>
          </w:tcPr>
          <w:p>
            <w:pPr>
              <w:jc w:val="center"/>
              <w:ind w:left="251"/>
              <w:spacing w:after="0"/>
              <w:rPr>
                <w:rFonts w:ascii="Times New Roman" w:cs="Times New Roman" w:eastAsia="Times New Roman" w:hAnsi="Times New Roman"/>
                <w:sz w:val="18"/>
                <w:szCs w:val="18"/>
                <w:color w:val="0000FF"/>
                <w:w w:val="97"/>
              </w:rPr>
            </w:pPr>
            <w:hyperlink r:id="rId6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660" w:type="dxa"/>
            <w:vAlign w:val="bottom"/>
          </w:tcPr>
          <w:p>
            <w:pPr>
              <w:spacing w:after="0"/>
              <w:rPr>
                <w:sz w:val="22"/>
                <w:szCs w:val="22"/>
                <w:color w:val="auto"/>
              </w:rPr>
            </w:pPr>
          </w:p>
        </w:tc>
        <w:tc>
          <w:tcPr>
            <w:tcW w:w="8460" w:type="dxa"/>
            <w:vAlign w:val="bottom"/>
            <w:gridSpan w:val="24"/>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Form of Registrant’s Common Stock certificate, filed as Exhibit 4.1 of Amendment No. 1 to the Registrant’s</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Registration Statement on Form 10-Q (Reg. No. 001-33913) as filed with the Securities and Exchange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80" w:type="dxa"/>
            <w:vAlign w:val="bottom"/>
            <w:gridSpan w:val="15"/>
          </w:tcPr>
          <w:p>
            <w:pPr>
              <w:spacing w:after="0" w:line="16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Commission on February 14, 2008,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gridSpan w:val="4"/>
            <w:vMerge w:val="restart"/>
          </w:tcPr>
          <w:p>
            <w:pPr>
              <w:jc w:val="center"/>
              <w:ind w:left="251"/>
              <w:spacing w:after="0"/>
              <w:rPr>
                <w:rFonts w:ascii="Times New Roman" w:cs="Times New Roman" w:eastAsia="Times New Roman" w:hAnsi="Times New Roman"/>
                <w:sz w:val="18"/>
                <w:szCs w:val="18"/>
                <w:color w:val="0000FF"/>
                <w:w w:val="97"/>
              </w:rPr>
            </w:pPr>
            <w:hyperlink r:id="rId61">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4"/>
            <w:vMerge w:val="continue"/>
          </w:tcPr>
          <w:p>
            <w:pPr>
              <w:spacing w:after="0"/>
              <w:rPr>
                <w:sz w:val="22"/>
                <w:szCs w:val="22"/>
                <w:color w:val="auto"/>
              </w:rPr>
            </w:pPr>
          </w:p>
        </w:tc>
        <w:tc>
          <w:tcPr>
            <w:tcW w:w="660" w:type="dxa"/>
            <w:vAlign w:val="bottom"/>
          </w:tcPr>
          <w:p>
            <w:pPr>
              <w:spacing w:after="0"/>
              <w:rPr>
                <w:sz w:val="22"/>
                <w:szCs w:val="22"/>
                <w:color w:val="auto"/>
              </w:rPr>
            </w:pPr>
          </w:p>
        </w:tc>
        <w:tc>
          <w:tcPr>
            <w:tcW w:w="8460" w:type="dxa"/>
            <w:vAlign w:val="bottom"/>
            <w:gridSpan w:val="24"/>
            <w:vMerge w:val="restart"/>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Second Amended and Restated Credit Agreement dated as of July 6, 2022, by and among the Company; the</w:t>
              </w:r>
            </w:hyperlink>
          </w:p>
        </w:tc>
        <w:tc>
          <w:tcPr>
            <w:tcW w:w="0" w:type="dxa"/>
            <w:vAlign w:val="bottom"/>
          </w:tcPr>
          <w:p>
            <w:pPr>
              <w:spacing w:after="0"/>
              <w:rPr>
                <w:sz w:val="1"/>
                <w:szCs w:val="1"/>
                <w:color w:val="auto"/>
              </w:rPr>
            </w:pPr>
          </w:p>
        </w:tc>
      </w:tr>
      <w:tr>
        <w:trPr>
          <w:trHeight w:val="74"/>
        </w:trPr>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60" w:type="dxa"/>
            <w:vAlign w:val="bottom"/>
            <w:gridSpan w:val="2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lenders party thereto; and Wells Fargo Bank, National Association, as Agent; filed as Exhibit 10.1 of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Registrant's Current Report on Form 8-K (Reg. No. 001-33913) as filed with the Securities and Exchange</w:t>
              </w:r>
            </w:hyperlink>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0" w:type="dxa"/>
            <w:vAlign w:val="bottom"/>
            <w:gridSpan w:val="21"/>
          </w:tcPr>
          <w:p>
            <w:pPr>
              <w:spacing w:after="0" w:line="16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Commission on July 6, 2022, and incorporated herein by reference.</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4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gridSpan w:val="4"/>
          </w:tcPr>
          <w:p>
            <w:pPr>
              <w:jc w:val="center"/>
              <w:ind w:left="251"/>
              <w:spacing w:after="0"/>
              <w:rPr>
                <w:rFonts w:ascii="Times New Roman" w:cs="Times New Roman" w:eastAsia="Times New Roman" w:hAnsi="Times New Roman"/>
                <w:sz w:val="18"/>
                <w:szCs w:val="18"/>
                <w:color w:val="0000FF"/>
                <w:w w:val="97"/>
              </w:rPr>
            </w:pPr>
            <w:hyperlink r:id="rId6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660" w:type="dxa"/>
            <w:vAlign w:val="bottom"/>
          </w:tcPr>
          <w:p>
            <w:pPr>
              <w:spacing w:after="0"/>
              <w:rPr>
                <w:sz w:val="22"/>
                <w:szCs w:val="22"/>
                <w:color w:val="auto"/>
              </w:rPr>
            </w:pPr>
          </w:p>
        </w:tc>
        <w:tc>
          <w:tcPr>
            <w:tcW w:w="8460" w:type="dxa"/>
            <w:vAlign w:val="bottom"/>
            <w:gridSpan w:val="24"/>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Amendment No.1 to the Second Amended and Restated Credit Agreement among the Company (acting as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borrower), the Company subsidiaries acting as guarantors thereto, Wells Fargo Bank, National Association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agent, swingline lender and issuing lender, and the other parties thereto, dated as of June 12, 2024, filed as</w:t>
              </w:r>
            </w:hyperlink>
          </w:p>
        </w:tc>
        <w:tc>
          <w:tcPr>
            <w:tcW w:w="120" w:type="dxa"/>
            <w:vAlign w:val="bottom"/>
            <w:tcBorders>
              <w:bottom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20" w:type="dxa"/>
            <w:vAlign w:val="bottom"/>
            <w:tcBorders>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Exhibit 10.1 to the Registrant’s Current Report on Form 8-K (Reg. No. 001-33913), as filed with the Securities</w:t>
              </w:r>
            </w:hyperlink>
          </w:p>
        </w:tc>
        <w:tc>
          <w:tcPr>
            <w:tcW w:w="20" w:type="dxa"/>
            <w:vAlign w:val="bottom"/>
            <w:tcBorders>
              <w:bottom w:val="single" w:sz="8" w:color="0000FF"/>
            </w:tcBorders>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40" w:type="dxa"/>
            <w:vAlign w:val="bottom"/>
            <w:gridSpan w:val="18"/>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and Exchange Commission on June 12, 2024, and incorporated herein by reference.</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60" w:type="dxa"/>
            <w:vAlign w:val="bottom"/>
            <w:gridSpan w:val="4"/>
          </w:tcPr>
          <w:p>
            <w:pPr>
              <w:jc w:val="center"/>
              <w:ind w:left="271"/>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660" w:type="dxa"/>
            <w:vAlign w:val="bottom"/>
          </w:tcPr>
          <w:p>
            <w:pPr>
              <w:spacing w:after="0"/>
              <w:rPr>
                <w:sz w:val="24"/>
                <w:szCs w:val="24"/>
                <w:color w:val="auto"/>
              </w:rPr>
            </w:pPr>
          </w:p>
        </w:tc>
        <w:tc>
          <w:tcPr>
            <w:tcW w:w="60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by chief executive officer pursuant to Rule 13a-14(a)/15d-14(a).</w:t>
            </w:r>
          </w:p>
        </w:tc>
        <w:tc>
          <w:tcPr>
            <w:tcW w:w="24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940" w:type="dxa"/>
            <w:vAlign w:val="bottom"/>
            <w:tcBorders>
              <w:left w:val="single" w:sz="8" w:color="0000FF"/>
            </w:tcBorders>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4"/>
          </w:tcPr>
          <w:p>
            <w:pPr>
              <w:jc w:val="center"/>
              <w:ind w:left="271"/>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660" w:type="dxa"/>
            <w:vAlign w:val="bottom"/>
          </w:tcPr>
          <w:p>
            <w:pPr>
              <w:spacing w:after="0"/>
              <w:rPr>
                <w:sz w:val="22"/>
                <w:szCs w:val="22"/>
                <w:color w:val="auto"/>
              </w:rPr>
            </w:pPr>
          </w:p>
        </w:tc>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pursuant to Rule 13a-14(a)/15d-14(a).</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94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4"/>
          </w:tcPr>
          <w:p>
            <w:pPr>
              <w:jc w:val="center"/>
              <w:ind w:left="271"/>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p>
        </w:tc>
        <w:tc>
          <w:tcPr>
            <w:tcW w:w="660" w:type="dxa"/>
            <w:vAlign w:val="bottom"/>
          </w:tcPr>
          <w:p>
            <w:pPr>
              <w:spacing w:after="0"/>
              <w:rPr>
                <w:sz w:val="22"/>
                <w:szCs w:val="22"/>
                <w:color w:val="auto"/>
              </w:rPr>
            </w:pPr>
          </w:p>
        </w:tc>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320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rPr>
              <w:t>*101.INS</w:t>
            </w:r>
          </w:p>
        </w:tc>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292"/>
        </w:trPr>
        <w:tc>
          <w:tcPr>
            <w:tcW w:w="14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*101.SCH</w:t>
            </w:r>
          </w:p>
        </w:tc>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4"/>
        </w:trPr>
        <w:tc>
          <w:tcPr>
            <w:tcW w:w="14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*101.CAL</w:t>
            </w:r>
          </w:p>
        </w:tc>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4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*101.DEF</w:t>
            </w:r>
          </w:p>
        </w:tc>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14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*101.LAB</w:t>
            </w:r>
          </w:p>
        </w:tc>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4"/>
        </w:trPr>
        <w:tc>
          <w:tcPr>
            <w:tcW w:w="14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rPr>
              <w:t>*101.PRE</w:t>
            </w:r>
          </w:p>
        </w:tc>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L. Wilson, certify that:</w:t>
      </w:r>
    </w:p>
    <w:p>
      <w:pPr>
        <w:spacing w:after="0" w:line="158"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Quanex Building Products Corporation (the “Registrant”);</w:t>
      </w:r>
    </w:p>
    <w:p>
      <w:pPr>
        <w:spacing w:after="0" w:line="15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2026</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44659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George L. Wilson</w:t>
      </w:r>
    </w:p>
    <w:p>
      <w:pPr>
        <w:ind w:left="40"/>
        <w:spacing w:after="0" w:line="205" w:lineRule="auto"/>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Zuehlke, certify that:</w:t>
      </w:r>
    </w:p>
    <w:p>
      <w:pPr>
        <w:spacing w:after="0" w:line="158"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Quanex Building Products Corporation (the “Registrant”);</w:t>
      </w:r>
    </w:p>
    <w:p>
      <w:pPr>
        <w:spacing w:after="0" w:line="15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2026</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44659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Scott M. Zuehlke</w:t>
      </w:r>
    </w:p>
    <w:p>
      <w:pPr>
        <w:ind w:left="40"/>
        <w:spacing w:after="0" w:line="205" w:lineRule="auto"/>
        <w:rPr>
          <w:sz w:val="20"/>
          <w:szCs w:val="20"/>
          <w:color w:val="auto"/>
        </w:rPr>
      </w:pPr>
      <w:r>
        <w:rPr>
          <w:rFonts w:ascii="Times New Roman" w:cs="Times New Roman" w:eastAsia="Times New Roman" w:hAnsi="Times New Roman"/>
          <w:sz w:val="18"/>
          <w:szCs w:val="18"/>
          <w:color w:val="auto"/>
        </w:rPr>
        <w:t>Senior Vice President - Chief Financial Officer and Treasurer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14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hereby certify that the accompanying Quarterly Report on Form 10-Q of Quanex Building Products Corporation for the quarter ended January 31, 2026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6, 2026</w:t>
            </w:r>
          </w:p>
        </w:tc>
        <w:tc>
          <w:tcPr>
            <w:tcW w:w="5400" w:type="dxa"/>
            <w:vAlign w:val="bottom"/>
          </w:tcPr>
          <w:p>
            <w:pPr>
              <w:spacing w:after="0"/>
              <w:rPr>
                <w:sz w:val="20"/>
                <w:szCs w:val="20"/>
                <w:color w:val="auto"/>
              </w:rPr>
            </w:pPr>
          </w:p>
        </w:tc>
      </w:tr>
      <w:tr>
        <w:trPr>
          <w:trHeight w:val="513"/>
        </w:trPr>
        <w:tc>
          <w:tcPr>
            <w:tcW w:w="5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George L. Wilson</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Scott M. Zuehlke</w:t>
            </w:r>
          </w:p>
        </w:tc>
      </w:tr>
      <w:tr>
        <w:trPr>
          <w:trHeight w:val="169"/>
        </w:trPr>
        <w:tc>
          <w:tcPr>
            <w:tcW w:w="5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George L. Wilson</w:t>
            </w:r>
          </w:p>
        </w:tc>
        <w:tc>
          <w:tcPr>
            <w:tcW w:w="440" w:type="dxa"/>
            <w:vAlign w:val="bottom"/>
          </w:tcPr>
          <w:p>
            <w:pPr>
              <w:spacing w:after="0"/>
              <w:rPr>
                <w:sz w:val="14"/>
                <w:szCs w:val="14"/>
                <w:color w:val="auto"/>
              </w:rPr>
            </w:pPr>
          </w:p>
        </w:tc>
        <w:tc>
          <w:tcPr>
            <w:tcW w:w="5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Scott M. Zuehlke</w:t>
            </w:r>
          </w:p>
        </w:tc>
      </w:tr>
      <w:tr>
        <w:trPr>
          <w:trHeight w:val="182"/>
        </w:trPr>
        <w:tc>
          <w:tcPr>
            <w:tcW w:w="5840" w:type="dxa"/>
            <w:vAlign w:val="bottom"/>
            <w:gridSpan w:val="2"/>
          </w:tcPr>
          <w:p>
            <w:pPr>
              <w:jc w:val="center"/>
              <w:ind w:right="420"/>
              <w:spacing w:after="0" w:line="182" w:lineRule="exact"/>
              <w:rPr>
                <w:sz w:val="20"/>
                <w:szCs w:val="20"/>
                <w:color w:val="auto"/>
              </w:rPr>
            </w:pPr>
            <w:r>
              <w:rPr>
                <w:rFonts w:ascii="Times New Roman" w:cs="Times New Roman" w:eastAsia="Times New Roman" w:hAnsi="Times New Roman"/>
                <w:sz w:val="18"/>
                <w:szCs w:val="18"/>
                <w:i w:val="1"/>
                <w:iCs w:val="1"/>
                <w:color w:val="auto"/>
                <w:w w:val="99"/>
              </w:rPr>
              <w:t>Chairman of the Board, President and Chief Executive Officer</w:t>
            </w:r>
          </w:p>
        </w:tc>
        <w:tc>
          <w:tcPr>
            <w:tcW w:w="54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8"/>
              </w:rPr>
              <w:t>Senior Vice President—Chief Financial Officer and Treasurer</w:t>
            </w:r>
          </w:p>
        </w:tc>
      </w:tr>
      <w:tr>
        <w:trPr>
          <w:trHeight w:val="236"/>
        </w:trPr>
        <w:tc>
          <w:tcPr>
            <w:tcW w:w="5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55" Type="http://schemas.openxmlformats.org/officeDocument/2006/relationships/hyperlink" Target="https://www.sec.gov/Archives/edgar/data/1423221/000110465924049723/tm2412350d1_ex2-1.htm" TargetMode="External"/><Relationship Id="rId56" Type="http://schemas.openxmlformats.org/officeDocument/2006/relationships/hyperlink" Target="https://www.sec.gov/Archives/edgar/data/1423221/000110465924049723/tm2412350d1_ex2-2.htm" TargetMode="External"/><Relationship Id="rId57" Type="http://schemas.openxmlformats.org/officeDocument/2006/relationships/hyperlink" Target="https://www.sec.gov/Archives/edgar/data/1423221/000110465924049723/tm2412350d1_ex2-3.htm" TargetMode="External"/><Relationship Id="rId58" Type="http://schemas.openxmlformats.org/officeDocument/2006/relationships/hyperlink" Target="https://www.sec.gov/Archives/edgar/data/1423221/000119312516495257/d156158dex31.htm" TargetMode="External"/><Relationship Id="rId59" Type="http://schemas.openxmlformats.org/officeDocument/2006/relationships/hyperlink" Target="https://www.sec.gov/Archives/edgar/data/1423221/000110465926022858/tm267884d1_ex3-1.htm" TargetMode="External"/><Relationship Id="rId60" Type="http://schemas.openxmlformats.org/officeDocument/2006/relationships/hyperlink" Target="https://www.sec.gov/Archives/edgar/data/1423221/000095012908000988/h52992a1exv4w1.htm" TargetMode="External"/><Relationship Id="rId61" Type="http://schemas.openxmlformats.org/officeDocument/2006/relationships/hyperlink" Target="https://www.sec.gov/Archives/edgar/data/1423221/000110465922077705/tm2220473d1_ex10-1.htm" TargetMode="External"/><Relationship Id="rId62" Type="http://schemas.openxmlformats.org/officeDocument/2006/relationships/hyperlink" Target="https://www.sec.gov/Archives/edgar/data/1423221/000110465924071335/tm241718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2026-03-06T15:25:42Z</dcterms:created>
  <dcterms:modified xsi:type="dcterms:W3CDTF">2026-03-06T15:25:42Z</dcterms:modified>
</cp:coreProperties>
</file>