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215265</wp:posOffset>
            </wp:positionH>
            <wp:positionV relativeFrom="page">
              <wp:posOffset>441960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408305</wp:posOffset>
            </wp:positionV>
            <wp:extent cx="7118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2025</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29" w:lineRule="exact"/>
        <w:rPr>
          <w:sz w:val="24"/>
          <w:szCs w:val="24"/>
          <w:color w:val="auto"/>
        </w:rPr>
      </w:pPr>
    </w:p>
    <w:p>
      <w:pPr>
        <w:ind w:left="38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09"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3920" w:type="dxa"/>
            <w:vAlign w:val="bottom"/>
          </w:tcPr>
          <w:p>
            <w:pPr>
              <w:jc w:val="center"/>
              <w:ind w:right="200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00" w:type="dxa"/>
            <w:vAlign w:val="bottom"/>
          </w:tcPr>
          <w:p>
            <w:pPr>
              <w:jc w:val="center"/>
              <w:ind w:left="2027"/>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46"/>
        </w:trPr>
        <w:tc>
          <w:tcPr>
            <w:tcW w:w="3920" w:type="dxa"/>
            <w:vAlign w:val="bottom"/>
          </w:tcPr>
          <w:p>
            <w:pPr>
              <w:jc w:val="center"/>
              <w:ind w:right="2007"/>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2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20" w:type="dxa"/>
            <w:vAlign w:val="bottom"/>
          </w:tcPr>
          <w:p>
            <w:pPr>
              <w:jc w:val="center"/>
              <w:ind w:right="20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202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6"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9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57"/>
        </w:trPr>
        <w:tc>
          <w:tcPr>
            <w:tcW w:w="38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880" w:type="dxa"/>
            <w:vAlign w:val="bottom"/>
          </w:tcPr>
          <w:p>
            <w:pPr>
              <w:spacing w:after="0"/>
              <w:rPr>
                <w:sz w:val="22"/>
                <w:szCs w:val="22"/>
                <w:color w:val="auto"/>
              </w:rPr>
            </w:pPr>
          </w:p>
        </w:tc>
        <w:tc>
          <w:tcPr>
            <w:tcW w:w="280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auto"/>
                <w:w w:val="92"/>
              </w:rPr>
              <w:t>NX</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12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0"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67" w:right="339" w:bottom="1440" w:gutter="0" w:footer="0" w:header="0"/>
        </w:sectPr>
      </w:pPr>
    </w:p>
    <w:p>
      <w:pPr>
        <w:spacing w:after="0" w:line="62" w:lineRule="exact"/>
        <w:rPr>
          <w:sz w:val="24"/>
          <w:szCs w:val="24"/>
          <w:color w:val="auto"/>
        </w:rPr>
      </w:pPr>
    </w:p>
    <w:p>
      <w:pPr>
        <w:ind w:left="40"/>
        <w:spacing w:after="0" w:line="207" w:lineRule="exact"/>
        <w:tabs>
          <w:tab w:leader="none" w:pos="2660" w:val="left"/>
          <w:tab w:leader="none" w:pos="81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ind w:left="40"/>
        <w:spacing w:after="0" w:line="207" w:lineRule="exact"/>
        <w:tabs>
          <w:tab w:leader="none" w:pos="2660" w:val="left"/>
          <w:tab w:leader="none" w:pos="81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5"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ind w:left="40"/>
        <w:spacing w:after="0" w:line="23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spacing w:after="0" w:line="207" w:lineRule="exact"/>
        <w:tabs>
          <w:tab w:leader="none" w:pos="8160" w:val="left"/>
          <w:tab w:leader="none" w:pos="8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7"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75"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6"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630" w:lineRule="exact"/>
        <w:rPr>
          <w:sz w:val="24"/>
          <w:szCs w:val="24"/>
          <w:color w:val="auto"/>
        </w:rPr>
      </w:pPr>
    </w:p>
    <w:p>
      <w:pPr>
        <w:sectPr>
          <w:pgSz w:w="11900" w:h="16838" w:orient="portrait"/>
          <w:cols w:equalWidth="0" w:num="2">
            <w:col w:w="10740" w:space="140"/>
            <w:col w:w="360"/>
          </w:cols>
          <w:pgMar w:left="320" w:top="767" w:right="339" w:bottom="1440" w:gutter="0" w:footer="0" w:header="0"/>
          <w:type w:val="continuous"/>
        </w:sectPr>
      </w:pPr>
    </w:p>
    <w:p>
      <w:pPr>
        <w:spacing w:after="0" w:line="234"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5" w:lineRule="exact"/>
        <w:rPr>
          <w:sz w:val="24"/>
          <w:szCs w:val="24"/>
          <w:color w:val="auto"/>
        </w:rPr>
      </w:pPr>
    </w:p>
    <w:p>
      <w:pPr>
        <w:ind w:right="100"/>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30, 2025 was 45,973,156.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447675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123825</wp:posOffset>
            </wp:positionV>
            <wp:extent cx="7118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90170</wp:posOffset>
            </wp:positionV>
            <wp:extent cx="7118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9900" w:type="dxa"/>
            <w:vAlign w:val="bottom"/>
            <w:gridSpan w:val="9"/>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6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1:</w:t>
            </w:r>
          </w:p>
        </w:tc>
        <w:tc>
          <w:tcPr>
            <w:tcW w:w="99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40" w:type="dxa"/>
            <w:vAlign w:val="bottom"/>
            <w:vMerge w:val="continue"/>
          </w:tcPr>
          <w:p>
            <w:pPr>
              <w:spacing w:after="0"/>
              <w:rPr>
                <w:sz w:val="24"/>
                <w:szCs w:val="24"/>
                <w:color w:val="auto"/>
              </w:rPr>
            </w:pPr>
          </w:p>
        </w:tc>
        <w:tc>
          <w:tcPr>
            <w:tcW w:w="990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E32E1"/>
              </w:rPr>
              <w:t>Condensed Consolidated Balance Sheets – April 30, 2025 and October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April 30,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and Six Months Ended April 30,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 Six Months Ended April 30, 2025 and 2024</w:t>
            </w:r>
          </w:p>
        </w:tc>
        <w:tc>
          <w:tcPr>
            <w:tcW w:w="298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 Six Months Ended April 30, 2025 and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0" w:type="dxa"/>
            <w:vAlign w:val="bottom"/>
          </w:tcPr>
          <w:p>
            <w:pPr>
              <w:spacing w:after="0"/>
              <w:rPr>
                <w:sz w:val="24"/>
                <w:szCs w:val="24"/>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4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right w:val="single" w:sz="8" w:color="0000FF"/>
            </w:tcBorders>
            <w:gridSpan w:val="3"/>
            <w:shd w:val="clear" w:color="auto" w:fill="0000FF"/>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2:</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3:</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4:</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Item 1A:</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2:</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5:</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 6:</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8"/>
        </w:trPr>
        <w:tc>
          <w:tcPr>
            <w:tcW w:w="1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80" w:type="dxa"/>
            <w:vAlign w:val="bottom"/>
          </w:tcPr>
          <w:p>
            <w:pPr>
              <w:spacing w:after="0"/>
              <w:rPr>
                <w:sz w:val="13"/>
                <w:szCs w:val="13"/>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1"/>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3"/>
        </w:trPr>
        <w:tc>
          <w:tcPr>
            <w:tcW w:w="2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20" w:type="dxa"/>
            <w:vAlign w:val="bottom"/>
            <w:gridSpan w:val="4"/>
          </w:tcPr>
          <w:p>
            <w:pPr>
              <w:jc w:val="right"/>
              <w:ind w:right="613"/>
              <w:spacing w:after="0" w:line="133"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1"/>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6"/>
                <w:szCs w:val="16"/>
                <w:color w:val="auto"/>
              </w:rPr>
            </w:pPr>
          </w:p>
        </w:tc>
      </w:tr>
      <w:tr>
        <w:trPr>
          <w:trHeight w:val="230"/>
        </w:trPr>
        <w:tc>
          <w:tcPr>
            <w:tcW w:w="2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160" w:type="dxa"/>
            <w:vAlign w:val="bottom"/>
            <w:gridSpan w:val="6"/>
            <w:shd w:val="clear" w:color="auto" w:fill="CCEEFF"/>
          </w:tcPr>
          <w:p>
            <w:pPr>
              <w:jc w:val="center"/>
              <w:ind w:right="297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r>
      <w:tr>
        <w:trPr>
          <w:trHeight w:val="225"/>
        </w:trPr>
        <w:tc>
          <w:tcPr>
            <w:tcW w:w="44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Accounts receivable, net of allowance for credit losses of</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$1,853</w:t>
            </w:r>
          </w:p>
        </w:tc>
        <w:tc>
          <w:tcPr>
            <w:tcW w:w="3320" w:type="dxa"/>
            <w:vAlign w:val="bottom"/>
            <w:gridSpan w:val="4"/>
            <w:shd w:val="clear" w:color="auto" w:fill="CCEEFF"/>
          </w:tcPr>
          <w:p>
            <w:pPr>
              <w:jc w:val="right"/>
              <w:ind w:right="2552"/>
              <w:spacing w:after="0"/>
              <w:rPr>
                <w:sz w:val="20"/>
                <w:szCs w:val="20"/>
                <w:color w:val="auto"/>
              </w:rPr>
            </w:pPr>
            <w:r>
              <w:rPr>
                <w:rFonts w:ascii="Times New Roman" w:cs="Times New Roman" w:eastAsia="Times New Roman" w:hAnsi="Times New Roman"/>
                <w:sz w:val="18"/>
                <w:szCs w:val="18"/>
                <w:color w:val="auto"/>
                <w:w w:val="99"/>
              </w:rPr>
              <w:t>and $254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197,689</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275,550</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25"/>
        </w:trPr>
        <w:tc>
          <w:tcPr>
            <w:tcW w:w="8240" w:type="dxa"/>
            <w:vAlign w:val="bottom"/>
            <w:tcBorders>
              <w:bottom w:val="single" w:sz="8" w:color="CCEEFF"/>
            </w:tcBorders>
            <w:gridSpan w:val="10"/>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r>
      <w:tr>
        <w:trPr>
          <w:trHeight w:val="218"/>
        </w:trPr>
        <w:tc>
          <w:tcPr>
            <w:tcW w:w="8240" w:type="dxa"/>
            <w:vAlign w:val="bottom"/>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611,268</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$367,707 and $391,851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417,104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402,466</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126,715</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597,909</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18"/>
        </w:trPr>
        <w:tc>
          <w:tcPr>
            <w:tcW w:w="82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2,308,266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2,319,788</w:t>
            </w: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6100" w:type="dxa"/>
            <w:vAlign w:val="bottom"/>
            <w:gridSpan w:val="9"/>
            <w:shd w:val="clear" w:color="auto" w:fill="CCEEFF"/>
          </w:tcPr>
          <w:p>
            <w:pPr>
              <w:jc w:val="center"/>
              <w:ind w:right="2052"/>
              <w:spacing w:after="0" w:line="191" w:lineRule="exact"/>
              <w:rPr>
                <w:sz w:val="20"/>
                <w:szCs w:val="20"/>
                <w:color w:val="auto"/>
              </w:rPr>
            </w:pPr>
            <w:r>
              <w:rPr>
                <w:rFonts w:ascii="Times New Roman" w:cs="Times New Roman" w:eastAsia="Times New Roman" w:hAnsi="Times New Roman"/>
                <w:sz w:val="18"/>
                <w:szCs w:val="18"/>
                <w:b w:val="1"/>
                <w:bCs w:val="1"/>
                <w:color w:val="auto"/>
                <w:w w:val="98"/>
              </w:rPr>
              <w:t>LIABILITIES AND STOCKHOLDERS' EQUITY</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124,404</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103,623</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18"/>
        </w:trPr>
        <w:tc>
          <w:tcPr>
            <w:tcW w:w="82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272,867</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737,198</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117,560</w:t>
            </w: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162,304</w:t>
            </w:r>
          </w:p>
        </w:tc>
      </w:tr>
      <w:tr>
        <w:trPr>
          <w:trHeight w:val="225"/>
        </w:trPr>
        <w:tc>
          <w:tcPr>
            <w:tcW w:w="8240" w:type="dxa"/>
            <w:vAlign w:val="bottom"/>
            <w:tcBorders>
              <w:bottom w:val="single" w:sz="8" w:color="CCEEFF"/>
            </w:tcBorders>
            <w:gridSpan w:val="10"/>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18"/>
        </w:trPr>
        <w:tc>
          <w:tcPr>
            <w:tcW w:w="8240" w:type="dxa"/>
            <w:vAlign w:val="bottom"/>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1,309,042</w:t>
            </w:r>
          </w:p>
        </w:tc>
      </w:tr>
      <w:tr>
        <w:trPr>
          <w:trHeight w:val="225"/>
        </w:trPr>
        <w:tc>
          <w:tcPr>
            <w:tcW w:w="8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2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5280" w:type="dxa"/>
            <w:vAlign w:val="bottom"/>
            <w:gridSpan w:val="7"/>
            <w:shd w:val="clear" w:color="auto" w:fill="CCEEFF"/>
          </w:tcPr>
          <w:p>
            <w:pPr>
              <w:ind w:left="340"/>
              <w:spacing w:after="0" w:line="185" w:lineRule="exact"/>
              <w:rPr>
                <w:sz w:val="20"/>
                <w:szCs w:val="20"/>
                <w:color w:val="auto"/>
              </w:rPr>
            </w:pPr>
            <w:r>
              <w:rPr>
                <w:rFonts w:ascii="Times New Roman" w:cs="Times New Roman" w:eastAsia="Times New Roman" w:hAnsi="Times New Roman"/>
                <w:sz w:val="18"/>
                <w:szCs w:val="18"/>
                <w:color w:val="auto"/>
                <w:w w:val="95"/>
              </w:rPr>
              <w:t>Common stock, $0.01 par value, shares authorized 125,000,000; issued</w:t>
            </w:r>
          </w:p>
        </w:tc>
        <w:tc>
          <w:tcPr>
            <w:tcW w:w="98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shd w:val="clear" w:color="auto" w:fill="CCEEFF"/>
              </w:rPr>
              <w:t>51,213,869</w:t>
            </w:r>
          </w:p>
        </w:tc>
        <w:tc>
          <w:tcPr>
            <w:tcW w:w="3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and</w:t>
            </w:r>
          </w:p>
        </w:tc>
        <w:tc>
          <w:tcPr>
            <w:tcW w:w="1680" w:type="dxa"/>
            <w:vAlign w:val="bottom"/>
            <w:shd w:val="clear" w:color="auto" w:fill="CCEEFF"/>
          </w:tcPr>
          <w:p>
            <w:pPr>
              <w:jc w:val="right"/>
              <w:ind w:right="792"/>
              <w:spacing w:after="0" w:line="185" w:lineRule="exact"/>
              <w:rPr>
                <w:sz w:val="20"/>
                <w:szCs w:val="20"/>
                <w:color w:val="auto"/>
              </w:rPr>
            </w:pPr>
            <w:r>
              <w:rPr>
                <w:rFonts w:ascii="Times New Roman" w:cs="Times New Roman" w:eastAsia="Times New Roman" w:hAnsi="Times New Roman"/>
                <w:sz w:val="18"/>
                <w:szCs w:val="18"/>
                <w:color w:val="auto"/>
                <w:w w:val="91"/>
                <w:shd w:val="clear" w:color="auto" w:fill="CCEEFF"/>
              </w:rPr>
              <w:t>51,266,501,</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5"/>
        </w:trPr>
        <w:tc>
          <w:tcPr>
            <w:tcW w:w="2140" w:type="dxa"/>
            <w:vAlign w:val="bottom"/>
            <w:tcBorders>
              <w:bottom w:val="single" w:sz="8" w:color="CCEEFF"/>
            </w:tcBorders>
            <w:shd w:val="clear" w:color="auto" w:fill="CCEEFF"/>
          </w:tcPr>
          <w:p>
            <w:pPr>
              <w:ind w:left="340"/>
              <w:spacing w:after="0" w:line="199" w:lineRule="exact"/>
              <w:rPr>
                <w:sz w:val="20"/>
                <w:szCs w:val="20"/>
                <w:color w:val="auto"/>
              </w:rPr>
            </w:pPr>
            <w:r>
              <w:rPr>
                <w:rFonts w:ascii="Times New Roman" w:cs="Times New Roman" w:eastAsia="Times New Roman" w:hAnsi="Times New Roman"/>
                <w:sz w:val="18"/>
                <w:szCs w:val="18"/>
                <w:color w:val="auto"/>
                <w:w w:val="98"/>
              </w:rPr>
              <w:t>respectively; outstanding</w:t>
            </w:r>
          </w:p>
        </w:tc>
        <w:tc>
          <w:tcPr>
            <w:tcW w:w="800" w:type="dxa"/>
            <w:vAlign w:val="bottom"/>
            <w:tcBorders>
              <w:bottom w:val="single" w:sz="8" w:color="CCEEFF"/>
            </w:tcBorders>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96"/>
                <w:shd w:val="clear" w:color="auto" w:fill="CCEEFF"/>
              </w:rPr>
              <w:t>45,973,156</w:t>
            </w:r>
          </w:p>
        </w:tc>
        <w:tc>
          <w:tcPr>
            <w:tcW w:w="2340" w:type="dxa"/>
            <w:vAlign w:val="bottom"/>
            <w:tcBorders>
              <w:bottom w:val="single" w:sz="8" w:color="CCEEFF"/>
            </w:tcBorders>
            <w:gridSpan w:val="4"/>
            <w:shd w:val="clear" w:color="auto" w:fill="CCEEFF"/>
          </w:tcPr>
          <w:p>
            <w:pPr>
              <w:ind w:left="60"/>
              <w:spacing w:after="0" w:line="199" w:lineRule="exact"/>
              <w:rPr>
                <w:sz w:val="20"/>
                <w:szCs w:val="20"/>
                <w:color w:val="auto"/>
              </w:rPr>
            </w:pPr>
            <w:r>
              <w:rPr>
                <w:rFonts w:ascii="Times New Roman" w:cs="Times New Roman" w:eastAsia="Times New Roman" w:hAnsi="Times New Roman"/>
                <w:sz w:val="18"/>
                <w:szCs w:val="18"/>
                <w:color w:val="auto"/>
              </w:rPr>
              <w:t>and 47,252,070, respectively</w:t>
            </w:r>
          </w:p>
        </w:tc>
        <w:tc>
          <w:tcPr>
            <w:tcW w:w="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512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513</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701,008</w:t>
            </w:r>
          </w:p>
        </w:tc>
      </w:tr>
      <w:tr>
        <w:trPr>
          <w:trHeight w:val="225"/>
        </w:trPr>
        <w:tc>
          <w:tcPr>
            <w:tcW w:w="8240" w:type="dxa"/>
            <w:vAlign w:val="bottom"/>
            <w:gridSpan w:val="1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428,483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r>
      <w:tr>
        <w:trPr>
          <w:trHeight w:val="225"/>
        </w:trPr>
        <w:tc>
          <w:tcPr>
            <w:tcW w:w="82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(46,428)</w:t>
            </w:r>
          </w:p>
        </w:tc>
      </w:tr>
      <w:tr>
        <w:trPr>
          <w:trHeight w:val="22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Less: Treasury stock at cost,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CCEEFF"/>
              </w:rPr>
              <w:t>5,240,713</w:t>
            </w:r>
          </w:p>
        </w:tc>
        <w:tc>
          <w:tcPr>
            <w:tcW w:w="5160" w:type="dxa"/>
            <w:vAlign w:val="bottom"/>
            <w:gridSpan w:val="6"/>
            <w:shd w:val="clear" w:color="auto" w:fill="CCEEFF"/>
          </w:tcPr>
          <w:p>
            <w:pPr>
              <w:jc w:val="right"/>
              <w:ind w:right="2592"/>
              <w:spacing w:after="0"/>
              <w:rPr>
                <w:sz w:val="20"/>
                <w:szCs w:val="20"/>
                <w:color w:val="auto"/>
              </w:rPr>
            </w:pPr>
            <w:r>
              <w:rPr>
                <w:rFonts w:ascii="Times New Roman" w:cs="Times New Roman" w:eastAsia="Times New Roman" w:hAnsi="Times New Roman"/>
                <w:sz w:val="18"/>
                <w:szCs w:val="18"/>
                <w:color w:val="auto"/>
                <w:w w:val="99"/>
              </w:rPr>
              <w:t>and 4,014,431 shares,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r>
      <w:tr>
        <w:trPr>
          <w:trHeight w:val="218"/>
        </w:trPr>
        <w:tc>
          <w:tcPr>
            <w:tcW w:w="8240" w:type="dxa"/>
            <w:vAlign w:val="bottom"/>
            <w:tcBorders>
              <w:bottom w:val="single" w:sz="8" w:color="CCEEFF"/>
            </w:tcBorders>
            <w:gridSpan w:val="10"/>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1,001,663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1,010,746</w:t>
            </w:r>
          </w:p>
        </w:tc>
      </w:tr>
      <w:tr>
        <w:trPr>
          <w:trHeight w:val="243"/>
        </w:trPr>
        <w:tc>
          <w:tcPr>
            <w:tcW w:w="8240" w:type="dxa"/>
            <w:vAlign w:val="bottom"/>
            <w:tcBorders>
              <w:bottom w:val="single" w:sz="8" w:color="CCEEFF"/>
            </w:tcBorders>
            <w:gridSpan w:val="10"/>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2,308,266</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2,319,788</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199"/>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4"/>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r>
      <w:tr>
        <w:trPr>
          <w:trHeight w:val="22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387,686</w:t>
            </w:r>
          </w:p>
        </w:tc>
      </w:tr>
      <w:tr>
        <w:trPr>
          <w:trHeight w:val="225"/>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67,070</w:t>
            </w:r>
          </w:p>
        </w:tc>
      </w:tr>
      <w:tr>
        <w:trPr>
          <w:trHeight w:val="225"/>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w:t>
            </w: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r>
      <w:tr>
        <w:trPr>
          <w:trHeight w:val="22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5"/>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r>
      <w:tr>
        <w:trPr>
          <w:trHeight w:val="225"/>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65"/>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65"/>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w:t>
            </w:r>
          </w:p>
        </w:tc>
      </w:tr>
      <w:tr>
        <w:trPr>
          <w:trHeight w:val="225"/>
        </w:trPr>
        <w:tc>
          <w:tcPr>
            <w:tcW w:w="5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w:t>
            </w:r>
          </w:p>
        </w:tc>
      </w:tr>
      <w:tr>
        <w:trPr>
          <w:trHeight w:val="265"/>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left="400" w:right="2300"/>
        <w:spacing w:after="0" w:line="266"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380" w:type="dxa"/>
            <w:vAlign w:val="bottom"/>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199"/>
        </w:trPr>
        <w:tc>
          <w:tcPr>
            <w:tcW w:w="5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4"/>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5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20,515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35,345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(2,571)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18"/>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35,345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(2,571)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43"/>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55,860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140" w:type="dxa"/>
            <w:vAlign w:val="bottom"/>
          </w:tcPr>
          <w:p>
            <w:pPr>
              <w:spacing w:after="0"/>
              <w:rPr>
                <w:sz w:val="16"/>
                <w:szCs w:val="16"/>
                <w:color w:val="auto"/>
              </w:rPr>
            </w:pPr>
          </w:p>
        </w:tc>
      </w:tr>
      <w:tr>
        <w:trPr>
          <w:trHeight w:val="199"/>
        </w:trPr>
        <w:tc>
          <w:tcPr>
            <w:tcW w:w="7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140" w:type="dxa"/>
            <w:vAlign w:val="bottom"/>
          </w:tcPr>
          <w:p>
            <w:pPr>
              <w:spacing w:after="0"/>
              <w:rPr>
                <w:sz w:val="17"/>
                <w:szCs w:val="17"/>
                <w:color w:val="auto"/>
              </w:rPr>
            </w:pPr>
          </w:p>
        </w:tc>
      </w:tr>
      <w:tr>
        <w:trPr>
          <w:trHeight w:val="24"/>
        </w:trPr>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140" w:type="dxa"/>
            <w:vAlign w:val="bottom"/>
          </w:tcPr>
          <w:p>
            <w:pPr>
              <w:spacing w:after="0"/>
              <w:rPr>
                <w:sz w:val="16"/>
                <w:szCs w:val="16"/>
                <w:color w:val="auto"/>
              </w:rPr>
            </w:pPr>
          </w:p>
        </w:tc>
      </w:tr>
      <w:tr>
        <w:trPr>
          <w:trHeight w:val="23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r>
      <w:tr>
        <w:trPr>
          <w:trHeight w:val="225"/>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r>
      <w:tr>
        <w:trPr>
          <w:trHeight w:val="225"/>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5"/>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5"/>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inventory</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r>
      <w:tr>
        <w:trPr>
          <w:trHeight w:val="225"/>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income taxes payable</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5"/>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other long-term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36,945</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r>
      <w:tr>
        <w:trPr>
          <w:trHeight w:val="225"/>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(117,500)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5"/>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(21,887)</w:t>
            </w:r>
          </w:p>
        </w:tc>
      </w:tr>
      <w:tr>
        <w:trPr>
          <w:trHeight w:val="225"/>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64,797</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56,149</w:t>
            </w: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30, 2025</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59"/>
        </w:trPr>
        <w:tc>
          <w:tcPr>
            <w:tcW w:w="4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80" w:type="dxa"/>
            <w:vAlign w:val="bottom"/>
          </w:tcPr>
          <w:p>
            <w:pPr>
              <w:jc w:val="center"/>
              <w:ind w:right="34"/>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1,010,746</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8"/>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697,358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972,116</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434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8"/>
                <w:szCs w:val="18"/>
                <w:color w:val="auto"/>
              </w:rPr>
              <w:t>Balance at April 30, 2025</w:t>
            </w: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698,238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428,483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(27,034)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(98,536)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1,001,663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30, 2024</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59"/>
        </w:trPr>
        <w:tc>
          <w:tcPr>
            <w:tcW w:w="4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80" w:type="dxa"/>
            <w:vAlign w:val="bottom"/>
          </w:tcPr>
          <w:p>
            <w:pPr>
              <w:jc w:val="center"/>
              <w:ind w:right="35"/>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545,554</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8"/>
        </w:trPr>
        <w:tc>
          <w:tcPr>
            <w:tcW w:w="43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555,029</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25"/>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8"/>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April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13"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Quanex Building Products Corporation is a leading manufacturer and component supplier to original equipment manufacturers (OEMs) in various industries, including window, door, solar, refrigeration, custom mixing, building access, and cabinetry markets. The majority of these components can be categorized as window and door (fenestration) components and kitchen and bath cabinet components. Examples of fenestration components include: (1) energy-efficient flexible insulating glass spacers, (2) extruded vinyl profiles, (3) window and door screens, (4) window and door hardware, and (5)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water retention barriers, conservatory roof components, and building access solutions. We have organized our business into four reportable business segments: (1) North American Fenestration (NA Fenestration), (2) European Fenestration (EU Fenestration), (3) North American Cabinet Components (NA Cabinet Components), and (4) Tyman, which was acquired on August 1, 2024. For additional discussion of our reportable business segments, see Note 14,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125"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8"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unaudited financial statements have been prepared by us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2024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2024.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6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7"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manufacture and distribute a diverse portfolio of products for OEMs operating in hardware, extrusion, and custom markets worldwide. Our broad geographic reach exposes us to diverse economic conditions, which can impact demand, currency fluctuations, and supply chain dynamics.</w:t>
      </w:r>
    </w:p>
    <w:p>
      <w:pPr>
        <w:spacing w:after="0" w:line="6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and six months ended April 30, 2025 and 2024, categorized by segment, to depict how the nature, amount, timing and uncertainty of our revenues and cash flows are affected by economic factors. For further details regarding our results by segment, refer to Note 14,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9"/>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119,646</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231,280</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53,323</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r>
      <w:tr>
        <w:trPr>
          <w:trHeight w:val="218"/>
        </w:trPr>
        <w:tc>
          <w:tcPr>
            <w:tcW w:w="514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151,026</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159,774</w:t>
            </w:r>
          </w:p>
        </w:tc>
        <w:tc>
          <w:tcPr>
            <w:tcW w:w="12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285,359</w:t>
            </w:r>
          </w:p>
        </w:tc>
        <w:tc>
          <w:tcPr>
            <w:tcW w:w="10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307,769</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92,743</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88,719</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18"/>
        </w:trPr>
        <w:tc>
          <w:tcPr>
            <w:tcW w:w="514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2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0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106,020</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86,169</w:t>
            </w:r>
          </w:p>
        </w:tc>
      </w:tr>
      <w:tr>
        <w:trPr>
          <w:trHeight w:val="22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18"/>
        </w:trPr>
        <w:tc>
          <w:tcPr>
            <w:tcW w:w="5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94,215</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Tyman: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365,783</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18"/>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Net sales to a customer which is a related party with one of our non-employee directors for the six months ended April 30, 2025 and 2024 was $1.0 million and $0.5 million, respectively. Purchases from a customer which is a related party with one of our non-employee directors for the six months ended April 30, 2025 was $0.1 million and zero for the comparable prior year periods.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8"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formally notified and the severance arrangement is legally enforceable, with no realistic possibility of withdrawal.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8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November 2024, we announced a reorganization of our business to integrate the acquisition of Tyman plc with our legacy Quanex operations. For additional discussion of our acquisition of Tyman plc, see Note 2, “Acquisition.”</w:t>
      </w:r>
    </w:p>
    <w:p>
      <w:pPr>
        <w:spacing w:after="0" w:line="6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April 30, 2025, we incurred $0.9 million and $8.8 million, respectively, in restructuring charges as a result of the reorganization, including $0.9 million, and $4.9 million, respectively, related to workforce alignment costs, primarily severance and employee-related expenses. As of April 30, 2025, we have paid $3.3 million in workforce alignment costs, with a remaining accrual of $1.6 million. Additionally, we recognized $3.9 million related to the disposal of software which no longer supports our reorganized business. As we continue to implement our restructuring plan, we may incur additional restructuring charges in future periods as we assess and finalize our integration efforts. The nature and amount of any such charges will depend on further developments in the reorganization process.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(“Tyman”), a company incorporated in England and Wales (“Tyman Acquisition”). The aggregate consideration due pursuant to the Tyman Acquisition at closing comprised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Company’s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provided for a senior secured term loan A facility in an aggregate principal amount of $500 million (the “Term Loan A Facility” and together with the Revolving Credit Facility, the “Facilities”). The Revolving Credit Facility includes alternative currency, letter of credit, and swing-line sub-facilities of $100 million, $30 million, and $15 million, respectively. The maturity date of the Facilities is five years after the acquisition effective date, maturing on August 1, 2029.</w:t>
      </w:r>
    </w:p>
    <w:p>
      <w:pPr>
        <w:spacing w:after="0" w:line="13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April 30, 2025, we are still determining the purchase price allocation for the Tyman Acquisition.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inventory, and deferred income taxes, during the measurement period, which may extend up to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1"/>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Opening Balance Sheet</w:t>
            </w:r>
          </w:p>
        </w:tc>
        <w:tc>
          <w:tcPr>
            <w:tcW w:w="0" w:type="dxa"/>
            <w:vAlign w:val="bottom"/>
          </w:tcPr>
          <w:p>
            <w:pPr>
              <w:spacing w:after="0"/>
              <w:rPr>
                <w:sz w:val="1"/>
                <w:szCs w:val="1"/>
                <w:color w:val="auto"/>
              </w:rPr>
            </w:pPr>
          </w:p>
        </w:tc>
      </w:tr>
      <w:tr>
        <w:trPr>
          <w:trHeight w:val="191"/>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3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211,617</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539,285</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(300,684)</w:t>
            </w:r>
          </w:p>
        </w:tc>
        <w:tc>
          <w:tcPr>
            <w:tcW w:w="0" w:type="dxa"/>
            <w:vAlign w:val="bottom"/>
          </w:tcPr>
          <w:p>
            <w:pPr>
              <w:spacing w:after="0"/>
              <w:rPr>
                <w:sz w:val="1"/>
                <w:szCs w:val="1"/>
                <w:color w:val="auto"/>
              </w:rPr>
            </w:pPr>
          </w:p>
        </w:tc>
      </w:tr>
      <w:tr>
        <w:trPr>
          <w:trHeight w:val="22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(145,677)</w:t>
            </w:r>
          </w:p>
        </w:tc>
        <w:tc>
          <w:tcPr>
            <w:tcW w:w="0" w:type="dxa"/>
            <w:vAlign w:val="bottom"/>
          </w:tcPr>
          <w:p>
            <w:pPr>
              <w:spacing w:after="0"/>
              <w:rPr>
                <w:sz w:val="1"/>
                <w:szCs w:val="1"/>
                <w:color w:val="auto"/>
              </w:rPr>
            </w:pPr>
          </w:p>
        </w:tc>
      </w:tr>
      <w:tr>
        <w:trPr>
          <w:trHeight w:val="225"/>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0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 net of cash and cash equivalents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20" w:firstLine="397"/>
        <w:spacing w:after="0" w:line="254" w:lineRule="auto"/>
        <w:rPr>
          <w:sz w:val="20"/>
          <w:szCs w:val="20"/>
          <w:color w:val="auto"/>
        </w:rPr>
      </w:pPr>
      <w:r>
        <w:rPr>
          <w:rFonts w:ascii="Times New Roman" w:cs="Times New Roman" w:eastAsia="Times New Roman" w:hAnsi="Times New Roman"/>
          <w:sz w:val="18"/>
          <w:szCs w:val="18"/>
          <w:color w:val="auto"/>
        </w:rPr>
        <w:t>We used recognized valuation techniques to determine the preliminary fair value of the assets and liabilities, including the multi period excess earnings method for customer relationships and relief from royalty method for trade names and other technology with a discount rate that reflects the risk of the expected future cash flows. Tyman is allocated entirely to our Tyman reportable operating segment. For additional discussion of our reportable business segments, see Note 14, “Segment Information.”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166" w:lineRule="exact"/>
        <w:rPr>
          <w:sz w:val="20"/>
          <w:szCs w:val="20"/>
          <w:color w:val="auto"/>
        </w:rPr>
      </w:pPr>
    </w:p>
    <w:p>
      <w:pPr>
        <w:jc w:val="both"/>
        <w:ind w:left="20" w:firstLine="397"/>
        <w:spacing w:after="0" w:line="271" w:lineRule="auto"/>
        <w:rPr>
          <w:sz w:val="20"/>
          <w:szCs w:val="20"/>
          <w:color w:val="auto"/>
        </w:rPr>
      </w:pPr>
      <w:r>
        <w:rPr>
          <w:rFonts w:ascii="Times New Roman" w:cs="Times New Roman" w:eastAsia="Times New Roman" w:hAnsi="Times New Roman"/>
          <w:sz w:val="18"/>
          <w:szCs w:val="18"/>
          <w:color w:val="auto"/>
        </w:rPr>
        <w:t>We calculated the pro forma impact of the Tyman acquisition and the associated debt financing on our operating results for the three and six months ended and April 30, 2024. The following pro forma results give effect to these acquisitions, assuming the transaction occurred on November 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4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400" w:type="dxa"/>
            <w:vAlign w:val="bottom"/>
          </w:tcPr>
          <w:p>
            <w:pPr>
              <w:spacing w:after="0"/>
              <w:rPr>
                <w:sz w:val="17"/>
                <w:szCs w:val="17"/>
                <w:color w:val="auto"/>
              </w:rPr>
            </w:pPr>
          </w:p>
        </w:tc>
        <w:tc>
          <w:tcPr>
            <w:tcW w:w="14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475,295</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16,635</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0" w:firstLine="397"/>
        <w:spacing w:after="0" w:line="254" w:lineRule="auto"/>
        <w:rPr>
          <w:sz w:val="20"/>
          <w:szCs w:val="20"/>
          <w:color w:val="auto"/>
        </w:rPr>
      </w:pPr>
      <w:r>
        <w:rPr>
          <w:rFonts w:ascii="Times New Roman" w:cs="Times New Roman" w:eastAsia="Times New Roman" w:hAnsi="Times New Roman"/>
          <w:sz w:val="18"/>
          <w:szCs w:val="18"/>
          <w:color w:val="auto"/>
        </w:rPr>
        <w:t>We derived the pro forma results for the Tyman acquisition based on historical financial information obtained from the sellers and certain management assumptions. Our Tyman pro forma adjustments relate to the impact of preliminary fair value adjustments on the underlying assets and liabilities of Tyman, transaction costs and the financing of the Tyman Acquisition, and the conversion of Tyman’s financial information prepared in accordance with IFRS to Quanex accounting policies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consisted of the following at April 30, 2025 and October 31, 2024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3"/>
                <w:szCs w:val="13"/>
                <w:color w:val="auto"/>
              </w:rPr>
            </w:pPr>
          </w:p>
        </w:tc>
        <w:tc>
          <w:tcPr>
            <w:tcW w:w="144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2"/>
        </w:trPr>
        <w:tc>
          <w:tcPr>
            <w:tcW w:w="7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81,330</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190,376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192,448</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18"/>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279,482</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275,550</w:t>
            </w: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66"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30"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years and twenty years. Original terms for equipment-related leases, primarily manufacturing equipment and vehicles, are generally between one year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7"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0"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balance sheet at April 30, 2025 and October 31, 2024 (in thousands):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60" w:type="dxa"/>
            <w:vAlign w:val="bottom"/>
          </w:tcPr>
          <w:p>
            <w:pPr>
              <w:jc w:val="center"/>
              <w:ind w:left="172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36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4220" w:type="dxa"/>
            <w:vAlign w:val="bottom"/>
            <w:vMerge w:val="continue"/>
          </w:tcPr>
          <w:p>
            <w:pPr>
              <w:spacing w:after="0"/>
              <w:rPr>
                <w:sz w:val="16"/>
                <w:szCs w:val="16"/>
                <w:color w:val="auto"/>
              </w:rPr>
            </w:pPr>
          </w:p>
        </w:tc>
        <w:tc>
          <w:tcPr>
            <w:tcW w:w="36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8255</wp:posOffset>
            </wp:positionV>
            <wp:extent cx="709295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950" cy="1511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4" w:lineRule="exact"/>
        <w:rPr>
          <w:sz w:val="20"/>
          <w:szCs w:val="20"/>
          <w:color w:val="auto"/>
        </w:rPr>
      </w:pPr>
    </w:p>
    <w:p>
      <w:pPr>
        <w:ind w:left="180"/>
        <w:spacing w:after="0" w:line="410" w:lineRule="auto"/>
        <w:rPr>
          <w:sz w:val="20"/>
          <w:szCs w:val="20"/>
          <w:color w:val="auto"/>
        </w:rPr>
      </w:pPr>
      <w:r>
        <w:rPr>
          <w:rFonts w:ascii="Times New Roman" w:cs="Times New Roman" w:eastAsia="Times New Roman" w:hAnsi="Times New Roman"/>
          <w:sz w:val="17"/>
          <w:szCs w:val="17"/>
          <w:color w:val="auto"/>
        </w:rPr>
        <w:t>Operating lease assets Finance lease assets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149,322</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126,715</w:t>
            </w:r>
          </w:p>
        </w:tc>
      </w:tr>
      <w:tr>
        <w:trPr>
          <w:trHeight w:val="190"/>
        </w:trPr>
        <w:tc>
          <w:tcPr>
            <w:tcW w:w="508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Property, plant and equipment (less accumulated depreciation of</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5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w w:val="95"/>
                <w:shd w:val="clear" w:color="auto" w:fill="CCEEFF"/>
              </w:rPr>
              <w:t>$13,479</w:t>
            </w:r>
          </w:p>
        </w:tc>
        <w:tc>
          <w:tcPr>
            <w:tcW w:w="450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and $10,362)</w:t>
            </w:r>
          </w:p>
        </w:tc>
        <w:tc>
          <w:tcPr>
            <w:tcW w:w="64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70,997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67,046</w:t>
            </w:r>
          </w:p>
        </w:tc>
      </w:tr>
      <w:tr>
        <w:trPr>
          <w:trHeight w:val="26"/>
        </w:trPr>
        <w:tc>
          <w:tcPr>
            <w:tcW w:w="5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220,319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193,761</w:t>
            </w: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-444500</wp:posOffset>
            </wp:positionV>
            <wp:extent cx="7092950" cy="260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950" cy="260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40" w:space="620"/>
            <w:col w:w="888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18"/>
        </w:trPr>
        <w:tc>
          <w:tcPr>
            <w:tcW w:w="19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5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25"/>
        </w:trPr>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25"/>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117,560</w:t>
            </w:r>
          </w:p>
        </w:tc>
      </w:tr>
      <w:tr>
        <w:trPr>
          <w:trHeight w:val="225"/>
        </w:trPr>
        <w:tc>
          <w:tcPr>
            <w:tcW w:w="1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56,988</w:t>
            </w:r>
          </w:p>
        </w:tc>
      </w:tr>
      <w:tr>
        <w:trPr>
          <w:trHeight w:val="243"/>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190,711</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three and six months ended April 30, 2025 and 2024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199"/>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3"/>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40" w:type="dxa"/>
            <w:vAlign w:val="bottom"/>
          </w:tcPr>
          <w:p>
            <w:pPr>
              <w:spacing w:after="0"/>
              <w:rPr>
                <w:sz w:val="17"/>
                <w:szCs w:val="17"/>
                <w:color w:val="auto"/>
              </w:rPr>
            </w:pPr>
          </w:p>
        </w:tc>
      </w:tr>
      <w:tr>
        <w:trPr>
          <w:trHeight w:val="24"/>
        </w:trPr>
        <w:tc>
          <w:tcPr>
            <w:tcW w:w="4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46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199"/>
        </w:trPr>
        <w:tc>
          <w:tcPr>
            <w:tcW w:w="460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5"/>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six months ended April 30, 2025 and 2024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16"/>
                <w:szCs w:val="16"/>
                <w:color w:val="auto"/>
              </w:rPr>
            </w:pPr>
          </w:p>
        </w:tc>
      </w:tr>
      <w:tr>
        <w:trPr>
          <w:trHeight w:val="199"/>
        </w:trPr>
        <w:tc>
          <w:tcPr>
            <w:tcW w:w="7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0" w:type="dxa"/>
            <w:vAlign w:val="bottom"/>
          </w:tcPr>
          <w:p>
            <w:pPr>
              <w:spacing w:after="0"/>
              <w:rPr>
                <w:sz w:val="17"/>
                <w:szCs w:val="17"/>
                <w:color w:val="auto"/>
              </w:rPr>
            </w:pPr>
          </w:p>
        </w:tc>
      </w:tr>
      <w:tr>
        <w:trPr>
          <w:trHeight w:val="24"/>
        </w:trPr>
        <w:tc>
          <w:tcPr>
            <w:tcW w:w="7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74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74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r>
      <w:tr>
        <w:trPr>
          <w:trHeight w:val="265"/>
        </w:trPr>
        <w:tc>
          <w:tcPr>
            <w:tcW w:w="74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99"/>
        </w:trPr>
        <w:tc>
          <w:tcPr>
            <w:tcW w:w="74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bl>
    <w:p>
      <w:pPr>
        <w:spacing w:after="0" w:line="242"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table below presents the weighted-average remaining lease terms and weighted-average discount rates for the Company's leases as of April 30, 2025 and October 31, 2024:</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2"/>
        </w:trPr>
        <w:tc>
          <w:tcPr>
            <w:tcW w:w="2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65"/>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5"/>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r>
      <w:tr>
        <w:trPr>
          <w:trHeight w:val="225"/>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476"/>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The table below presents the maturity of the lease liabilities as of April 30, 2025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0"/>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20" w:type="dxa"/>
            <w:vAlign w:val="bottom"/>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six months)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25"/>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25"/>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25"/>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25"/>
        </w:trPr>
        <w:tc>
          <w:tcPr>
            <w:tcW w:w="20" w:type="dxa"/>
            <w:vAlign w:val="bottom"/>
          </w:tcPr>
          <w:p>
            <w:pPr>
              <w:spacing w:after="0"/>
              <w:rPr>
                <w:sz w:val="19"/>
                <w:szCs w:val="19"/>
                <w:color w:val="auto"/>
              </w:rPr>
            </w:pPr>
          </w:p>
        </w:tc>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127,728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57,609</w:t>
            </w:r>
          </w:p>
        </w:tc>
      </w:tr>
      <w:tr>
        <w:trPr>
          <w:trHeight w:val="218"/>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212,987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87,265</w:t>
            </w:r>
          </w:p>
        </w:tc>
      </w:tr>
      <w:tr>
        <w:trPr>
          <w:trHeight w:val="225"/>
        </w:trPr>
        <w:tc>
          <w:tcPr>
            <w:tcW w:w="20" w:type="dxa"/>
            <w:vAlign w:val="bottom"/>
          </w:tcPr>
          <w:p>
            <w:pPr>
              <w:spacing w:after="0"/>
              <w:rPr>
                <w:sz w:val="19"/>
                <w:szCs w:val="19"/>
                <w:color w:val="auto"/>
              </w:rPr>
            </w:pPr>
          </w:p>
        </w:tc>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26,081</w:t>
            </w:r>
          </w:p>
        </w:tc>
      </w:tr>
      <w:tr>
        <w:trPr>
          <w:trHeight w:val="243"/>
        </w:trPr>
        <w:tc>
          <w:tcPr>
            <w:tcW w:w="2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61,184</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April 30, 2025 and October 31,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3"/>
                <w:szCs w:val="13"/>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1"/>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186,087</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462,628</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46,534</w:t>
            </w:r>
          </w:p>
        </w:tc>
      </w:tr>
      <w:tr>
        <w:trPr>
          <w:trHeight w:val="218"/>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794,317</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391,851</w:t>
            </w:r>
          </w:p>
        </w:tc>
      </w:tr>
      <w:tr>
        <w:trPr>
          <w:trHeight w:val="243"/>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Depreciation expense, including amortization of finance leases, for the three and six months ended April 30, 2025 of $12.7 million and $26.6 million, respectively, and $7.9 million and $15.9 million for the comparable prior year periods.</w:t>
      </w:r>
    </w:p>
    <w:p>
      <w:pPr>
        <w:spacing w:after="0" w:line="1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reported balances of our property, plant and equipment as of April 30, 2025 have been updated to incorporate reclassifications of balances between categories of assets and between gross and accumulated depreciation values. These reclassifications are immaterial to the current and prior period financial statements.</w:t>
      </w:r>
    </w:p>
    <w:p>
      <w:pPr>
        <w:spacing w:after="0" w:line="12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periods ended April 30, 2025 and October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April 30, 2025 was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9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4"/>
        </w:trPr>
        <w:tc>
          <w:tcPr>
            <w:tcW w:w="9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r>
      <w:tr>
        <w:trPr>
          <w:trHeight w:val="225"/>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At our last annual test date, August 31, 2024, we evaluated the recoverability of goodwill at each of our seven reporting units with goodwill balances and determined that our goodwill was not impaired. We evaluated for indicators of impairment for all reporting units during the three and six months ended April 30, 2025 and determined that there were no triggering events. For additional information and discussion of change in reporting units and a summary of the change in the carrying amount of goodwill by segment, see Note 14,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April 30, 2025 and October 31, 2024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6"/>
                <w:szCs w:val="16"/>
                <w:color w:val="auto"/>
              </w:rPr>
            </w:pPr>
          </w:p>
        </w:tc>
        <w:tc>
          <w:tcPr>
            <w:tcW w:w="284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7"/>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2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8"/>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8"/>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1"/>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506,663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128,657</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512,131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112,748</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18"/>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772,944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780,729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182,820</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and six months ended April 30, 2025 of $6.5 million and $17.1 million, respectively, and $3.0 million and $6.2 million for the comparable prior year periods. During the second quarter of 2025, we recorded a one-time adjustment to amortization expense of $3.5 million.</w:t>
      </w:r>
    </w:p>
    <w:p>
      <w:pPr>
        <w:spacing w:after="0" w:line="12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April 30, 2025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and Finance Lease Obligations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Long-term debt consisted of the following at April 30, 2025 and October 31, 2024 (in thousands):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88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2"/>
        </w:trPr>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19"/>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39,645</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39,645</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w:t>
            </w:r>
          </w:p>
        </w:tc>
      </w:tr>
      <w:tr>
        <w:trPr>
          <w:trHeight w:val="225"/>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w:t>
            </w:r>
          </w:p>
        </w:tc>
      </w:tr>
      <w:tr>
        <w:trPr>
          <w:trHeight w:val="230"/>
        </w:trPr>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399,145</w:t>
            </w:r>
          </w:p>
        </w:tc>
      </w:tr>
      <w:tr>
        <w:trPr>
          <w:trHeight w:val="219"/>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567,148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April 30,</w:t>
      </w:r>
      <w:r>
        <w:rPr>
          <w:sz w:val="20"/>
          <w:szCs w:val="20"/>
          <w:color w:val="auto"/>
        </w:rPr>
        <w:tab/>
      </w:r>
      <w:r>
        <w:rPr>
          <w:rFonts w:ascii="Times New Roman" w:cs="Times New Roman" w:eastAsia="Times New Roman" w:hAnsi="Times New Roman"/>
          <w:sz w:val="13"/>
          <w:szCs w:val="13"/>
          <w:b w:val="1"/>
          <w:bCs w:val="1"/>
          <w:color w:val="auto"/>
        </w:rPr>
        <w:t>October 31,</w:t>
      </w:r>
    </w:p>
    <w:p>
      <w:pPr>
        <w:spacing w:after="0" w:line="3" w:lineRule="exact"/>
        <w:rPr>
          <w:sz w:val="20"/>
          <w:szCs w:val="20"/>
          <w:color w:val="auto"/>
        </w:rPr>
      </w:pPr>
    </w:p>
    <w:p>
      <w:pPr>
        <w:ind w:left="12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7"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6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481,250</w:t>
            </w:r>
          </w:p>
        </w:tc>
        <w:tc>
          <w:tcPr>
            <w:tcW w:w="1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493,750</w:t>
            </w:r>
          </w:p>
        </w:tc>
      </w:tr>
      <w:tr>
        <w:trPr>
          <w:trHeight w:val="225"/>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222,500</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61,272</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r>
      <w:tr>
        <w:trPr>
          <w:trHeight w:val="225"/>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r>
      <w:tr>
        <w:trPr>
          <w:trHeight w:val="218"/>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762,943</w:t>
            </w:r>
          </w:p>
        </w:tc>
      </w:tr>
      <w:tr>
        <w:trPr>
          <w:trHeight w:val="225"/>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43"/>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746,387</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737,198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Company’s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Our previous credit facility is more fully described in our Annual Report on Form 10-K for the fiscal year ended October 31, 2024.</w:t>
      </w:r>
    </w:p>
    <w:p>
      <w:pPr>
        <w:spacing w:after="0" w:line="8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principal amount of $500 million (the “Term A Facility” and together with the Revolving Credit Facility, the “Facilities”). The 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is five years after the acquisition effective date, maturing on August 1, 2029.</w:t>
      </w:r>
    </w:p>
    <w:p>
      <w:pPr>
        <w:spacing w:after="0" w:line="7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 Eurocurrency</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Base Rate Loans</w:t>
            </w:r>
          </w:p>
        </w:tc>
        <w:tc>
          <w:tcPr>
            <w:tcW w:w="0" w:type="dxa"/>
            <w:vAlign w:val="bottom"/>
          </w:tcPr>
          <w:p>
            <w:pPr>
              <w:spacing w:after="0"/>
              <w:rPr>
                <w:sz w:val="1"/>
                <w:szCs w:val="1"/>
                <w:color w:val="auto"/>
              </w:rPr>
            </w:pPr>
          </w:p>
        </w:tc>
      </w:tr>
      <w:tr>
        <w:trPr>
          <w:trHeight w:val="188"/>
        </w:trPr>
        <w:tc>
          <w:tcPr>
            <w:tcW w:w="138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Loans and RFR Loans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7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1"/>
                <w:szCs w:val="21"/>
                <w:color w:val="auto"/>
              </w:rPr>
            </w:pPr>
          </w:p>
        </w:tc>
        <w:tc>
          <w:tcPr>
            <w:tcW w:w="2280" w:type="dxa"/>
            <w:vAlign w:val="bottom"/>
            <w:tcBorders>
              <w:top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1.25%</w:t>
            </w:r>
          </w:p>
        </w:tc>
      </w:tr>
      <w:tr>
        <w:trPr>
          <w:trHeight w:val="410"/>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4"/>
                <w:szCs w:val="24"/>
                <w:color w:val="auto"/>
              </w:rPr>
            </w:pPr>
          </w:p>
        </w:tc>
        <w:tc>
          <w:tcPr>
            <w:tcW w:w="1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-401955</wp:posOffset>
            </wp:positionV>
            <wp:extent cx="7134860" cy="260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26035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-814070</wp:posOffset>
            </wp:positionV>
            <wp:extent cx="7134860"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 w:space="580"/>
            <w:col w:w="3520" w:space="460"/>
            <w:col w:w="6080"/>
          </w:cols>
          <w:pgMar w:left="320" w:top="121" w:right="339" w:bottom="1440" w:gutter="0" w:footer="0" w:header="0"/>
          <w:type w:val="continuous"/>
        </w:sectPr>
      </w:pPr>
    </w:p>
    <w:p>
      <w:pPr>
        <w:spacing w:after="0" w:line="2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for incremental revolving credit commitments for a minimum principal amount of (1) $310.0 million and (2) 100% of Consolidated EBITDA, subject to the lender's discretion to elect or decline the incremental increase. We can also borrow up to the lesser of $15.0 million or the revolving credit commitment, as defined, under a Swingline feature of the Amended Credit Agreement.</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Amended Credit Agreement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 The consolidated Net Leverage Ratio following a Permitted Acquisition, such as Tyman, must not be greater than 3.75 to 1.00 each fiscal quarter ending during the four fiscal quarter period immediately following such acquisition.</w:t>
      </w:r>
    </w:p>
    <w:p>
      <w:pPr>
        <w:spacing w:after="0" w:line="10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 our ability to enter into certain business transactions, such as to incur indebtedness or liens, to acquire businesses or dispose of material assets, make restricted payments, pay dividends (limited to $35.0 million per year) and other transactions as further defined in the Amended Credit Agreement.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Amended Credit Agreement.</w:t>
      </w:r>
    </w:p>
    <w:p>
      <w:pPr>
        <w:spacing w:after="0" w:line="12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 of April 30, 2025, we had $723.8 million borrowings outstanding under the Facilities, $12.5 million of unamortized debt issuance costs, $6.1 million of outstanding letters of credit, and $61.3 million outstanding primarily under finance leases and other debt. We had $226.4 million available for use under the Facilities at April 30, 2025. The borrowings outstanding as of April 30, 2025 under the Facilities accrue interest at 6.67% per annum, and our weighted-average borrowing rate for borrowings outstanding during the six months ended April 30, 2025 and 2024 was 6.83% and 6.69%, respectively. We were in compliance with our debt covenants as of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maintain a non-qualified deferred compensation plan covering members of the Board of Directors and certain key employees. As of April 30, 2025 and October 31, 2024, the liability associated with the deferred compensation plan was approximately $3.9 million and $4.7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increases or decreases in valuation allowances on deferred tax assets. Our estimated annual effective tax rates from continuing operations for the six months ended April 30, 2025 and 2024 were 18.2% and 21.6%, respectively. The difference between our estimated annual effective income tax rate and the U.S. federal statutory rate of 21% principally results from discrete tax items, U.S. state taxes, a non-U.S. tax rate differential and other permanent differences. The primary discrete item affecting the 2025 effective rate was the benefit of $0.4 million related to the vesting or exercise of equity-based compensation awards. The primary discrete items affecting the 2024 effective rate were the benefit of $0.4 million related to the vesting or exercise of equity-based compensation awards and a charge of $0.6 million related to the true up of the deferred tax rate.</w:t>
      </w:r>
    </w:p>
    <w:p>
      <w:pPr>
        <w:spacing w:after="0" w:line="14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$0.8 million as of April 30, 2025 and October 31, 2024, respectively. We also maintain a valuation allowance for capital losses which totaled $3.3 million as of April 30, 2025 and October 31,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30"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2025.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8"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 of Assets and Liabilities</w:t>
      </w:r>
    </w:p>
    <w:p>
      <w:pPr>
        <w:spacing w:after="0" w:line="16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82" w:lineRule="exact"/>
        <w:rPr>
          <w:sz w:val="20"/>
          <w:szCs w:val="20"/>
          <w:color w:val="auto"/>
        </w:rPr>
      </w:pPr>
    </w:p>
    <w:p>
      <w:pPr>
        <w:ind w:left="480" w:hanging="156"/>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0" w:lineRule="exact"/>
        <w:rPr>
          <w:rFonts w:ascii="Times New Roman" w:cs="Times New Roman" w:eastAsia="Times New Roman" w:hAnsi="Times New Roman"/>
          <w:sz w:val="18"/>
          <w:szCs w:val="18"/>
          <w:color w:val="auto"/>
        </w:rPr>
      </w:pPr>
    </w:p>
    <w:p>
      <w:pPr>
        <w:jc w:val="both"/>
        <w:ind w:left="480" w:hanging="156"/>
        <w:spacing w:after="0" w:line="254"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6" w:lineRule="exact"/>
        <w:rPr>
          <w:rFonts w:ascii="Times New Roman" w:cs="Times New Roman" w:eastAsia="Times New Roman" w:hAnsi="Times New Roman"/>
          <w:sz w:val="18"/>
          <w:szCs w:val="18"/>
          <w:color w:val="auto"/>
        </w:rPr>
      </w:pPr>
    </w:p>
    <w:p>
      <w:pPr>
        <w:ind w:left="480" w:hanging="156"/>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11"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2025, and October 31, 2024 (Level 2 measurement).</w:t>
      </w:r>
    </w:p>
    <w:p>
      <w:pPr>
        <w:spacing w:after="0" w:line="130"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As of April 30, 2025, we have outstanding forward foreign exchange contracts to hedge our foreign currency exposures against the U.S. Dollar (“USD”) to Great British Pound (“GBP”), with a notional principal amount of $1.0 million, and foreign currency exposures against the Mexican Peso (“MXN”) to USD, with a notional principal amount of $10.0 million. Hedge accounting is not applied to our forward exchange contracts. These contracts have a range of maturities up to June 17, 2025. Our forward foreign exchange contracts are adjusted to fair value by recording gains and losses to “Other, net,” and we record the related asset or liability to “Other Assets” or “Current Liabilities” in the accompanying condensed consolidated statement of income and condensed consolidated balance sheets, respectively. During the six months ended April 30, 2025 and 2024, we recognized a net gain of $0.8 million and zero, respectively, related to our forward foreign exchange contracts. The value of our forward foreign exchange contracts fluctuate based on exchange rate fluctuations against USD to GBP, and MXN to USD (Level 2 measurements).</w:t>
      </w:r>
    </w:p>
    <w:p>
      <w:pPr>
        <w:spacing w:after="0" w:line="13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As of April 30, 2025, we have $2.9 million outstanding Bonds for the Reconstruction for a Free Argentina (“BOPREAL”) issued by the Argentine Central Bank, which we record under the caption “Prepaid and other current assets” in the accompanying condensed consolidated balance sheets. The BOPREAL bond subscription in Argentine Pesos (“ARS”) will settle in USD and the proceeds will be used to repay intercompany payables. These bonds have a range of maturities up to June 30, 2025. We estimate total proceeds of the BOPREAL bonds to be approximately $2.7 million after $0.3 million deduction of taxes and transaction fees. The value of the BOPREAL bonds fluctuates based on exchange rate fluctuations against ARS to USD (Level 2 measurements).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6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74"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7"/>
          <w:szCs w:val="17"/>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granted stock options to certain officers, directors and key employees. Occasionally, we may make additional grants to key employees at other times during the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66"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six months ended April 30, 2025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2024</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236,800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5"/>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104,000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(84,100)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April 30, 2025</w:t>
            </w:r>
          </w:p>
        </w:tc>
        <w:tc>
          <w:tcPr>
            <w:tcW w:w="1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256,700</w:t>
            </w:r>
          </w:p>
        </w:tc>
        <w:tc>
          <w:tcPr>
            <w:tcW w:w="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six months ended April 30, 2025 and 2024 was $1.9 million and $1.4 million, respectively. As of April 30, 2025, total unrecognized compensation cost related to unamortized restricted stock awards was $4.2 million. We expect to recognize this expense over the remaining weighted-average vesting period of 2.1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3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2024.</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April 30,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80" w:type="dxa"/>
            <w:vAlign w:val="bottom"/>
          </w:tcPr>
          <w:p>
            <w:pPr>
              <w:spacing w:after="0"/>
              <w:rPr>
                <w:sz w:val="13"/>
                <w:szCs w:val="13"/>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1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8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78,250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(9,300)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30, 2025</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68,950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Vested at April 30, 2025</w:t>
            </w:r>
          </w:p>
        </w:tc>
        <w:tc>
          <w:tcPr>
            <w:tcW w:w="1520" w:type="dxa"/>
            <w:vAlign w:val="bottom"/>
            <w:tcBorders>
              <w:bottom w:val="single" w:sz="8" w:color="auto"/>
            </w:tcBorders>
          </w:tcPr>
          <w:p>
            <w:pPr>
              <w:ind w:left="980"/>
              <w:spacing w:after="0" w:line="198" w:lineRule="exact"/>
              <w:rPr>
                <w:sz w:val="20"/>
                <w:szCs w:val="20"/>
                <w:color w:val="auto"/>
              </w:rPr>
            </w:pPr>
            <w:r>
              <w:rPr>
                <w:rFonts w:ascii="Times New Roman" w:cs="Times New Roman" w:eastAsia="Times New Roman" w:hAnsi="Times New Roman"/>
                <w:sz w:val="18"/>
                <w:szCs w:val="18"/>
                <w:color w:val="auto"/>
              </w:rPr>
              <w:t>68,950</w:t>
            </w:r>
          </w:p>
        </w:tc>
        <w:tc>
          <w:tcPr>
            <w:tcW w:w="3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19.38</w:t>
            </w:r>
          </w:p>
        </w:tc>
        <w:tc>
          <w:tcPr>
            <w:tcW w:w="200" w:type="dxa"/>
            <w:vAlign w:val="bottom"/>
          </w:tcPr>
          <w:p>
            <w:pPr>
              <w:spacing w:after="0"/>
              <w:rPr>
                <w:sz w:val="17"/>
                <w:szCs w:val="17"/>
                <w:color w:val="auto"/>
              </w:rPr>
            </w:pPr>
          </w:p>
        </w:tc>
        <w:tc>
          <w:tcPr>
            <w:tcW w:w="1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April 30, 2025</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68,950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stock options exercised during the six months ended April 30, 2025 and 2024 was $0.1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6"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During the six months ended April 30, 2025 and 2024, non-employee directors received 28,240 and 26,215 restricted stock units, respectively, at a weighted-average grant date fair value of $29.02 per share and $20.70 per share, respectively, which vested immediately. During the six months ended April 30, 2025 and 2024, 45,703 and zero restricted stock units, which were awarded to key employees, vested, respectively. During the six months ended April 30, 2025, we paid $1.1 million and $0.6 million for the comparable prior year to settle vested restricted stock units awarded to key employees and $0.6 million to a non-employee director who retired from the Board of Directors during the six months ended April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The performance share awards granted in December 2022 and December 2023 vest with return on net assets (RONA) as the vesting condition and pay out 100% in cash, and are accounted for as liability. The performance share awards granted in December 2024 vest with adjusted earnings per share performance as the vesting condition and RONA as a performance modifier and pay out 100% in cash, and are accounted for as a liability.</w:t>
      </w:r>
    </w:p>
    <w:p>
      <w:pPr>
        <w:spacing w:after="0" w:line="13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2022 and December 2023 awarded performance shares may ultimately vest and 0% to 250% of the December 2024 performance share may ultimately vest.</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performance metrics: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6"/>
        </w:trPr>
        <w:tc>
          <w:tcPr>
            <w:tcW w:w="78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December 2024, 78,589 shares vested pursuant to the December 2021 grant, which were settled with a cash payment of $2.4 million.</w:t>
      </w:r>
    </w:p>
    <w:p>
      <w:pPr>
        <w:spacing w:after="0" w:line="16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19"/>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5"/>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6"/>
        </w:trPr>
        <w:tc>
          <w:tcPr>
            <w:tcW w:w="78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5"/>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six months ended April 30, 2025, 69,825 performance restricted stock units vested.</w:t>
      </w:r>
    </w:p>
    <w:p>
      <w:pPr>
        <w:spacing w:after="0" w:line="16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2025, we have deemed 19,786 shares related to the December 2022 grant of performance restricted stock units as probable to vest.</w:t>
      </w:r>
    </w:p>
    <w:p>
      <w:pPr>
        <w:spacing w:after="0" w:line="12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six months ended April 30, 2025 and 2024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6"/>
                <w:szCs w:val="16"/>
                <w:color w:val="auto"/>
              </w:rPr>
            </w:pPr>
          </w:p>
        </w:tc>
      </w:tr>
      <w:tr>
        <w:trPr>
          <w:trHeight w:val="199"/>
        </w:trPr>
        <w:tc>
          <w:tcPr>
            <w:tcW w:w="4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gridSpan w:val="3"/>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Pr>
          <w:p>
            <w:pPr>
              <w:spacing w:after="0"/>
              <w:rPr>
                <w:sz w:val="17"/>
                <w:szCs w:val="17"/>
                <w:color w:val="auto"/>
              </w:rPr>
            </w:pPr>
          </w:p>
        </w:tc>
      </w:tr>
      <w:tr>
        <w:trPr>
          <w:trHeight w:val="24"/>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6"/>
              </w:rPr>
              <w:t>595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spacing w:after="0"/>
              <w:rPr>
                <w:sz w:val="19"/>
                <w:szCs w:val="19"/>
                <w:color w:val="auto"/>
              </w:rPr>
            </w:pP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7"/>
              </w:rPr>
              <w:t>(540)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6"/>
              </w:rPr>
              <w:t>177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8"/>
                <w:szCs w:val="18"/>
                <w:color w:val="auto"/>
                <w:w w:val="96"/>
              </w:rPr>
              <w:t>328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43"/>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6"/>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6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six months ended April 30, 2025:</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1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8860" w:type="dxa"/>
            <w:vAlign w:val="bottom"/>
          </w:tcPr>
          <w:p>
            <w:pPr>
              <w:spacing w:after="0"/>
              <w:rPr>
                <w:sz w:val="17"/>
                <w:szCs w:val="17"/>
                <w:color w:val="auto"/>
              </w:rPr>
            </w:pPr>
          </w:p>
        </w:tc>
        <w:tc>
          <w:tcPr>
            <w:tcW w:w="21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4"/>
        </w:trPr>
        <w:tc>
          <w:tcPr>
            <w:tcW w:w="8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8"/>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4,014,431</w:t>
            </w:r>
          </w:p>
        </w:tc>
      </w:tr>
      <w:tr>
        <w:trPr>
          <w:trHeight w:val="225"/>
        </w:trPr>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(104,000)</w:t>
            </w:r>
          </w:p>
        </w:tc>
      </w:tr>
      <w:tr>
        <w:trPr>
          <w:trHeight w:val="225"/>
        </w:trPr>
        <w:tc>
          <w:tcPr>
            <w:tcW w:w="8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(69,825)</w:t>
            </w:r>
          </w:p>
        </w:tc>
      </w:tr>
      <w:tr>
        <w:trPr>
          <w:trHeight w:val="225"/>
        </w:trPr>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r>
      <w:tr>
        <w:trPr>
          <w:trHeight w:val="225"/>
        </w:trPr>
        <w:tc>
          <w:tcPr>
            <w:tcW w:w="8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1,409,407</w:t>
            </w:r>
          </w:p>
        </w:tc>
      </w:tr>
      <w:tr>
        <w:trPr>
          <w:trHeight w:val="218"/>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30, 2025</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5,240,713</w:t>
            </w:r>
          </w:p>
        </w:tc>
      </w:tr>
      <w:tr>
        <w:trPr>
          <w:trHeight w:val="20"/>
        </w:trPr>
        <w:tc>
          <w:tcPr>
            <w:tcW w:w="88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net</w:t>
      </w:r>
    </w:p>
    <w:p>
      <w:pPr>
        <w:spacing w:after="0" w:line="16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Other, net on the condensed consolidated statements of income consisted of the following for the three and six months ended April 30, 2025 and 2024 (in thousands):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199"/>
        </w:trPr>
        <w:tc>
          <w:tcPr>
            <w:tcW w:w="4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40" w:type="dxa"/>
            <w:vAlign w:val="bottom"/>
          </w:tcPr>
          <w:p>
            <w:pPr>
              <w:spacing w:after="0"/>
              <w:rPr>
                <w:sz w:val="17"/>
                <w:szCs w:val="17"/>
                <w:color w:val="auto"/>
              </w:rPr>
            </w:pPr>
          </w:p>
        </w:tc>
      </w:tr>
      <w:tr>
        <w:trPr>
          <w:trHeight w:val="24"/>
        </w:trPr>
        <w:tc>
          <w:tcPr>
            <w:tcW w:w="4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42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gains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
        </w:trPr>
        <w:tc>
          <w:tcPr>
            <w:tcW w:w="4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66"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We present four reportable segments in accordance with ASC Topic 280-10-50, “Segment Reporting” (ASC 280):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The accounting policies of our operating segments are the same as those used to prepare the accompanying condensed consolidated financial statements. Corporate general and administrative expense allocated during the three and six month period ended April 30, 2025 was $10.0 million and $17.9 million, respectively, and $6.9 million and $14.2 million for the comparable prior year periods.</w:t>
      </w:r>
    </w:p>
    <w:p>
      <w:pPr>
        <w:spacing w:after="0" w:line="14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right="620" w:firstLine="397"/>
        <w:spacing w:after="0" w:line="271" w:lineRule="auto"/>
        <w:rPr>
          <w:sz w:val="20"/>
          <w:szCs w:val="20"/>
          <w:color w:val="auto"/>
        </w:rPr>
      </w:pPr>
      <w:r>
        <w:rPr>
          <w:rFonts w:ascii="Times New Roman" w:cs="Times New Roman" w:eastAsia="Times New Roman" w:hAnsi="Times New Roman"/>
          <w:sz w:val="18"/>
          <w:szCs w:val="18"/>
          <w:color w:val="auto"/>
        </w:rPr>
        <w:t>Segment information for the three and six months ended April 30, 2025 and 2024, and total assets as of April 30, 2025 and October 31, 2024 are summarized in the following table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22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2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Comp.</w:t>
            </w: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CCEEFF"/>
            </w:tcBorders>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24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151,026</w:t>
            </w:r>
          </w:p>
        </w:tc>
        <w:tc>
          <w:tcPr>
            <w:tcW w:w="4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190,107</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4,667</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16,661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6,489</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4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159,774</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5,218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18,565</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5,739</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auto"/>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Six Months Ended April 30, 2025</w:t>
            </w:r>
          </w:p>
        </w:tc>
        <w:tc>
          <w:tcPr>
            <w:tcW w:w="120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285,359</w:t>
            </w: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95,047</w:t>
            </w:r>
          </w:p>
        </w:tc>
        <w:tc>
          <w:tcPr>
            <w:tcW w:w="1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365,783</w:t>
            </w:r>
          </w:p>
        </w:tc>
        <w:tc>
          <w:tcPr>
            <w:tcW w:w="1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9,446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23,515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12,140</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Borders>
              <w:bottom w:val="single" w:sz="8" w:color="auto"/>
            </w:tcBorders>
            <w:gridSpan w:val="3"/>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Six Months Ended April 30, 2024</w:t>
            </w:r>
          </w:p>
        </w:tc>
        <w:tc>
          <w:tcPr>
            <w:tcW w:w="12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307,769</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10,693</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0" w:type="dxa"/>
            <w:vAlign w:val="bottom"/>
          </w:tcPr>
          <w:p>
            <w:pPr>
              <w:spacing w:after="0"/>
              <w:rPr>
                <w:sz w:val="1"/>
                <w:szCs w:val="1"/>
                <w:color w:val="auto"/>
              </w:rPr>
            </w:pPr>
          </w:p>
        </w:tc>
      </w:tr>
      <w:tr>
        <w:trPr>
          <w:trHeight w:val="225"/>
        </w:trPr>
        <w:tc>
          <w:tcPr>
            <w:tcW w:w="34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26,807</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0" w:type="dxa"/>
            <w:vAlign w:val="bottom"/>
          </w:tcPr>
          <w:p>
            <w:pPr>
              <w:spacing w:after="0"/>
              <w:rPr>
                <w:sz w:val="1"/>
                <w:szCs w:val="1"/>
                <w:color w:val="auto"/>
              </w:rPr>
            </w:pPr>
          </w:p>
        </w:tc>
      </w:tr>
      <w:tr>
        <w:trPr>
          <w:trHeight w:val="225"/>
        </w:trPr>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11,460</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460" w:type="dxa"/>
            <w:vAlign w:val="bottom"/>
            <w:gridSpan w:val="5"/>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April 30, 2025</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20" w:type="dxa"/>
            <w:vAlign w:val="bottom"/>
            <w:tcBorders>
              <w:top w:val="single" w:sz="8" w:color="CCEEFF"/>
            </w:tcBorders>
            <w:gridSpan w:val="4"/>
          </w:tcPr>
          <w:p>
            <w:pPr>
              <w:spacing w:after="0"/>
              <w:rPr>
                <w:sz w:val="19"/>
                <w:szCs w:val="19"/>
                <w:color w:val="auto"/>
              </w:rPr>
            </w:pPr>
          </w:p>
        </w:tc>
        <w:tc>
          <w:tcPr>
            <w:tcW w:w="3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407,552</w:t>
            </w:r>
          </w:p>
        </w:tc>
        <w:tc>
          <w:tcPr>
            <w:tcW w:w="4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244,562</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916,393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594,589</w:t>
            </w: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2,308,266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460" w:type="dxa"/>
            <w:vAlign w:val="bottom"/>
            <w:gridSpan w:val="5"/>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October 31, 2024</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2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373,934</w:t>
            </w:r>
          </w:p>
        </w:tc>
        <w:tc>
          <w:tcPr>
            <w:tcW w:w="4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239,501</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147,907</w:t>
            </w: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1,243,265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315,181</w:t>
            </w: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2,319,788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six months ended April 30, 2025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NA Cabinet</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3"/>
                <w:szCs w:val="13"/>
                <w:color w:val="auto"/>
              </w:rPr>
            </w:pPr>
          </w:p>
        </w:tc>
        <w:tc>
          <w:tcPr>
            <w:tcW w:w="8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2024</w:t>
            </w:r>
          </w:p>
        </w:tc>
        <w:tc>
          <w:tcPr>
            <w:tcW w:w="3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388,265</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2025</w:t>
            </w:r>
          </w:p>
        </w:tc>
        <w:tc>
          <w:tcPr>
            <w:tcW w:w="3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details of Goodwill, see Note 6,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and six months ended April 30, 2025 and 2024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6"/>
                <w:szCs w:val="16"/>
                <w:color w:val="auto"/>
              </w:rPr>
            </w:pPr>
          </w:p>
        </w:tc>
      </w:tr>
      <w:tr>
        <w:trPr>
          <w:trHeight w:val="199"/>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spacing w:after="0"/>
              <w:rPr>
                <w:sz w:val="17"/>
                <w:szCs w:val="17"/>
                <w:color w:val="auto"/>
              </w:rPr>
            </w:pPr>
          </w:p>
        </w:tc>
      </w:tr>
      <w:tr>
        <w:trPr>
          <w:trHeight w:val="24"/>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48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43"/>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1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Basic and diluted earnings per share for the three and six months ended April 30, 2025 and 2024 were calculated as follows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650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2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Basic earnings per common share</w:t>
            </w:r>
          </w:p>
        </w:tc>
        <w:tc>
          <w:tcPr>
            <w:tcW w:w="40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4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5"/>
        </w:trPr>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3"/>
            <w:vMerge w:val="restart"/>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April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6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Basic earnings per common share</w:t>
            </w:r>
          </w:p>
        </w:tc>
        <w:tc>
          <w:tcPr>
            <w:tcW w:w="40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25"/>
        </w:trPr>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6"/>
                <w:szCs w:val="16"/>
                <w:b w:val="1"/>
                <w:bCs w:val="1"/>
                <w:color w:val="auto"/>
                <w:w w:val="98"/>
              </w:rPr>
              <w:t>Six Months Ended April 30, 2025</w:t>
            </w:r>
          </w:p>
        </w:tc>
        <w:tc>
          <w:tcPr>
            <w:tcW w:w="424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5"/>
        </w:trPr>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Six Months Ended April 30, 2024</w:t>
            </w:r>
          </w:p>
        </w:tc>
        <w:tc>
          <w:tcPr>
            <w:tcW w:w="4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260" w:type="dxa"/>
            <w:vAlign w:val="bottom"/>
            <w:tcBorders>
              <w:bottom w:val="single" w:sz="8" w:color="auto"/>
            </w:tcBorders>
            <w:vMerge w:val="continue"/>
          </w:tcPr>
          <w:p>
            <w:pPr>
              <w:spacing w:after="0"/>
              <w:rPr>
                <w:sz w:val="11"/>
                <w:szCs w:val="11"/>
                <w:color w:val="auto"/>
              </w:rPr>
            </w:pPr>
          </w:p>
        </w:tc>
        <w:tc>
          <w:tcPr>
            <w:tcW w:w="4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5"/>
        </w:trPr>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41,871 and 17,580 of anti-dilutive restricted stock award equivalents for the three and six months ended April 30, 2025, respectively, and no corresponding equivalents for the comparable prior year periods. Such dilution is dependent on the excess of the market price of our stock over the exercise price and other components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New Accounting Guidance</w:t>
      </w:r>
    </w:p>
    <w:p>
      <w:pPr>
        <w:spacing w:after="0" w:line="113"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8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7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3" w:lineRule="exact"/>
        <w:rPr>
          <w:sz w:val="20"/>
          <w:szCs w:val="20"/>
          <w:color w:val="auto"/>
        </w:rPr>
      </w:pPr>
    </w:p>
    <w:p>
      <w:pPr>
        <w:jc w:val="both"/>
        <w:ind w:firstLine="437"/>
        <w:spacing w:after="0" w:line="247"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on the economy, demand for our products or our operations, including the responses of governmental authorities to contain such public health issues;</w:t>
      </w:r>
    </w:p>
    <w:p>
      <w:pPr>
        <w:spacing w:after="0" w:line="22"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and other expectations with respect to Tyman;</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57" w:lineRule="exact"/>
        <w:rPr>
          <w:rFonts w:ascii="Times New Roman" w:cs="Times New Roman" w:eastAsia="Times New Roman" w:hAnsi="Times New Roman"/>
          <w:sz w:val="18"/>
          <w:szCs w:val="18"/>
          <w:b w:val="1"/>
          <w:bCs w:val="1"/>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spacing w:after="0" w:line="9" w:lineRule="exact"/>
        <w:rPr>
          <w:rFonts w:ascii="Times New Roman" w:cs="Times New Roman" w:eastAsia="Times New Roman" w:hAnsi="Times New Roman"/>
          <w:sz w:val="18"/>
          <w:szCs w:val="18"/>
          <w:b w:val="1"/>
          <w:bCs w:val="1"/>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57" w:lineRule="exact"/>
        <w:rPr>
          <w:rFonts w:ascii="Times New Roman" w:cs="Times New Roman" w:eastAsia="Times New Roman" w:hAnsi="Times New Roman"/>
          <w:sz w:val="18"/>
          <w:szCs w:val="18"/>
          <w:color w:val="auto"/>
        </w:rPr>
      </w:pPr>
    </w:p>
    <w:p>
      <w:pPr>
        <w:ind w:left="64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spacing w:after="0" w:line="9"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57" w:lineRule="exact"/>
        <w:rPr>
          <w:rFonts w:ascii="Times New Roman" w:cs="Times New Roman" w:eastAsia="Times New Roman" w:hAnsi="Times New Roman"/>
          <w:sz w:val="18"/>
          <w:szCs w:val="18"/>
          <w:color w:val="auto"/>
        </w:rPr>
      </w:pPr>
    </w:p>
    <w:p>
      <w:pPr>
        <w:ind w:left="640" w:right="660" w:hanging="158"/>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 or any other material weakness that we may identify in the future that could result in material misstatements in our financial statements;</w:t>
      </w:r>
    </w:p>
    <w:p>
      <w:pPr>
        <w:spacing w:after="0" w:line="9"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57" w:lineRule="exact"/>
        <w:rPr>
          <w:rFonts w:ascii="Times New Roman" w:cs="Times New Roman" w:eastAsia="Times New Roman" w:hAnsi="Times New Roman"/>
          <w:sz w:val="18"/>
          <w:szCs w:val="18"/>
          <w:color w:val="auto"/>
        </w:rPr>
      </w:pPr>
    </w:p>
    <w:p>
      <w:pPr>
        <w:ind w:left="640" w:hanging="15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the resolution of litigation and other legal proceedings.</w:t>
      </w:r>
    </w:p>
    <w:p>
      <w:pPr>
        <w:spacing w:after="0" w:line="148"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within this Form 10-Q and in our Annual Report on Form 10-K for the fiscal year ended October 31,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52"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April 30, 2025, and for the three and six months ended April 30, 2025 and 2024, included elsewhere herein. For additional information pertaining to our business, including risk factors which should be considered before investing in our common stock, refer to our Annual Report on Form 10-K for the fiscal year ended October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3"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We are a leading manufacturer and component supplier to original equipment manufacturers (OEMs) in various industries, including window, door, solar, refrigeration, custom mixing, building access, and cabinetry markets. The majority of these components can be categorized as window and door (fenestration) components and kitchen and bath cabinet components. Examples of fenestration components include energy-efficient flexible insulating glass spacers, extruded vinyl profiles, window and door screens, precision-formed metal and wood products, window and door seals, and window and door hardware. In addition, we provide certain other non-fenestration components and products, which include solar panel sealants, trim moldings, vinyl decking, water retention barriers, conservatory roof components, and building access solutions. For additional discussion of our reportable business segments, see Note 14,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7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manufacturing and distribution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30"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We currently have four reportable business segments: (1) North American Fenestration segment (“NA Fenestration”), comprising four operating segments, consisting of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(3) North American Cabinet Components segment (“NA Cabinet Components”), comprising our North American cabinet door and components business and two wood-manufacturing plants,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are monitoring the rapidly evolving tariff and global trade policies and we are working with our suppliers and customers to mitigate potential impacts on our business. The extent and duration of the tariffs and the resulting impact on general economic conditions on our business are uncertain and depend on various factors, such as negotiations between the U.S. and affected countries, the responses of other countries or regions, exemptions that may be granted, availability and cost of alternative sources of supply and demand for our products in affected markets.</w:t>
      </w:r>
    </w:p>
    <w:p>
      <w:pPr>
        <w:spacing w:after="0" w:line="13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a company incorporated in England and Wales (the “Tyman Acquisition”). The aggregate consideration due pursuant to the Tyman Acquisition at closing comprised of 14,139,477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13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5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In April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7"/>
          <w:szCs w:val="17"/>
          <w:color w:val="auto"/>
        </w:rPr>
        <w:t>, the NAHB forecasted calendar-year housing starts to be approximately 1.4 million in the 2025 and 2026 calendar-years and 1.5 million 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2027. In May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7"/>
          <w:szCs w:val="17"/>
          <w:color w:val="auto"/>
        </w:rPr>
        <w:t>, the Ducker forecast indicated that total window shipments are expected to decrease 2.6% in calendar-year 2025 and increase 1.2% in 2026.</w:t>
      </w:r>
    </w:p>
    <w:p>
      <w:pPr>
        <w:spacing w:after="0" w:line="14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2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2025 Compared to Three Months Ended April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7"/>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266,201</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186,277</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121,133</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7"/>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151,026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159,774</w:t>
            </w:r>
          </w:p>
        </w:tc>
        <w:tc>
          <w:tcPr>
            <w:tcW w:w="1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(8,748)</w:t>
            </w:r>
          </w:p>
        </w:tc>
        <w:tc>
          <w:tcPr>
            <w:tcW w:w="138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4"/>
              </w:rPr>
              <w:t>(5)%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113,760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(8,501)</w:t>
            </w:r>
          </w:p>
        </w:tc>
        <w:tc>
          <w:tcPr>
            <w:tcW w:w="138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4"/>
              </w:rPr>
              <w:t>(7)%</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5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15,938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2,208</w:t>
            </w:r>
          </w:p>
        </w:tc>
        <w:tc>
          <w:tcPr>
            <w:tcW w:w="13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4,667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138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0"/>
                <w:szCs w:val="20"/>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16,661</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w:t>
            </w:r>
          </w:p>
        </w:tc>
        <w:tc>
          <w:tcPr>
            <w:tcW w:w="138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$8.7 million, or 5%, for the three months ended April 30, 2025 compared to the same period in 2024,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$10.4 million decrease in volumes mainly due to softer market demand driven by weaker consumer confidence partially offset by a $1.7 million increase in price and raw material indexes.</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$8.5 million, or 7%, for the three months ended April 30, 2025 compared to the same period in 2024.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primarily due to decrease in volumes partially offset by pricing and inflation of raw materials during the period.</w:t>
      </w:r>
    </w:p>
    <w:p>
      <w:pPr>
        <w:spacing w:after="0" w:line="85"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$2.2 million, or 16%, for the three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The increase is primarily due to increases in labor costs partially offset by a decrease in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jc w:val="right"/>
              <w:ind w:right="8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61,257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56,583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35,694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10,478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$4.7 million, or 8%, for the three months ended April 30, 2025 compared to the same period in 2024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 million increase in volumes due to improved demand period over period and $0.2 million of favorable foreign currency rate change partially offset by $0.6 million of base price decreases.</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$3.3 million, or 9%, for the three months ended April 30, 2025 compared to the same period in 2024.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an increase in volumes and foreign currency impacts, partially offset by deflation in the price of raw materials.</w:t>
      </w:r>
    </w:p>
    <w:p>
      <w:pPr>
        <w:spacing w:after="0" w:line="85"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$1.2 million, or 15%, for the three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The increase is primarily due to increases in labor costs partially offset by a decrease in professional fees year-over-year.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jc w:val="right"/>
              <w:ind w:right="8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51,078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4"/>
              </w:rPr>
              <w:t>(1)%</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tcBorders>
              <w:bottom w:val="single" w:sz="8" w:color="CCEEFF"/>
            </w:tcBorders>
          </w:tcPr>
          <w:p>
            <w:pPr>
              <w:jc w:val="center"/>
              <w:ind w:left="15"/>
              <w:spacing w:after="0"/>
              <w:rPr>
                <w:sz w:val="20"/>
                <w:szCs w:val="20"/>
                <w:color w:val="auto"/>
              </w:rPr>
            </w:pPr>
            <w:r>
              <w:rPr>
                <w:rFonts w:ascii="Times New Roman" w:cs="Times New Roman" w:eastAsia="Times New Roman" w:hAnsi="Times New Roman"/>
                <w:sz w:val="18"/>
                <w:szCs w:val="18"/>
                <w:color w:val="auto"/>
                <w:w w:val="94"/>
              </w:rPr>
              <w:t>(2)%</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(70)%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$0.2 million for the three months ended April 30, 2025 compared to the same period in 2024, which was driven by a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raw material surcharges partially offset by a $1.5 million decrease in volumes due to softer market demand driven by weaker consumer confidence.</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$0.2 million, or 1%, for the three months ended April 30, 2025 compared to the same period in 2024.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inflation of raw materials partially offset by lower volumes year-over-year.</w:t>
      </w:r>
    </w:p>
    <w:p>
      <w:pPr>
        <w:spacing w:after="0" w:line="98"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8"/>
          <w:szCs w:val="18"/>
          <w:color w:val="auto"/>
        </w:rPr>
        <w:t>elling, general and administrative expenses increased $0.7 million, or 13.0%, for the three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2024. The increase is primarily due to increases in labor costs partially offset by a decrease in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Tyman</w:t>
      </w:r>
    </w:p>
    <w:p>
      <w:pPr>
        <w:spacing w:after="0" w:line="13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Tyman reportable segment is composed solely of the Tyman business acquired on August 1, 2024. For additional discussion of our acquisition of Tyman, see Note 2, “Acquisition.” The results for the three months ended April 30, 2025 are summarized in the following table (including the $0.9 million of reorganization charges incurred to support the acquisition during the three months ended April 30,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59"/>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7"/>
              <w:spacing w:after="0" w:line="159" w:lineRule="exact"/>
              <w:rPr>
                <w:sz w:val="20"/>
                <w:szCs w:val="20"/>
                <w:color w:val="auto"/>
              </w:rPr>
            </w:pPr>
            <w:r>
              <w:rPr>
                <w:rFonts w:ascii="Times New Roman" w:cs="Times New Roman" w:eastAsia="Times New Roman" w:hAnsi="Times New Roman"/>
                <w:sz w:val="16"/>
                <w:szCs w:val="16"/>
                <w:b w:val="1"/>
                <w:bCs w:val="1"/>
                <w:color w:val="auto"/>
                <w:w w:val="99"/>
              </w:rPr>
              <w:t>Ended April 30,</w:t>
            </w:r>
          </w:p>
        </w:tc>
      </w:tr>
      <w:tr>
        <w:trPr>
          <w:trHeight w:val="211"/>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73"/>
        </w:trPr>
        <w:tc>
          <w:tcPr>
            <w:tcW w:w="4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2"/>
                <w:szCs w:val="12"/>
                <w:b w:val="1"/>
                <w:bCs w:val="1"/>
                <w:color w:val="auto"/>
              </w:rPr>
              <w:t>(Dollars in thousands)</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190,107</w:t>
            </w:r>
          </w:p>
        </w:tc>
      </w:tr>
      <w:tr>
        <w:trPr>
          <w:trHeight w:val="22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126,743</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37,271</w:t>
            </w:r>
          </w:p>
        </w:tc>
      </w:tr>
      <w:tr>
        <w:trPr>
          <w:trHeight w:val="22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936</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8,775</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16,382</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840480" cy="159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0480" cy="159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2"/>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Unallocated Corporate &amp; Other</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5"/>
        </w:trPr>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0" w:type="dxa"/>
            <w:vAlign w:val="bottom"/>
            <w:tcBorders>
              <w:bottom w:val="single" w:sz="8" w:color="auto"/>
            </w:tcBorders>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69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(7)%</w:t>
            </w:r>
          </w:p>
        </w:tc>
      </w:tr>
      <w:tr>
        <w:trPr>
          <w:trHeight w:val="225"/>
        </w:trPr>
        <w:tc>
          <w:tcPr>
            <w:tcW w:w="20" w:type="dxa"/>
            <w:vAlign w:val="bottom"/>
          </w:tcPr>
          <w:p>
            <w:pPr>
              <w:spacing w:after="0"/>
              <w:rPr>
                <w:sz w:val="19"/>
                <w:szCs w:val="19"/>
                <w:color w:val="auto"/>
              </w:rPr>
            </w:pP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6"/>
              </w:rPr>
              <w:t>32%</w:t>
            </w:r>
          </w:p>
        </w:tc>
      </w:tr>
      <w:tr>
        <w:trPr>
          <w:trHeight w:val="225"/>
        </w:trPr>
        <w:tc>
          <w:tcPr>
            <w:tcW w:w="20" w:type="dxa"/>
            <w:vAlign w:val="bottom"/>
          </w:tcPr>
          <w:p>
            <w:pPr>
              <w:spacing w:after="0"/>
              <w:rPr>
                <w:sz w:val="19"/>
                <w:szCs w:val="19"/>
                <w:color w:val="auto"/>
              </w:rPr>
            </w:pP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(71)%</w:t>
            </w:r>
          </w:p>
        </w:tc>
      </w:tr>
      <w:tr>
        <w:trPr>
          <w:trHeight w:val="225"/>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8"/>
                <w:szCs w:val="18"/>
                <w:color w:val="auto"/>
                <w:w w:val="96"/>
              </w:rPr>
              <w:t>36%</w:t>
            </w:r>
          </w:p>
        </w:tc>
      </w:tr>
      <w:tr>
        <w:trPr>
          <w:trHeight w:val="243"/>
        </w:trPr>
        <w:tc>
          <w:tcPr>
            <w:tcW w:w="20" w:type="dxa"/>
            <w:vAlign w:val="bottom"/>
          </w:tcPr>
          <w:p>
            <w:pPr>
              <w:spacing w:after="0"/>
              <w:rPr>
                <w:sz w:val="20"/>
                <w:szCs w:val="20"/>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4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(68)%</w:t>
            </w: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Net sales for Unallocated Corporate &amp; Other represents the elimination of inter-segment sales for the three months ended April 30, 2025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4" w:lineRule="exact"/>
        <w:rPr>
          <w:sz w:val="20"/>
          <w:szCs w:val="20"/>
          <w:color w:val="auto"/>
        </w:rPr>
      </w:pPr>
    </w:p>
    <w:p>
      <w:pPr>
        <w:ind w:left="440"/>
        <w:spacing w:after="0" w:line="369" w:lineRule="auto"/>
        <w:rPr>
          <w:sz w:val="20"/>
          <w:szCs w:val="20"/>
          <w:color w:val="auto"/>
        </w:rPr>
      </w:pPr>
      <w:r>
        <w:rPr>
          <w:rFonts w:ascii="Times New Roman" w:cs="Times New Roman" w:eastAsia="Times New Roman" w:hAnsi="Times New Roman"/>
          <w:sz w:val="17"/>
          <w:szCs w:val="17"/>
          <w:i w:val="1"/>
          <w:iCs w:val="1"/>
          <w:color w:val="auto"/>
        </w:rPr>
        <w:t>Cost of Sales</w:t>
      </w:r>
      <w:r>
        <w:rPr>
          <w:rFonts w:ascii="Times New Roman" w:cs="Times New Roman" w:eastAsia="Times New Roman" w:hAnsi="Times New Roman"/>
          <w:sz w:val="17"/>
          <w:szCs w:val="17"/>
          <w:color w:val="auto"/>
        </w:rPr>
        <w:t>. Cost of sales for Unallocated Corporate &amp; Other consists of the elimination of inter-segment sales, profit in inventory, and other costs.</w:t>
      </w:r>
      <w:r>
        <w:rPr>
          <w:rFonts w:ascii="Times New Roman" w:cs="Times New Roman" w:eastAsia="Times New Roman" w:hAnsi="Times New Roman"/>
          <w:sz w:val="17"/>
          <w:szCs w:val="17"/>
          <w:i w:val="1"/>
          <w:iCs w:val="1"/>
          <w:color w:val="auto"/>
        </w:rPr>
        <w:t xml:space="preserve"> Selling, General and Administrative</w:t>
      </w:r>
      <w:r>
        <w:rPr>
          <w:rFonts w:ascii="Times New Roman" w:cs="Times New Roman" w:eastAsia="Times New Roman" w:hAnsi="Times New Roman"/>
          <w:sz w:val="17"/>
          <w:szCs w:val="17"/>
          <w:color w:val="auto"/>
        </w:rPr>
        <w:t>. Selling, general and administrative expenses decreased $5.7 million, or 71%, for the three months ended April 30,</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2025 compared to the same period in 2024. This decrease is primarily attributable to a decrease in transaction and advisory fees and lower compensation expense including the valuations of our stock-based compensation awards partially offset by an increase in medical expenses during the three months ended April 30, 2025 as compared to the prior 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4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$13.0 million for the three months ended April 30, 2025 compared to the same period in 2024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borrowings outstanding during the three months ended April 30, 2025 as compared to the prior year period.</w:t>
      </w:r>
    </w:p>
    <w:p>
      <w:pPr>
        <w:spacing w:after="0" w:line="111" w:lineRule="exact"/>
        <w:rPr>
          <w:sz w:val="20"/>
          <w:szCs w:val="20"/>
          <w:color w:val="auto"/>
        </w:rPr>
      </w:pPr>
    </w:p>
    <w:p>
      <w:pPr>
        <w:jc w:val="both"/>
        <w:ind w:firstLine="437"/>
        <w:spacing w:after="0" w:line="24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$6.3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5"/>
          <w:szCs w:val="15"/>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$26.8 million for the three months ended April 30, 2025,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23.5%, and income tax </w:t>
      </w:r>
      <w:r>
        <w:rPr>
          <w:rFonts w:ascii="Times New Roman" w:cs="Times New Roman" w:eastAsia="Times New Roman" w:hAnsi="Times New Roman"/>
          <w:sz w:val="15"/>
          <w:szCs w:val="15"/>
          <w:color w:val="auto"/>
        </w:rPr>
        <w:t>expense</w:t>
      </w:r>
      <w:r>
        <w:rPr>
          <w:rFonts w:ascii="Times New Roman" w:cs="Times New Roman" w:eastAsia="Times New Roman" w:hAnsi="Times New Roman"/>
          <w:sz w:val="18"/>
          <w:szCs w:val="18"/>
          <w:color w:val="auto"/>
        </w:rPr>
        <w:t xml:space="preserve"> of $4.3 million on pre-tax </w:t>
      </w:r>
      <w:r>
        <w:rPr>
          <w:rFonts w:ascii="Times New Roman" w:cs="Times New Roman" w:eastAsia="Times New Roman" w:hAnsi="Times New Roman"/>
          <w:sz w:val="15"/>
          <w:szCs w:val="15"/>
          <w:color w:val="auto"/>
        </w:rPr>
        <w:t>income</w:t>
      </w:r>
      <w:r>
        <w:rPr>
          <w:rFonts w:ascii="Times New Roman" w:cs="Times New Roman" w:eastAsia="Times New Roman" w:hAnsi="Times New Roman"/>
          <w:sz w:val="18"/>
          <w:szCs w:val="18"/>
          <w:color w:val="auto"/>
        </w:rPr>
        <w:t xml:space="preserve"> of $19.7 million for the three months ended April 30, 2024, an effective rate of 21.9%. The increase in the effective tax rate year-over-year was primarily driven by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April 30, 2025 Compared to Six Months Ended April 30,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7"/>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852,522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505,356</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347,166</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241,138</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69,913</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7"/>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285,359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307,769</w:t>
            </w:r>
          </w:p>
        </w:tc>
        <w:tc>
          <w:tcPr>
            <w:tcW w:w="1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(22,410)</w:t>
            </w:r>
          </w:p>
        </w:tc>
        <w:tc>
          <w:tcPr>
            <w:tcW w:w="13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220,327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(20,302)</w:t>
            </w:r>
          </w:p>
        </w:tc>
        <w:tc>
          <w:tcPr>
            <w:tcW w:w="13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32,071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2,431</w:t>
            </w:r>
          </w:p>
        </w:tc>
        <w:tc>
          <w:tcPr>
            <w:tcW w:w="13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4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9,446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c>
          <w:tcPr>
            <w:tcW w:w="138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23,515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(3,292)</w:t>
            </w:r>
          </w:p>
        </w:tc>
        <w:tc>
          <w:tcPr>
            <w:tcW w:w="138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$22.4 million, or 7%, for the six months ended April 30, 2025 compared to the same period in 2024, which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$25.8 million decrease in volumes mainly due to softer market demand driven by weaker consumer confidence partially offset by a $3.4 million increase in price and raw material indexes.</w:t>
      </w:r>
    </w:p>
    <w:p>
      <w:pPr>
        <w:spacing w:after="0" w:line="105"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$20.3 million, or 8%, for the six months ended April 30, 2025 as compared to the same period in 2024.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decreased primarily due to a decrease in volumes partially offset by inflation of raw materials during the period.</w:t>
      </w:r>
    </w:p>
    <w:p>
      <w:pPr>
        <w:spacing w:after="0" w:line="98"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$2.4 million, or 8%,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same period in 2024. The increase is primarily due to increases in labor costs partially offset by a decrease in professional fees year-over-year.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4"/>
          </w:tcPr>
          <w:p>
            <w:pPr>
              <w:jc w:val="right"/>
              <w:ind w:right="8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109,728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106,020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67,397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4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15,618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5,096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0" w:type="dxa"/>
            <w:vAlign w:val="bottom"/>
            <w:tcBorders>
              <w:bottom w:val="single" w:sz="8" w:color="CCEEFF"/>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17,909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$3.7 million, or 3%, comparing the six months ended April 30, 2025 to the same period in 2024, which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$4.6 million increase in volumes largely due to improved demand year over year and $0.2 million of favorable foreign currency rate change partially offset by $1.1 million of base price decreases.</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$2.2 million, or 3%, for the six months ended April 30, 2025 compared to the same period in 2024.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an increase in volumes and foreign currency impacts, partially offset by deflation in the price of raw materials.</w:t>
      </w:r>
    </w:p>
    <w:p>
      <w:pPr>
        <w:spacing w:after="0" w:line="85" w:lineRule="exact"/>
        <w:rPr>
          <w:sz w:val="20"/>
          <w:szCs w:val="20"/>
          <w:color w:val="auto"/>
        </w:rPr>
      </w:pPr>
    </w:p>
    <w:p>
      <w:pPr>
        <w:jc w:val="both"/>
        <w:ind w:firstLine="437"/>
        <w:spacing w:after="0" w:line="303"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w:t>
      </w:r>
      <w:r>
        <w:rPr>
          <w:rFonts w:ascii="Times New Roman" w:cs="Times New Roman" w:eastAsia="Times New Roman" w:hAnsi="Times New Roman"/>
          <w:sz w:val="17"/>
          <w:szCs w:val="17"/>
          <w:color w:val="auto"/>
        </w:rPr>
        <w:t>Selling, general and administrative expense increased $1.3 million, or 9%, for the six months ended April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2024. The increase is primarily due to increases in labor costs partially offset by a decrease in professional fees year-over-year.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Six Months Ended April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4"/>
          </w:tcPr>
          <w:p>
            <w:pPr>
              <w:jc w:val="center"/>
              <w:ind w:right="31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95,047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94,215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832</w:t>
            </w:r>
          </w:p>
        </w:tc>
        <w:tc>
          <w:tcPr>
            <w:tcW w:w="14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81,821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81,367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454</w:t>
            </w:r>
          </w:p>
        </w:tc>
        <w:tc>
          <w:tcPr>
            <w:tcW w:w="14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800</w:t>
            </w:r>
          </w:p>
        </w:tc>
        <w:tc>
          <w:tcPr>
            <w:tcW w:w="14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7"/>
              </w:rPr>
              <w:t>(123)</w:t>
            </w:r>
          </w:p>
        </w:tc>
        <w:tc>
          <w:tcPr>
            <w:tcW w:w="1400" w:type="dxa"/>
            <w:vAlign w:val="bottom"/>
            <w:tcBorders>
              <w:bottom w:val="single" w:sz="8" w:color="CCEEFF"/>
            </w:tcBorders>
          </w:tcPr>
          <w:p>
            <w:pPr>
              <w:jc w:val="right"/>
              <w:ind w:right="3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(299)</w:t>
            </w:r>
          </w:p>
        </w:tc>
        <w:tc>
          <w:tcPr>
            <w:tcW w:w="140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$0.8 million, or 1%, for the six months ended April 30, 2025 compared to the same period in 2024, which was driven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 million increase in raw material surcharges partially offset by a $2.9 million decrease in volumes due to softer market demand driven by weaker consumer confidence.</w:t>
      </w:r>
    </w:p>
    <w:p>
      <w:pPr>
        <w:spacing w:after="0" w:line="111"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$0.5 million, or 1%, for the six months ended April 30, 2025 compared with the same period in 2024.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primarily as a result of inflation of raw materials partially offset by lower volumes year-over-year.</w:t>
      </w:r>
    </w:p>
    <w:p>
      <w:pPr>
        <w:spacing w:after="0" w:line="98" w:lineRule="exact"/>
        <w:rPr>
          <w:sz w:val="20"/>
          <w:szCs w:val="20"/>
          <w:color w:val="auto"/>
        </w:rPr>
      </w:pPr>
    </w:p>
    <w:p>
      <w:pPr>
        <w:jc w:val="both"/>
        <w:ind w:firstLine="437"/>
        <w:spacing w:after="0" w:line="303" w:lineRule="auto"/>
        <w:rPr>
          <w:sz w:val="20"/>
          <w:szCs w:val="20"/>
          <w:color w:val="auto"/>
        </w:rPr>
      </w:pPr>
      <w:r>
        <w:rPr>
          <w:rFonts w:ascii="Times New Roman" w:cs="Times New Roman" w:eastAsia="Times New Roman" w:hAnsi="Times New Roman"/>
          <w:sz w:val="17"/>
          <w:szCs w:val="17"/>
          <w:i w:val="1"/>
          <w:iCs w:val="1"/>
          <w:color w:val="auto"/>
        </w:rPr>
        <w:t>Selling, General and Administrative</w:t>
      </w:r>
      <w:r>
        <w:rPr>
          <w:rFonts w:ascii="Times New Roman" w:cs="Times New Roman" w:eastAsia="Times New Roman" w:hAnsi="Times New Roman"/>
          <w:sz w:val="17"/>
          <w:szCs w:val="17"/>
          <w:color w:val="auto"/>
        </w:rPr>
        <w:t>. Selling, general and administrative expense increased $0.8 million, or 8%, for the six months ended April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2024. The increase is primarily due to increases in labor costs partially offset by a decrease in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Tyman</w:t>
      </w:r>
    </w:p>
    <w:p>
      <w:pPr>
        <w:spacing w:after="0" w:line="13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Tyman reportable segment is comprised solely of the business acquired on August 1, 2024. The results for the six months ended April 30, 2025 are summarized in the following table (including the effect of the amortization of the step-up of inventory of approximately $9.0 million and $8.8 million of reorganization charges incurred to support the acquisition during the six months ended April 30,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1"/>
        </w:trPr>
        <w:tc>
          <w:tcPr>
            <w:tcW w:w="4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April 30, 2025</w:t>
            </w:r>
          </w:p>
        </w:tc>
      </w:tr>
      <w:tr>
        <w:trPr>
          <w:trHeight w:val="173"/>
        </w:trPr>
        <w:tc>
          <w:tcPr>
            <w:tcW w:w="4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2"/>
                <w:szCs w:val="12"/>
                <w:b w:val="1"/>
                <w:bCs w:val="1"/>
                <w:color w:val="auto"/>
              </w:rPr>
              <w:t>(Dollars in thousands)</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365,783</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2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259,539</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71,649</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8,840</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23,038</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2,717</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840480" cy="159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40480" cy="159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99"/>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Unallocated Corporate &amp; Other</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8"/>
        </w:trPr>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400" w:type="dxa"/>
            <w:vAlign w:val="bottom"/>
            <w:tcBorders>
              <w:bottom w:val="single" w:sz="8" w:color="auto"/>
            </w:tcBorders>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76"/>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695"/>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20" w:type="dxa"/>
            <w:vAlign w:val="bottom"/>
          </w:tcPr>
          <w:p>
            <w:pPr>
              <w:spacing w:after="0"/>
              <w:rPr>
                <w:sz w:val="19"/>
                <w:szCs w:val="19"/>
                <w:color w:val="auto"/>
              </w:rPr>
            </w:pP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20" w:type="dxa"/>
            <w:vAlign w:val="bottom"/>
          </w:tcPr>
          <w:p>
            <w:pPr>
              <w:spacing w:after="0"/>
              <w:rPr>
                <w:sz w:val="19"/>
                <w:szCs w:val="19"/>
                <w:color w:val="auto"/>
              </w:rPr>
            </w:pPr>
          </w:p>
        </w:tc>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4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(54)%</w:t>
            </w:r>
          </w:p>
        </w:tc>
      </w:tr>
      <w:tr>
        <w:trPr>
          <w:trHeight w:val="225"/>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Borders>
              <w:bottom w:val="single" w:sz="8" w:color="CCEEFF"/>
            </w:tcBorders>
          </w:tcPr>
          <w:p>
            <w:pPr>
              <w:jc w:val="right"/>
              <w:ind w:right="395"/>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20" w:type="dxa"/>
            <w:vAlign w:val="bottom"/>
          </w:tcPr>
          <w:p>
            <w:pPr>
              <w:spacing w:after="0"/>
              <w:rPr>
                <w:sz w:val="20"/>
                <w:szCs w:val="20"/>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40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six months ended April 30,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4" w:lineRule="exact"/>
        <w:rPr>
          <w:sz w:val="20"/>
          <w:szCs w:val="20"/>
          <w:color w:val="auto"/>
        </w:rPr>
      </w:pPr>
    </w:p>
    <w:p>
      <w:pPr>
        <w:ind w:left="440"/>
        <w:spacing w:after="0" w:line="348"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Selling, general and administrative expenses decreased $6.3 million, or 54%, for the six months ended April 30,</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2025 compared to the same period in 2024. This decrease is primarily attributable to a decrease in transaction and advisory fees and lower compensation expense including the valuations of our stock-based compensation awards partially offset by an increase in medical expenses during the six months ended April 30, 2025 as compared to the prior 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8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$26.1 million for the six months ended April 30, 2025 compared to the same period in 2024 primarily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higher borrowings outstanding during the six months ended April 30, 2025 as compared to the prior year period.</w:t>
      </w:r>
    </w:p>
    <w:p>
      <w:pPr>
        <w:spacing w:after="0" w:line="111" w:lineRule="exact"/>
        <w:rPr>
          <w:sz w:val="20"/>
          <w:szCs w:val="20"/>
          <w:color w:val="auto"/>
        </w:rPr>
      </w:pPr>
    </w:p>
    <w:p>
      <w:pPr>
        <w:jc w:val="both"/>
        <w:ind w:firstLine="437"/>
        <w:spacing w:after="0" w:line="23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$1.3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5"/>
          <w:szCs w:val="15"/>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$6.9 million for the six months ended April 30, 2025, an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of 18.3%, and income tax </w:t>
      </w:r>
      <w:r>
        <w:rPr>
          <w:rFonts w:ascii="Times New Roman" w:cs="Times New Roman" w:eastAsia="Times New Roman" w:hAnsi="Times New Roman"/>
          <w:sz w:val="15"/>
          <w:szCs w:val="15"/>
          <w:color w:val="auto"/>
        </w:rPr>
        <w:t>expense</w:t>
      </w:r>
      <w:r>
        <w:rPr>
          <w:rFonts w:ascii="Times New Roman" w:cs="Times New Roman" w:eastAsia="Times New Roman" w:hAnsi="Times New Roman"/>
          <w:sz w:val="18"/>
          <w:szCs w:val="18"/>
          <w:color w:val="auto"/>
        </w:rPr>
        <w:t xml:space="preserve"> of $6.0 million on a pre-tax income of $27.6 million for the six months ended April 30, 2024, an effective rate of 21.6%. The decrease in the effective tax rate year-over-year was primarily driven by discrete items.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Company’s Second Amended and Restated Credit Agreement, dated as of July 6, 2022 (the “Existing Credit Agreement”, and the Existing Credit Agreement as so amended, the “Amended Credit Agreement”). The Amended Credit Agreement became effective on August 1, 2024 upon the completion of the Tyman Acquisition.</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includes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8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of April 30, 2025, we had $62.6 million of cash and equivalents, $723.8 million outstanding under the Facilities, $6.1 million of outstanding letters of credit, and $61.3 million outstanding under finance leases and other debt. Of the $61.3 million outstanding under finance leases and other debt, $57.4 million relates to real estate leases. We had $226.4 million available for use under the Revolving Credit Agreement at April 30, 2025.</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April 30, 2025, we purchased 1,259,407 shares under this program and as of April 30, 2025 we have a maximum of $35.6 million available to purchase shares under this program. The program does not have an expiration date or a limit on the number of shares that may be purchased.</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repatriated $23.0 million and $15.3 million of foreign cash during the six months ended April 30, 2025 and 2024,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six months ended April 30,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960" w:type="dxa"/>
            <w:vAlign w:val="bottom"/>
          </w:tcPr>
          <w:p>
            <w:pPr>
              <w:spacing w:after="0"/>
              <w:rPr>
                <w:sz w:val="16"/>
                <w:szCs w:val="16"/>
                <w:color w:val="auto"/>
              </w:rPr>
            </w:pPr>
          </w:p>
        </w:tc>
      </w:tr>
      <w:tr>
        <w:trPr>
          <w:trHeight w:val="199"/>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spacing w:after="0"/>
              <w:rPr>
                <w:sz w:val="17"/>
                <w:szCs w:val="17"/>
                <w:color w:val="auto"/>
              </w:rPr>
            </w:pPr>
          </w:p>
        </w:tc>
      </w:tr>
      <w:tr>
        <w:trPr>
          <w:trHeight w:val="24"/>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6"/>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2"/>
          </w:tcPr>
          <w:p>
            <w:pPr>
              <w:jc w:val="center"/>
              <w:ind w:left="523"/>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960" w:type="dxa"/>
            <w:vAlign w:val="bottom"/>
          </w:tcPr>
          <w:p>
            <w:pPr>
              <w:spacing w:after="0"/>
              <w:rPr>
                <w:sz w:val="15"/>
                <w:szCs w:val="15"/>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8"/>
                <w:szCs w:val="18"/>
                <w:color w:val="auto"/>
                <w:w w:val="96"/>
              </w:rPr>
              <w:t>15,987</w:t>
            </w:r>
          </w:p>
        </w:tc>
        <w:tc>
          <w:tcPr>
            <w:tcW w:w="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36,945</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363"/>
              <w:spacing w:after="0"/>
              <w:rPr>
                <w:sz w:val="20"/>
                <w:szCs w:val="20"/>
                <w:color w:val="auto"/>
              </w:rPr>
            </w:pPr>
            <w:r>
              <w:rPr>
                <w:rFonts w:ascii="Times New Roman" w:cs="Times New Roman" w:eastAsia="Times New Roman" w:hAnsi="Times New Roman"/>
                <w:sz w:val="18"/>
                <w:szCs w:val="18"/>
                <w:color w:val="auto"/>
                <w:w w:val="97"/>
              </w:rPr>
              <w:t>(26,168)</w:t>
            </w:r>
          </w:p>
        </w:tc>
        <w:tc>
          <w:tcPr>
            <w:tcW w:w="6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7"/>
              </w:rPr>
              <w:t>(17,090)</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8"/>
                <w:szCs w:val="18"/>
                <w:color w:val="auto"/>
                <w:w w:val="97"/>
              </w:rPr>
              <w:t>(30,320)</w:t>
            </w:r>
          </w:p>
        </w:tc>
        <w:tc>
          <w:tcPr>
            <w:tcW w:w="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7"/>
              </w:rPr>
              <w:t>(21,887)</w:t>
            </w:r>
          </w:p>
        </w:tc>
      </w:tr>
    </w:tbl>
    <w:p>
      <w:pPr>
        <w:spacing w:after="0" w:line="178"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decreased $21.0 million for the six months ended April 30, 2025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The decrease in operating cash flow is primarily due to a decrease in net income as a result of restructuring charges and amortization of inventory step-up charges related to the acquisition of Tyman, as well as year-over-year and unfavorable changes to net working capital.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increased $9.1 million for the six months ended April 30,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as a result of an increase in capital expenditures during the six months ended April 30, 2025 compared to the prior year period.</w:t>
      </w:r>
    </w:p>
    <w:p>
      <w:pPr>
        <w:spacing w:after="0" w:line="98"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increased $8.4 million for the six months ended April 30,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change in investing cash flows is primarily as a result of an increase in the purchase of treasury shares partially offset by an increase in borrowings in long-term debt.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6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six months ended April 30, 2025 and 2024, we repatriated $23.0 million and $15.3 million, respectively, of foreign earnings from our foreign locations. We maintain cash balances in foreign countries which total $46.0 million as of April 30,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2024. Our critical accounting policies and estimates have not changed materially during the six months ended April 30,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52"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6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138"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guidance is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13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68"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debt bears interest at variable rates and accordingly is sensitive to changes in interest rates. Based upon the balances of the variable rate debt at April 30, 2025, a hypothetical 1.0% increase or decrease in interest rates could result in approximately $7.2 million of additional pretax charges or credit to our net income per year. This sensitivity is impacted by the amount of borrowings under our credit facilities, and amounts outstanding under finance leases.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5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(“GBP”), and the Mexican Peso (“MXN”). From time to time, we enter into foreign exchange contracts associated with our operations to manage a portion of the foreign currency rate risk. As of April 30, 2025, we have outstanding forward foreign exchange contracts to hedge our foreign currency exposures against USD to GBP, with a notional principal amount of $1.0 million, and foreign currency exposures against MXN to USD, with a notional principal amount of $10.0 million. Hedge accounting is not applied to our foreign exchange contracts. During the six months ended April 30, 2025 and 2024, we recognized a net gain of $0.8 million and zero, respectively, related to our forward foreign exchange contracts. The value of our forward foreign exchange contracts fluctuate based on exchange rate fluctuations against USD to GBP, and the MXN to USD.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39"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manufacturing of vinyl extrusions. We have resin adjusters in place with a majority of our customers and our resin supplier that are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0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that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0"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the Tyman business, contractual price adjustment mechanisms are in place for key commodities including stainless steel and zinc for many large customers in the U.S. For those customers not covered by these contractual mechanisms, we have successfully implemented surcharges and general price increases to share the impact of price changes with our customers. Like our other commodities, there is exposure to short-term volatility due to a lag in the timing of implementing price increases.</w:t>
      </w:r>
    </w:p>
    <w:p>
      <w:pPr>
        <w:spacing w:after="0" w:line="1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w:t>
      </w:r>
    </w:p>
    <w:p>
      <w:pPr>
        <w:spacing w:after="0" w:line="1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Certain raw materials and commodities we use to manufacture our products are subject to tariffs. Currently, there is an uncertainty on how recently enacted tariffs and potential future tariffs may affect the price of these raw materials and commodities. We are constantly assessing potential supply chain vulnerability and implementing strategies (i.e. surcharges) 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mitigate potential tariff impacts. We are also utilizing local supply chains where possible to reduce supply and cost risks. Additionally, we continue to explore alternative supply sources and evaluate shifts in demand. Further discussion of our industry risks is included within our Annual Report on Form 10-K for the fiscal year ended October 31, 2024 and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within this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2025.</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October 31, 2024, we identified a material weakness in our internal controls over financial reporting in the design and operation of controls over the preparation and review of our Statement of Cash Flows. During the six months ended April 30, 2025, we implemented remediation efforts related to this material weakness and continue to monitor the effectiveness of these procedures. Our Chief Executive Officer and Chief Financial Officer have concluded that our disclosure controls and procedures were not effective as of April 30, 2025.</w:t>
      </w:r>
    </w:p>
    <w:p>
      <w:pPr>
        <w:spacing w:after="0" w:line="8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permitted under SEC rules, we have elected to exclude our recently acquired Tyman business (“Tyman”) from management’s assessment of the effectiveness of internal controls over financial reporting as of April 30, 2025. Prior to its acquisition by us on August 1, 2024, Tyman was listed publicly on the London Stock Exchange and reported financial results pursuant to International Financial Reporting Standards, and therefore was not subject to the Sarbanes-Oxley Act of 2002.</w:t>
      </w:r>
    </w:p>
    <w:p>
      <w:pPr>
        <w:spacing w:after="0" w:line="7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are actively engaged in remediation efforts to address the identified material weakness related to the Statement of Cash Flows. We will continue to monitor the effectiveness of these procedures and expect to conclude with our October 31, 2025 control evaluation. These efforts include:</w:t>
      </w:r>
    </w:p>
    <w:p>
      <w:pPr>
        <w:spacing w:after="0" w:line="6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review procedures over the preparation and validation of the statement of cash flows;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structured non-cash transaction checklist to improve classification accuracy;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quarterly and annual close procedures through additional review controls;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targeted training for finance personnel involved in the financial close and reporting process.</w:t>
      </w:r>
    </w:p>
    <w:p>
      <w:pPr>
        <w:spacing w:after="0" w:line="11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Notwithstanding the identified material weakness, our management has concluded that the financial statements included in this Form 10-Q fairly present in all material respects the financial position, results of operations and cash flows for the periods presented in conformity with generally accepted accounting principles.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During the six months ended April 30, 2025, we implemented additional review procedures and developed a structured non-cash transaction checklist for the Statement of Cash Flow as part of our remediation efforts. While we believe the identified material weakness will be fully remediated by our efforts, we will continue to monitor the effectiveness of our efforts and expect to conclude with our October 31, 2025 control evaluation.</w:t>
      </w:r>
    </w:p>
    <w:p>
      <w:pPr>
        <w:spacing w:after="0" w:line="7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Additionally, as of April 30, 2025, integration of internal controls at Tyman is in progress. Consistent with SEC guidance, management has excluded Tyman from its assessment of internal control over financial reporting for the reporting period ending April 30, 2025. We expect to complete the integration of Tyman’s financial reporting systems and internal control framework during fiscal 2025.</w:t>
      </w:r>
    </w:p>
    <w:p>
      <w:pPr>
        <w:spacing w:after="0" w:line="7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Other than the ongoing remediation efforts and the exclusion of Tyman, there have been no changes in our internal control over financial reporting (as defined in Rules 13a-15(f) and 15d-15(f) under the 1934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5" w:lineRule="exact"/>
        <w:rPr>
          <w:sz w:val="20"/>
          <w:szCs w:val="20"/>
          <w:color w:val="auto"/>
        </w:rPr>
      </w:pPr>
    </w:p>
    <w:p>
      <w:pPr>
        <w:ind w:right="20" w:firstLine="397"/>
        <w:spacing w:after="0" w:line="271"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fiscal year ended October 31, 2024 (Part I, Item 1A) other than as discussed below.</w:t>
      </w:r>
    </w:p>
    <w:p>
      <w:pPr>
        <w:spacing w:after="0" w:line="11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b w:val="1"/>
          <w:bCs w:val="1"/>
          <w:color w:val="auto"/>
        </w:rPr>
        <w:t>Regional or global barriers to trade or a global trade war could increase the cost of our raw materials and other products in the markets we serve, which could adversely impact the financial results of businesses serving those markets, including Quanex.</w:t>
      </w:r>
    </w:p>
    <w:p>
      <w:pPr>
        <w:spacing w:after="0" w:line="11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state of relationships between other countries and the United States with respect to trade policies, government relations and tariffs may impact our business. The U.S. government has and continues to make significant changes in U.S. trade policy and has taken certain actions that could negatively impact U.S. trade, including imposing tariffs on certain goods imported into the United States. There is concern that the imposition of tariffs by the United States could result in the adoption of tariffs or retaliatory measures by other countries, leading to a global trade war. Such tariffs or retaliatory measures could raise the cost and reduce the supply of certain raw materials, such as aluminum and wood, that are critical to our ability to manufacture our products. In the event of a global trade war or regional dispute, local suppliers may choose to allocate their resources to local players in their markets and provide us with less favorable terms. Raw material shortages and price increases could cause distribution delays and increase our costs, which in turn could reduce our competitiveness and impact our ability to do business with certain counterparties.</w:t>
      </w:r>
    </w:p>
    <w:p>
      <w:pPr>
        <w:spacing w:after="0" w:line="13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General geopolitical instability and the responses to it, such as the possibility of sanctions, trade restrictions and changes in tariffs, and the possibility of additional tariffs, non-tariff barriers or other trade restrictions between the United States and other countries where we might in the future manufacture, distribute or sell products, could adversely impact our business.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April 30, 2025, we repurchased common stock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 Maximum US Dollars Remaining</w:t>
            </w:r>
          </w:p>
        </w:tc>
        <w:tc>
          <w:tcPr>
            <w:tcW w:w="0" w:type="dxa"/>
            <w:vAlign w:val="bottom"/>
          </w:tcPr>
          <w:p>
            <w:pPr>
              <w:spacing w:after="0"/>
              <w:rPr>
                <w:sz w:val="1"/>
                <w:szCs w:val="1"/>
                <w:color w:val="auto"/>
              </w:rPr>
            </w:pPr>
          </w:p>
        </w:tc>
      </w:tr>
      <w:tr>
        <w:trPr>
          <w:trHeight w:val="146"/>
        </w:trPr>
        <w:tc>
          <w:tcPr>
            <w:tcW w:w="312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Used to Purchase</w:t>
            </w:r>
          </w:p>
        </w:tc>
        <w:tc>
          <w:tcPr>
            <w:tcW w:w="0" w:type="dxa"/>
            <w:vAlign w:val="bottom"/>
          </w:tcPr>
          <w:p>
            <w:pPr>
              <w:spacing w:after="0"/>
              <w:rPr>
                <w:sz w:val="1"/>
                <w:szCs w:val="1"/>
                <w:color w:val="auto"/>
              </w:rPr>
            </w:pPr>
          </w:p>
        </w:tc>
      </w:tr>
      <w:tr>
        <w:trPr>
          <w:trHeight w:val="199"/>
        </w:trPr>
        <w:tc>
          <w:tcPr>
            <w:tcW w:w="3120" w:type="dxa"/>
            <w:vAlign w:val="bottom"/>
            <w:gridSpan w:val="2"/>
            <w:vMerge w:val="continue"/>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9"/>
              </w:rPr>
              <w:t xml:space="preserve">Announced Plans or Programs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7"/>
                <w:szCs w:val="17"/>
                <w:color w:val="auto"/>
              </w:rPr>
            </w:pPr>
          </w:p>
        </w:tc>
        <w:tc>
          <w:tcPr>
            <w:tcW w:w="246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8"/>
              </w:rPr>
              <w:t xml:space="preserve">Shares Under the Plans or Programs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8"/>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59,108,618</w:t>
            </w:r>
          </w:p>
        </w:tc>
        <w:tc>
          <w:tcPr>
            <w:tcW w:w="0" w:type="dxa"/>
            <w:vAlign w:val="bottom"/>
          </w:tcPr>
          <w:p>
            <w:pPr>
              <w:spacing w:after="0"/>
              <w:rPr>
                <w:sz w:val="1"/>
                <w:szCs w:val="1"/>
                <w:color w:val="auto"/>
              </w:rPr>
            </w:pPr>
          </w:p>
        </w:tc>
      </w:tr>
      <w:tr>
        <w:trPr>
          <w:trHeight w:val="22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44,524,587</w:t>
            </w:r>
          </w:p>
        </w:tc>
        <w:tc>
          <w:tcPr>
            <w:tcW w:w="0" w:type="dxa"/>
            <w:vAlign w:val="bottom"/>
          </w:tcPr>
          <w:p>
            <w:pPr>
              <w:spacing w:after="0"/>
              <w:rPr>
                <w:sz w:val="1"/>
                <w:szCs w:val="1"/>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35,612,848</w:t>
            </w:r>
          </w:p>
        </w:tc>
        <w:tc>
          <w:tcPr>
            <w:tcW w:w="0" w:type="dxa"/>
            <w:vAlign w:val="bottom"/>
          </w:tcPr>
          <w:p>
            <w:pPr>
              <w:spacing w:after="0"/>
              <w:rPr>
                <w:sz w:val="1"/>
                <w:szCs w:val="1"/>
                <w:color w:val="auto"/>
              </w:rPr>
            </w:pPr>
          </w:p>
        </w:tc>
      </w:tr>
      <w:tr>
        <w:trPr>
          <w:trHeight w:val="218"/>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1,259,407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6"/>
        <w:spacing w:after="0" w:line="412" w:lineRule="auto"/>
        <w:tabs>
          <w:tab w:leader="none" w:pos="162"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December 2021, our Board of Directors approved a stock repurchase program that authorized the repurchase of up to $75.0 million worth of shares of our common stock. Repurchases under the new program are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1" w:lineRule="exact"/>
        <w:rPr>
          <w:sz w:val="20"/>
          <w:szCs w:val="20"/>
          <w:color w:val="auto"/>
        </w:rPr>
      </w:pPr>
    </w:p>
    <w:p>
      <w:pPr>
        <w:ind w:firstLine="397"/>
        <w:spacing w:after="0" w:line="301" w:lineRule="auto"/>
        <w:rPr>
          <w:sz w:val="20"/>
          <w:szCs w:val="20"/>
          <w:color w:val="auto"/>
        </w:rPr>
      </w:pPr>
      <w:r>
        <w:rPr>
          <w:rFonts w:ascii="Times New Roman" w:cs="Times New Roman" w:eastAsia="Times New Roman" w:hAnsi="Times New Roman"/>
          <w:sz w:val="17"/>
          <w:szCs w:val="17"/>
          <w:color w:val="auto"/>
        </w:rPr>
        <w:t>During the three months ended April 30, 2025,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54" w:lineRule="exact"/>
        <w:rPr>
          <w:sz w:val="20"/>
          <w:szCs w:val="20"/>
          <w:color w:val="auto"/>
        </w:rPr>
      </w:pPr>
    </w:p>
    <w:p>
      <w:pPr>
        <w:ind w:right="400" w:firstLine="397"/>
        <w:spacing w:after="0" w:line="271"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2"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73" w:lineRule="exact"/>
        <w:rPr>
          <w:sz w:val="20"/>
          <w:szCs w:val="20"/>
          <w:color w:val="auto"/>
        </w:rPr>
      </w:pPr>
    </w:p>
    <w:p>
      <w:pPr>
        <w:ind w:left="260"/>
        <w:spacing w:after="0"/>
        <w:tabs>
          <w:tab w:leader="none" w:pos="454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7"/>
          <w:szCs w:val="17"/>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42354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35450" cy="8255"/>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100" w:type="dxa"/>
            <w:vAlign w:val="bottom"/>
            <w:gridSpan w:val="23"/>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0" w:type="dxa"/>
            <w:vAlign w:val="bottom"/>
          </w:tcPr>
          <w:p>
            <w:pPr>
              <w:spacing w:after="0"/>
              <w:rPr>
                <w:sz w:val="1"/>
                <w:szCs w:val="1"/>
                <w:color w:val="auto"/>
              </w:rPr>
            </w:pPr>
          </w:p>
        </w:tc>
      </w:tr>
      <w:tr>
        <w:trPr>
          <w:trHeight w:val="210"/>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Exhibit Number</w:t>
            </w: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100" w:type="dxa"/>
            <w:vAlign w:val="bottom"/>
            <w:gridSpan w:val="23"/>
          </w:tcPr>
          <w:p>
            <w:pPr>
              <w:jc w:val="center"/>
              <w:ind w:right="2620"/>
              <w:spacing w:after="0"/>
              <w:rPr>
                <w:sz w:val="20"/>
                <w:szCs w:val="20"/>
                <w:color w:val="auto"/>
              </w:rPr>
            </w:pPr>
            <w:r>
              <w:rPr>
                <w:rFonts w:ascii="Times New Roman" w:cs="Times New Roman" w:eastAsia="Times New Roman" w:hAnsi="Times New Roman"/>
                <w:sz w:val="16"/>
                <w:szCs w:val="16"/>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1"/>
                <w:szCs w:val="21"/>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Rule 2.7 Announcement dated as of April 22, as filed as Exhibit 2.1 to the Registrant’s Current Report on Form 8-</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32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K (Reg. No. 001-33913), as filed with the Securities and Exchange Commission on April 22, 2024,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incorporated herein by reference.</w:t>
              </w:r>
            </w:hyperlink>
          </w:p>
        </w:tc>
        <w:tc>
          <w:tcPr>
            <w:tcW w:w="600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2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71">
              <w:r>
                <w:rPr>
                  <w:rFonts w:ascii="Times New Roman" w:cs="Times New Roman" w:eastAsia="Times New Roman" w:hAnsi="Times New Roman"/>
                  <w:sz w:val="18"/>
                  <w:szCs w:val="18"/>
                  <w:color w:val="0000FF"/>
                  <w:w w:val="97"/>
                </w:rPr>
                <w:t>incorporated herein by reference.</w:t>
              </w:r>
            </w:hyperlink>
          </w:p>
        </w:tc>
        <w:tc>
          <w:tcPr>
            <w:tcW w:w="606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Current Report on Form 8-K (Reg. No. 001-33913), as filed with the Securities and Exchange Commission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60" w:type="dxa"/>
            <w:vAlign w:val="bottom"/>
            <w:tcBorders>
              <w:bottom w:val="single" w:sz="8" w:color="0000FF"/>
            </w:tcBorders>
            <w:gridSpan w:val="3"/>
          </w:tcPr>
          <w:p>
            <w:pPr>
              <w:spacing w:after="0" w:line="165" w:lineRule="exact"/>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April 22, 2024, and incorporated herein by reference.</w:t>
              </w:r>
            </w:hyperlink>
          </w:p>
        </w:tc>
        <w:tc>
          <w:tcPr>
            <w:tcW w:w="4620" w:type="dxa"/>
            <w:vAlign w:val="bottom"/>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80" w:type="dxa"/>
            <w:vAlign w:val="bottom"/>
            <w:tcBorders>
              <w:top w:val="single" w:sz="8" w:color="0000FF"/>
            </w:tcBorders>
            <w:gridSpan w:val="12"/>
          </w:tcPr>
          <w:p>
            <w:pPr>
              <w:spacing w:after="0" w:line="165"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Commission on March 7, 2016,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incorporated herein by reference.</w:t>
              </w:r>
            </w:hyperlink>
          </w:p>
        </w:tc>
        <w:tc>
          <w:tcPr>
            <w:tcW w:w="58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4"/>
                <w:szCs w:val="24"/>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40" w:type="dxa"/>
            <w:vAlign w:val="bottom"/>
            <w:tcBorders>
              <w:top w:val="single" w:sz="8" w:color="0000FF"/>
              <w:bottom w:val="single" w:sz="8" w:color="0000FF"/>
            </w:tcBorders>
            <w:gridSpan w:val="15"/>
          </w:tcPr>
          <w:p>
            <w:pPr>
              <w:spacing w:after="0" w:line="132" w:lineRule="exact"/>
              <w:rPr>
                <w:rFonts w:ascii="Times New Roman" w:cs="Times New Roman" w:eastAsia="Times New Roman" w:hAnsi="Times New Roman"/>
                <w:sz w:val="15"/>
                <w:szCs w:val="15"/>
                <w:color w:val="0000FF"/>
              </w:rPr>
            </w:pPr>
            <w:hyperlink r:id="rId75">
              <w:r>
                <w:rPr>
                  <w:rFonts w:ascii="Times New Roman" w:cs="Times New Roman" w:eastAsia="Times New Roman" w:hAnsi="Times New Roman"/>
                  <w:sz w:val="15"/>
                  <w:szCs w:val="15"/>
                  <w:color w:val="0000FF"/>
                </w:rPr>
                <w:t>Registration Statement on Form 10-Q (Reg. No. 001-33913) as filed with the Securities and Exchange Commission</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bottom w:val="single" w:sz="8" w:color="0000FF"/>
            </w:tcBorders>
            <w:gridSpan w:val="3"/>
          </w:tcPr>
          <w:p>
            <w:pPr>
              <w:spacing w:after="0" w:line="165" w:lineRule="exact"/>
              <w:rPr>
                <w:rFonts w:ascii="Times New Roman" w:cs="Times New Roman" w:eastAsia="Times New Roman" w:hAnsi="Times New Roman"/>
                <w:sz w:val="18"/>
                <w:szCs w:val="18"/>
                <w:color w:val="0000FF"/>
                <w:w w:val="96"/>
              </w:rPr>
            </w:pPr>
            <w:hyperlink r:id="rId75">
              <w:r>
                <w:rPr>
                  <w:rFonts w:ascii="Times New Roman" w:cs="Times New Roman" w:eastAsia="Times New Roman" w:hAnsi="Times New Roman"/>
                  <w:sz w:val="18"/>
                  <w:szCs w:val="18"/>
                  <w:color w:val="0000FF"/>
                  <w:w w:val="96"/>
                </w:rPr>
                <w:t>on February 14, 2008, and incorporated herein by reference.</w:t>
              </w:r>
            </w:hyperlink>
          </w:p>
        </w:tc>
        <w:tc>
          <w:tcPr>
            <w:tcW w:w="418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40" w:type="dxa"/>
            <w:vAlign w:val="bottom"/>
            <w:gridSpan w:val="25"/>
            <w:vMerge w:val="restart"/>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3"/>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4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Registrant's Current Report on Form 8-K (Reg. No. 001-33913) as filed with the Securities and Exchange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60" w:type="dxa"/>
            <w:vAlign w:val="bottom"/>
            <w:gridSpan w:val="21"/>
          </w:tcPr>
          <w:p>
            <w:pPr>
              <w:spacing w:after="0" w:line="165"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Commission on July 6, 2022, and incorporated herein by reference.</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4"/>
          </w:tcPr>
          <w:p>
            <w:pPr>
              <w:jc w:val="center"/>
              <w:ind w:left="252"/>
              <w:spacing w:after="0"/>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40" w:type="dxa"/>
            <w:vAlign w:val="bottom"/>
            <w:gridSpan w:val="2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Amendment No.1 to the Second Amended and Restated Credit Agreement among the Company (acting as</w:t>
              </w:r>
            </w:hyperlink>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borrower), the Company subsidiaries acting as guarantors thereto, Wells Fargo Bank, National Association as</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2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agent, swingline lender and issuing lender, and the other parties thereto, dated as of June 12, 2024, filed as Exhibit</w:t>
              </w:r>
            </w:hyperlink>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Registrant’s Current Report on Form 8-K (Reg. No. 001-33913), as filed with the Securities and</w:t>
              </w:r>
            </w:hyperlink>
          </w:p>
        </w:tc>
        <w:tc>
          <w:tcPr>
            <w:tcW w:w="160" w:type="dxa"/>
            <w:vAlign w:val="bottom"/>
            <w:tcBorders>
              <w:bottom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gridSpan w:val="19"/>
          </w:tcPr>
          <w:p>
            <w:pPr>
              <w:spacing w:after="0" w:line="152"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Exchange Commission on June 12, 2024,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76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3"/>
                <w:szCs w:val="23"/>
                <w:color w:val="auto"/>
              </w:rPr>
            </w:pPr>
          </w:p>
        </w:tc>
        <w:tc>
          <w:tcPr>
            <w:tcW w:w="56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by chief executive officer pursuant to Rule 13a-14(a)/15d-14(a).</w:t>
            </w:r>
          </w:p>
        </w:tc>
        <w:tc>
          <w:tcPr>
            <w:tcW w:w="284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33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7"/>
              </w:rPr>
              <w:t>*101.INS</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86"/>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7"/>
              </w:rPr>
              <w:t>*101.SCH</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8"/>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6"/>
              </w:rPr>
              <w:t>*101.CAL</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8"/>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8"/>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6"/>
              </w:rPr>
              <w:t>*101.LAB</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8"/>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7"/>
              </w:rPr>
              <w:t>*101.PRE</w:t>
            </w: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0" w:lineRule="exact"/>
        <w:rPr>
          <w:sz w:val="20"/>
          <w:szCs w:val="20"/>
          <w:color w:val="auto"/>
        </w:rPr>
      </w:pPr>
    </w:p>
    <w:p>
      <w:pPr>
        <w:ind w:left="960" w:hanging="319"/>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0"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59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8"/>
          <w:szCs w:val="18"/>
          <w:color w:val="auto"/>
        </w:rPr>
      </w:pPr>
    </w:p>
    <w:p>
      <w:pPr>
        <w:ind w:left="1600" w:hanging="324"/>
        <w:spacing w:after="0" w:line="301" w:lineRule="auto"/>
        <w:tabs>
          <w:tab w:leader="none" w:pos="159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Times New Roman" w:cs="Times New Roman" w:eastAsia="Times New Roman" w:hAnsi="Times New Roman"/>
          <w:sz w:val="17"/>
          <w:szCs w:val="17"/>
          <w:color w:val="auto"/>
        </w:rPr>
      </w:pPr>
    </w:p>
    <w:p>
      <w:pPr>
        <w:jc w:val="both"/>
        <w:ind w:left="1600" w:hanging="324"/>
        <w:spacing w:after="0" w:line="258" w:lineRule="auto"/>
        <w:tabs>
          <w:tab w:leader="none" w:pos="1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59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2025</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4471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447103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199"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0" w:lineRule="exact"/>
        <w:rPr>
          <w:sz w:val="20"/>
          <w:szCs w:val="20"/>
          <w:color w:val="auto"/>
        </w:rPr>
      </w:pPr>
    </w:p>
    <w:p>
      <w:pPr>
        <w:ind w:left="960" w:hanging="319"/>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0"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Times New Roman" w:cs="Times New Roman" w:eastAsia="Times New Roman" w:hAnsi="Times New Roman"/>
          <w:sz w:val="18"/>
          <w:szCs w:val="18"/>
          <w:color w:val="auto"/>
        </w:rPr>
      </w:pPr>
    </w:p>
    <w:p>
      <w:pPr>
        <w:jc w:val="both"/>
        <w:ind w:left="960" w:hanging="319"/>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5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jc w:val="both"/>
        <w:ind w:left="1600" w:hanging="324"/>
        <w:spacing w:after="0" w:line="258"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8"/>
          <w:szCs w:val="18"/>
          <w:color w:val="auto"/>
        </w:rPr>
      </w:pPr>
    </w:p>
    <w:p>
      <w:pPr>
        <w:ind w:left="1600" w:hanging="324"/>
        <w:spacing w:after="0" w:line="301" w:lineRule="auto"/>
        <w:tabs>
          <w:tab w:leader="none" w:pos="159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Times New Roman" w:cs="Times New Roman" w:eastAsia="Times New Roman" w:hAnsi="Times New Roman"/>
          <w:sz w:val="17"/>
          <w:szCs w:val="17"/>
          <w:color w:val="auto"/>
        </w:rPr>
      </w:pPr>
    </w:p>
    <w:p>
      <w:pPr>
        <w:jc w:val="both"/>
        <w:ind w:left="1600" w:hanging="324"/>
        <w:spacing w:after="0" w:line="258"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960" w:hanging="319"/>
        <w:spacing w:after="0" w:line="27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5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8"/>
          <w:szCs w:val="18"/>
          <w:color w:val="auto"/>
        </w:rPr>
      </w:pPr>
    </w:p>
    <w:p>
      <w:pPr>
        <w:ind w:left="1600" w:hanging="324"/>
        <w:spacing w:after="0" w:line="271"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2025</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4471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447103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199"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3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April 30, 2025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6, 2025</w:t>
            </w:r>
          </w:p>
        </w:tc>
        <w:tc>
          <w:tcPr>
            <w:tcW w:w="5400" w:type="dxa"/>
            <w:vAlign w:val="bottom"/>
          </w:tcPr>
          <w:p>
            <w:pPr>
              <w:spacing w:after="0"/>
              <w:rPr>
                <w:sz w:val="19"/>
                <w:szCs w:val="19"/>
                <w:color w:val="auto"/>
              </w:rPr>
            </w:pPr>
          </w:p>
        </w:tc>
      </w:tr>
      <w:tr>
        <w:trPr>
          <w:trHeight w:val="503"/>
        </w:trPr>
        <w:tc>
          <w:tcPr>
            <w:tcW w:w="20" w:type="dxa"/>
            <w:vAlign w:val="bottom"/>
          </w:tcPr>
          <w:p>
            <w:pPr>
              <w:spacing w:after="0"/>
              <w:rPr>
                <w:sz w:val="24"/>
                <w:szCs w:val="24"/>
                <w:color w:val="auto"/>
              </w:rPr>
            </w:pPr>
          </w:p>
        </w:tc>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Scott M. Zuehlke</w:t>
            </w:r>
          </w:p>
        </w:tc>
      </w:tr>
      <w:tr>
        <w:trPr>
          <w:trHeight w:val="166"/>
        </w:trPr>
        <w:tc>
          <w:tcPr>
            <w:tcW w:w="20" w:type="dxa"/>
            <w:vAlign w:val="bottom"/>
          </w:tcPr>
          <w:p>
            <w:pPr>
              <w:spacing w:after="0"/>
              <w:rPr>
                <w:sz w:val="14"/>
                <w:szCs w:val="14"/>
                <w:color w:val="auto"/>
              </w:rPr>
            </w:pPr>
          </w:p>
        </w:tc>
        <w:tc>
          <w:tcPr>
            <w:tcW w:w="538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7"/>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78"/>
        </w:trPr>
        <w:tc>
          <w:tcPr>
            <w:tcW w:w="20" w:type="dxa"/>
            <w:vAlign w:val="bottom"/>
          </w:tcPr>
          <w:p>
            <w:pPr>
              <w:spacing w:after="0"/>
              <w:rPr>
                <w:sz w:val="15"/>
                <w:szCs w:val="15"/>
                <w:color w:val="auto"/>
              </w:rPr>
            </w:pPr>
          </w:p>
        </w:tc>
        <w:tc>
          <w:tcPr>
            <w:tcW w:w="5820" w:type="dxa"/>
            <w:vAlign w:val="bottom"/>
            <w:gridSpan w:val="2"/>
          </w:tcPr>
          <w:p>
            <w:pPr>
              <w:jc w:val="center"/>
              <w:ind w:right="460"/>
              <w:spacing w:after="0" w:line="178" w:lineRule="exact"/>
              <w:rPr>
                <w:sz w:val="20"/>
                <w:szCs w:val="20"/>
                <w:color w:val="auto"/>
              </w:rPr>
            </w:pPr>
            <w:r>
              <w:rPr>
                <w:rFonts w:ascii="Times New Roman" w:cs="Times New Roman" w:eastAsia="Times New Roman" w:hAnsi="Times New Roman"/>
                <w:sz w:val="18"/>
                <w:szCs w:val="18"/>
                <w:i w:val="1"/>
                <w:iCs w:val="1"/>
                <w:color w:val="auto"/>
                <w:w w:val="97"/>
              </w:rPr>
              <w:t>Chairman of the Board, President and Chief Executive Officer</w:t>
            </w:r>
          </w:p>
        </w:tc>
        <w:tc>
          <w:tcPr>
            <w:tcW w:w="54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i w:val="1"/>
                <w:iCs w:val="1"/>
                <w:color w:val="auto"/>
                <w:w w:val="96"/>
              </w:rPr>
              <w:t>Senior Vice President—Chief Financial Officer and Treasurer</w:t>
            </w:r>
          </w:p>
        </w:tc>
      </w:tr>
      <w:tr>
        <w:trPr>
          <w:trHeight w:val="231"/>
        </w:trPr>
        <w:tc>
          <w:tcPr>
            <w:tcW w:w="20" w:type="dxa"/>
            <w:vAlign w:val="bottom"/>
          </w:tcPr>
          <w:p>
            <w:pPr>
              <w:spacing w:after="0"/>
              <w:rPr>
                <w:sz w:val="20"/>
                <w:szCs w:val="20"/>
                <w:color w:val="auto"/>
              </w:rPr>
            </w:pPr>
          </w:p>
        </w:tc>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70" Type="http://schemas.openxmlformats.org/officeDocument/2006/relationships/hyperlink" Target="https://www.sec.gov/Archives/edgar/data/1423221/000110465924049723/tm2412350d1_ex2-1.htm" TargetMode="External"/><Relationship Id="rId71" Type="http://schemas.openxmlformats.org/officeDocument/2006/relationships/hyperlink" Target="https://www.sec.gov/Archives/edgar/data/1423221/000110465924049723/tm2412350d1_ex2-2.htm" TargetMode="External"/><Relationship Id="rId72" Type="http://schemas.openxmlformats.org/officeDocument/2006/relationships/hyperlink" Target="https://www.sec.gov/Archives/edgar/data/1423221/000110465924049723/tm2412350d1_ex2-3.htm" TargetMode="External"/><Relationship Id="rId73" Type="http://schemas.openxmlformats.org/officeDocument/2006/relationships/hyperlink" Target="https://www.sec.gov/Archives/edgar/data/1423221/000119312516495257/d156158dex31.htm" TargetMode="External"/><Relationship Id="rId74" Type="http://schemas.openxmlformats.org/officeDocument/2006/relationships/hyperlink" Target="https://www.sec.gov/Archives/edgar/data/1423221/000142322120000005/nx01312020ex32.htm" TargetMode="External"/><Relationship Id="rId75" Type="http://schemas.openxmlformats.org/officeDocument/2006/relationships/hyperlink" Target="https://www.sec.gov/Archives/edgar/data/1423221/000095012908000988/h52992a1exv4w1.htm" TargetMode="External"/><Relationship Id="rId76" Type="http://schemas.openxmlformats.org/officeDocument/2006/relationships/hyperlink" Target="https://www.sec.gov/Archives/edgar/data/1423221/000110465922077705/tm2220473d1_ex10-1.htm" TargetMode="External"/><Relationship Id="rId77" Type="http://schemas.openxmlformats.org/officeDocument/2006/relationships/hyperlink" Target="https://www.sec.gov/Archives/edgar/data/1423221/000110465924071335/tm24171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2025-06-06T15:16:22Z</dcterms:created>
  <dcterms:modified xsi:type="dcterms:W3CDTF">2025-06-06T15:16:22Z</dcterms:modified>
</cp:coreProperties>
</file>