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166370</wp:posOffset>
            </wp:positionH>
            <wp:positionV relativeFrom="page">
              <wp:posOffset>363220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277495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6" w:lineRule="exact"/>
        <w:rPr>
          <w:sz w:val="24"/>
          <w:szCs w:val="24"/>
          <w:color w:val="auto"/>
        </w:rPr>
      </w:pPr>
    </w:p>
    <w:p>
      <w:pPr>
        <w:ind w:left="3580"/>
        <w:spacing w:after="0"/>
        <w:rPr>
          <w:sz w:val="20"/>
          <w:szCs w:val="20"/>
          <w:color w:val="auto"/>
        </w:rPr>
      </w:pPr>
      <w:r>
        <w:rPr>
          <w:rFonts w:ascii="Arial" w:cs="Arial" w:eastAsia="Arial" w:hAnsi="Arial"/>
          <w:sz w:val="18"/>
          <w:szCs w:val="18"/>
          <w:color w:val="auto"/>
        </w:rPr>
        <w:t>________________________________________________</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2" w:lineRule="exact"/>
        <w:rPr>
          <w:sz w:val="24"/>
          <w:szCs w:val="24"/>
          <w:color w:val="auto"/>
        </w:rPr>
      </w:pPr>
    </w:p>
    <w:p>
      <w:pPr>
        <w:ind w:left="3580"/>
        <w:spacing w:after="0"/>
        <w:rPr>
          <w:sz w:val="20"/>
          <w:szCs w:val="20"/>
          <w:color w:val="auto"/>
        </w:rPr>
      </w:pPr>
      <w:r>
        <w:rPr>
          <w:rFonts w:ascii="Arial" w:cs="Arial" w:eastAsia="Arial" w:hAnsi="Arial"/>
          <w:sz w:val="18"/>
          <w:szCs w:val="18"/>
          <w:color w:val="auto"/>
        </w:rPr>
        <w:t>________________________________________________</w:t>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(Mark One)</w:t>
      </w:r>
    </w:p>
    <w:p>
      <w:pPr>
        <w:ind w:left="740" w:hanging="691"/>
        <w:spacing w:after="0" w:line="203" w:lineRule="auto"/>
        <w:tabs>
          <w:tab w:leader="none" w:pos="740" w:val="left"/>
        </w:tabs>
        <w:numPr>
          <w:ilvl w:val="0"/>
          <w:numId w:val="1"/>
        </w:numPr>
        <w:rPr>
          <w:rFonts w:ascii="MS PGothic" w:cs="MS PGothic" w:eastAsia="MS PGothic" w:hAnsi="MS PGothic"/>
          <w:sz w:val="50"/>
          <w:szCs w:val="50"/>
          <w:color w:val="auto"/>
          <w:vertAlign w:val="subscript"/>
        </w:rPr>
      </w:pPr>
      <w:r>
        <w:rPr>
          <w:rFonts w:ascii="Arial" w:cs="Arial" w:eastAsia="Arial" w:hAnsi="Arial"/>
          <w:sz w:val="20"/>
          <w:szCs w:val="20"/>
          <w:b w:val="1"/>
          <w:bCs w:val="1"/>
          <w:color w:val="auto"/>
        </w:rPr>
        <w:t>QUARTERLY REPORT PURSUANT TO SECTION 13 OR 15(d) OF THE SECURITIES EXCHANGE ACT OF 1934</w:t>
      </w:r>
    </w:p>
    <w:p>
      <w:pPr>
        <w:spacing w:after="0" w:line="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July 31, 2019</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94" w:lineRule="exact"/>
        <w:rPr>
          <w:sz w:val="24"/>
          <w:szCs w:val="24"/>
          <w:color w:val="auto"/>
        </w:rPr>
      </w:pPr>
    </w:p>
    <w:p>
      <w:pPr>
        <w:ind w:left="740" w:hanging="469"/>
        <w:spacing w:after="0"/>
        <w:tabs>
          <w:tab w:leader="none" w:pos="74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77" w:lineRule="exact"/>
        <w:rPr>
          <w:sz w:val="24"/>
          <w:szCs w:val="24"/>
          <w:color w:val="auto"/>
        </w:rPr>
      </w:pPr>
    </w:p>
    <w:p>
      <w:pPr>
        <w:ind w:left="394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1-33913</w:t>
      </w:r>
    </w:p>
    <w:p>
      <w:pPr>
        <w:spacing w:after="0" w:line="9"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________________________________________________</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QUANEX BUILDING PRODUCTS CORPORATION</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7" w:lineRule="exact"/>
        <w:rPr>
          <w:sz w:val="24"/>
          <w:szCs w:val="24"/>
          <w:color w:val="auto"/>
        </w:rPr>
      </w:pPr>
    </w:p>
    <w:p>
      <w:pPr>
        <w:ind w:left="3580"/>
        <w:spacing w:after="0"/>
        <w:rPr>
          <w:sz w:val="20"/>
          <w:szCs w:val="20"/>
          <w:color w:val="auto"/>
        </w:rPr>
      </w:pPr>
      <w:r>
        <w:rPr>
          <w:rFonts w:ascii="Arial" w:cs="Arial" w:eastAsia="Arial" w:hAnsi="Arial"/>
          <w:sz w:val="18"/>
          <w:szCs w:val="18"/>
          <w:color w:val="auto"/>
        </w:rPr>
        <w:t>________________________________________________</w:t>
      </w:r>
    </w:p>
    <w:p>
      <w:pPr>
        <w:spacing w:after="0" w:line="171" w:lineRule="exact"/>
        <w:rPr>
          <w:sz w:val="24"/>
          <w:szCs w:val="24"/>
          <w:color w:val="auto"/>
        </w:rPr>
      </w:pPr>
    </w:p>
    <w:tbl>
      <w:tblPr>
        <w:tblLayout w:type="fixed"/>
        <w:tblInd w:w="1880" w:type="dxa"/>
        <w:tblCellMar>
          <w:top w:w="0" w:type="dxa"/>
          <w:left w:w="0" w:type="dxa"/>
          <w:bottom w:w="0" w:type="dxa"/>
          <w:right w:w="0" w:type="dxa"/>
        </w:tblCellMar>
      </w:tblPr>
      <w:tr>
        <w:trPr>
          <w:trHeight w:val="210"/>
        </w:trPr>
        <w:tc>
          <w:tcPr>
            <w:tcW w:w="4000" w:type="dxa"/>
            <w:vAlign w:val="bottom"/>
          </w:tcPr>
          <w:p>
            <w:pPr>
              <w:jc w:val="center"/>
              <w:ind w:right="2045"/>
              <w:spacing w:after="0"/>
              <w:rPr>
                <w:sz w:val="20"/>
                <w:szCs w:val="20"/>
                <w:color w:val="auto"/>
              </w:rPr>
            </w:pPr>
            <w:r>
              <w:rPr>
                <w:rFonts w:ascii="Arial" w:cs="Arial" w:eastAsia="Arial" w:hAnsi="Arial"/>
                <w:sz w:val="16"/>
                <w:szCs w:val="16"/>
                <w:b w:val="1"/>
                <w:bCs w:val="1"/>
                <w:color w:val="auto"/>
                <w:w w:val="91"/>
              </w:rPr>
              <w:t>Delaware</w:t>
            </w:r>
          </w:p>
        </w:tc>
        <w:tc>
          <w:tcPr>
            <w:tcW w:w="3240" w:type="dxa"/>
            <w:vAlign w:val="bottom"/>
          </w:tcPr>
          <w:p>
            <w:pPr>
              <w:jc w:val="center"/>
              <w:ind w:left="2065"/>
              <w:spacing w:after="0"/>
              <w:rPr>
                <w:sz w:val="20"/>
                <w:szCs w:val="20"/>
                <w:color w:val="auto"/>
              </w:rPr>
            </w:pPr>
            <w:r>
              <w:rPr>
                <w:rFonts w:ascii="Arial" w:cs="Arial" w:eastAsia="Arial" w:hAnsi="Arial"/>
                <w:sz w:val="16"/>
                <w:szCs w:val="16"/>
                <w:b w:val="1"/>
                <w:bCs w:val="1"/>
                <w:color w:val="auto"/>
                <w:w w:val="91"/>
              </w:rPr>
              <w:t>26-1561397</w:t>
            </w:r>
          </w:p>
        </w:tc>
      </w:tr>
      <w:tr>
        <w:trPr>
          <w:trHeight w:val="199"/>
        </w:trPr>
        <w:tc>
          <w:tcPr>
            <w:tcW w:w="4000" w:type="dxa"/>
            <w:vAlign w:val="bottom"/>
          </w:tcPr>
          <w:p>
            <w:pPr>
              <w:jc w:val="center"/>
              <w:ind w:right="2045"/>
              <w:spacing w:after="0"/>
              <w:rPr>
                <w:sz w:val="20"/>
                <w:szCs w:val="20"/>
                <w:color w:val="auto"/>
              </w:rPr>
            </w:pPr>
            <w:r>
              <w:rPr>
                <w:rFonts w:ascii="Arial" w:cs="Arial" w:eastAsia="Arial" w:hAnsi="Arial"/>
                <w:sz w:val="14"/>
                <w:szCs w:val="14"/>
                <w:b w:val="1"/>
                <w:bCs w:val="1"/>
                <w:color w:val="auto"/>
                <w:w w:val="93"/>
              </w:rPr>
              <w:t>(State or other jurisdiction of</w:t>
            </w:r>
          </w:p>
        </w:tc>
        <w:tc>
          <w:tcPr>
            <w:tcW w:w="3240" w:type="dxa"/>
            <w:vAlign w:val="bottom"/>
          </w:tcPr>
          <w:p>
            <w:pPr>
              <w:jc w:val="center"/>
              <w:ind w:left="2045"/>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000" w:type="dxa"/>
            <w:vAlign w:val="bottom"/>
          </w:tcPr>
          <w:p>
            <w:pPr>
              <w:jc w:val="center"/>
              <w:ind w:right="2045"/>
              <w:spacing w:after="0"/>
              <w:rPr>
                <w:sz w:val="20"/>
                <w:szCs w:val="20"/>
                <w:color w:val="auto"/>
              </w:rPr>
            </w:pPr>
            <w:r>
              <w:rPr>
                <w:rFonts w:ascii="Arial" w:cs="Arial" w:eastAsia="Arial" w:hAnsi="Arial"/>
                <w:sz w:val="14"/>
                <w:szCs w:val="14"/>
                <w:b w:val="1"/>
                <w:bCs w:val="1"/>
                <w:color w:val="auto"/>
                <w:w w:val="94"/>
              </w:rPr>
              <w:t>incorporation or organization)</w:t>
            </w:r>
          </w:p>
        </w:tc>
        <w:tc>
          <w:tcPr>
            <w:tcW w:w="3240" w:type="dxa"/>
            <w:vAlign w:val="bottom"/>
          </w:tcPr>
          <w:p>
            <w:pPr>
              <w:jc w:val="center"/>
              <w:ind w:left="2045"/>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1800 West Loop South, Suite 1500, Houston, Texas 77027</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(713) 961-4600</w:t>
      </w:r>
    </w:p>
    <w:p>
      <w:pPr>
        <w:spacing w:after="0" w:line="8"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6" w:lineRule="exact"/>
        <w:rPr>
          <w:sz w:val="24"/>
          <w:szCs w:val="24"/>
          <w:color w:val="auto"/>
        </w:rPr>
      </w:pPr>
    </w:p>
    <w:tbl>
      <w:tblPr>
        <w:tblLayout w:type="fixed"/>
        <w:tblInd w:w="60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2960" w:type="dxa"/>
            <w:vAlign w:val="bottom"/>
            <w:gridSpan w:val="2"/>
          </w:tcPr>
          <w:p>
            <w:pPr>
              <w:jc w:val="center"/>
              <w:ind w:right="1880"/>
              <w:spacing w:after="0"/>
              <w:rPr>
                <w:sz w:val="20"/>
                <w:szCs w:val="20"/>
                <w:color w:val="auto"/>
              </w:rPr>
            </w:pPr>
            <w:r>
              <w:rPr>
                <w:rFonts w:ascii="Arial" w:cs="Arial" w:eastAsia="Arial" w:hAnsi="Arial"/>
                <w:sz w:val="14"/>
                <w:szCs w:val="14"/>
                <w:b w:val="1"/>
                <w:bCs w:val="1"/>
                <w:color w:val="auto"/>
                <w:w w:val="89"/>
              </w:rPr>
              <w:t>Title of each class</w:t>
            </w:r>
          </w:p>
        </w:tc>
        <w:tc>
          <w:tcPr>
            <w:tcW w:w="372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92"/>
              </w:rPr>
              <w:t>Trading Symbol(s)</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64"/>
        </w:trPr>
        <w:tc>
          <w:tcPr>
            <w:tcW w:w="3940" w:type="dxa"/>
            <w:vAlign w:val="bottom"/>
            <w:gridSpan w:val="3"/>
          </w:tcPr>
          <w:p>
            <w:pPr>
              <w:jc w:val="center"/>
              <w:ind w:right="900"/>
              <w:spacing w:after="0"/>
              <w:rPr>
                <w:sz w:val="20"/>
                <w:szCs w:val="20"/>
                <w:color w:val="auto"/>
              </w:rPr>
            </w:pPr>
            <w:r>
              <w:rPr>
                <w:rFonts w:ascii="Arial" w:cs="Arial" w:eastAsia="Arial" w:hAnsi="Arial"/>
                <w:sz w:val="18"/>
                <w:szCs w:val="18"/>
                <w:color w:val="auto"/>
                <w:w w:val="89"/>
              </w:rPr>
              <w:t>Common Stock, par value $0.01 per share</w:t>
            </w:r>
          </w:p>
        </w:tc>
        <w:tc>
          <w:tcPr>
            <w:tcW w:w="900" w:type="dxa"/>
            <w:vAlign w:val="bottom"/>
          </w:tcPr>
          <w:p>
            <w:pPr>
              <w:spacing w:after="0"/>
              <w:rPr>
                <w:sz w:val="22"/>
                <w:szCs w:val="22"/>
                <w:color w:val="auto"/>
              </w:rPr>
            </w:pPr>
          </w:p>
        </w:tc>
        <w:tc>
          <w:tcPr>
            <w:tcW w:w="2820" w:type="dxa"/>
            <w:vAlign w:val="bottom"/>
            <w:gridSpan w:val="2"/>
          </w:tcPr>
          <w:p>
            <w:pPr>
              <w:jc w:val="center"/>
              <w:ind w:right="1680"/>
              <w:spacing w:after="0"/>
              <w:rPr>
                <w:sz w:val="20"/>
                <w:szCs w:val="20"/>
                <w:color w:val="auto"/>
              </w:rPr>
            </w:pPr>
            <w:r>
              <w:rPr>
                <w:rFonts w:ascii="Arial" w:cs="Arial" w:eastAsia="Arial" w:hAnsi="Arial"/>
                <w:sz w:val="18"/>
                <w:szCs w:val="18"/>
                <w:color w:val="auto"/>
              </w:rPr>
              <w:t>NX</w:t>
            </w: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4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and posted pursuant to Rule 405 of Regulation S-T (Section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95"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Large accelerated filer</w:t>
            </w:r>
          </w:p>
        </w:tc>
        <w:tc>
          <w:tcPr>
            <w:tcW w:w="6100" w:type="dxa"/>
            <w:vAlign w:val="bottom"/>
          </w:tcPr>
          <w:p>
            <w:pPr>
              <w:ind w:left="500"/>
              <w:spacing w:after="0"/>
              <w:rPr>
                <w:sz w:val="20"/>
                <w:szCs w:val="20"/>
                <w:color w:val="auto"/>
              </w:rPr>
            </w:pPr>
            <w:r>
              <w:rPr>
                <w:rFonts w:ascii="Arial" w:cs="Arial" w:eastAsia="Arial" w:hAnsi="Arial"/>
                <w:sz w:val="18"/>
                <w:szCs w:val="18"/>
                <w:color w:val="auto"/>
              </w:rPr>
              <w:t>x</w:t>
            </w:r>
          </w:p>
        </w:tc>
        <w:tc>
          <w:tcPr>
            <w:tcW w:w="2720" w:type="dxa"/>
            <w:vAlign w:val="bottom"/>
          </w:tcPr>
          <w:p>
            <w:pPr>
              <w:ind w:left="10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r>
      <w:tr>
        <w:trPr>
          <w:trHeight w:val="270"/>
        </w:trPr>
        <w:tc>
          <w:tcPr>
            <w:tcW w:w="2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Non-accelerated filer</w:t>
            </w:r>
          </w:p>
        </w:tc>
        <w:tc>
          <w:tcPr>
            <w:tcW w:w="6100" w:type="dxa"/>
            <w:vAlign w:val="bottom"/>
          </w:tcPr>
          <w:p>
            <w:pPr>
              <w:ind w:left="500"/>
              <w:spacing w:after="0"/>
              <w:rPr>
                <w:sz w:val="20"/>
                <w:szCs w:val="20"/>
                <w:color w:val="auto"/>
              </w:rPr>
            </w:pPr>
            <w:r>
              <w:rPr>
                <w:rFonts w:ascii="Arial" w:cs="Arial" w:eastAsia="Arial" w:hAnsi="Arial"/>
                <w:sz w:val="18"/>
                <w:szCs w:val="18"/>
                <w:color w:val="auto"/>
              </w:rPr>
              <w:t>o (Do not check if a smaller reporting company)</w:t>
            </w:r>
          </w:p>
        </w:tc>
        <w:tc>
          <w:tcPr>
            <w:tcW w:w="2720" w:type="dxa"/>
            <w:vAlign w:val="bottom"/>
          </w:tcPr>
          <w:p>
            <w:pPr>
              <w:ind w:left="100"/>
              <w:spacing w:after="0"/>
              <w:rPr>
                <w:sz w:val="20"/>
                <w:szCs w:val="20"/>
                <w:color w:val="auto"/>
              </w:rPr>
            </w:pPr>
            <w:r>
              <w:rPr>
                <w:rFonts w:ascii="Arial" w:cs="Arial" w:eastAsia="Arial" w:hAnsi="Arial"/>
                <w:sz w:val="18"/>
                <w:szCs w:val="18"/>
                <w:color w:val="auto"/>
              </w:rPr>
              <w:t>Smaller reporting company</w:t>
            </w:r>
          </w:p>
        </w:tc>
        <w:tc>
          <w:tcPr>
            <w:tcW w:w="40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r>
      <w:tr>
        <w:trPr>
          <w:trHeight w:val="270"/>
        </w:trPr>
        <w:tc>
          <w:tcPr>
            <w:tcW w:w="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6100" w:type="dxa"/>
            <w:vAlign w:val="bottom"/>
          </w:tcPr>
          <w:p>
            <w:pPr>
              <w:spacing w:after="0"/>
              <w:rPr>
                <w:sz w:val="23"/>
                <w:szCs w:val="23"/>
                <w:color w:val="auto"/>
              </w:rPr>
            </w:pPr>
          </w:p>
        </w:tc>
        <w:tc>
          <w:tcPr>
            <w:tcW w:w="2720" w:type="dxa"/>
            <w:vAlign w:val="bottom"/>
          </w:tcPr>
          <w:p>
            <w:pPr>
              <w:ind w:left="100"/>
              <w:spacing w:after="0"/>
              <w:rPr>
                <w:sz w:val="20"/>
                <w:szCs w:val="20"/>
                <w:color w:val="auto"/>
              </w:rPr>
            </w:pPr>
            <w:r>
              <w:rPr>
                <w:rFonts w:ascii="Arial" w:cs="Arial" w:eastAsia="Arial" w:hAnsi="Arial"/>
                <w:sz w:val="18"/>
                <w:szCs w:val="18"/>
                <w:color w:val="auto"/>
              </w:rPr>
              <w:t>Emerging growth company</w:t>
            </w:r>
          </w:p>
        </w:tc>
        <w:tc>
          <w:tcPr>
            <w:tcW w:w="40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r>
      <w:tr>
        <w:trPr>
          <w:trHeight w:val="249"/>
        </w:trPr>
        <w:tc>
          <w:tcPr>
            <w:tcW w:w="20" w:type="dxa"/>
            <w:vAlign w:val="bottom"/>
          </w:tcPr>
          <w:p>
            <w:pPr>
              <w:spacing w:after="0"/>
              <w:rPr>
                <w:sz w:val="21"/>
                <w:szCs w:val="21"/>
                <w:color w:val="auto"/>
              </w:rPr>
            </w:pPr>
          </w:p>
        </w:tc>
        <w:tc>
          <w:tcPr>
            <w:tcW w:w="10980" w:type="dxa"/>
            <w:vAlign w:val="bottom"/>
            <w:gridSpan w:val="3"/>
          </w:tcPr>
          <w:p>
            <w:pPr>
              <w:ind w:left="20"/>
              <w:spacing w:after="0"/>
              <w:rPr>
                <w:sz w:val="20"/>
                <w:szCs w:val="20"/>
                <w:color w:val="auto"/>
              </w:rPr>
            </w:pPr>
            <w:r>
              <w:rPr>
                <w:rFonts w:ascii="Arial" w:cs="Arial" w:eastAsia="Arial" w:hAnsi="Arial"/>
                <w:sz w:val="18"/>
                <w:szCs w:val="18"/>
                <w:color w:val="auto"/>
                <w:w w:val="93"/>
              </w:rPr>
              <w:t>If an emerging growth company, indicate by check mark if the registrant has elected not to use the extended transition period for complying with any</w:t>
            </w:r>
          </w:p>
        </w:tc>
        <w:tc>
          <w:tcPr>
            <w:tcW w:w="40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20" w:type="dxa"/>
            <w:vAlign w:val="bottom"/>
          </w:tcPr>
          <w:p>
            <w:pPr>
              <w:spacing w:after="0"/>
              <w:rPr>
                <w:sz w:val="20"/>
                <w:szCs w:val="20"/>
                <w:color w:val="auto"/>
              </w:rPr>
            </w:pPr>
          </w:p>
        </w:tc>
        <w:tc>
          <w:tcPr>
            <w:tcW w:w="8260" w:type="dxa"/>
            <w:vAlign w:val="bottom"/>
            <w:gridSpan w:val="2"/>
          </w:tcPr>
          <w:p>
            <w:pPr>
              <w:ind w:left="20"/>
              <w:spacing w:after="0"/>
              <w:rPr>
                <w:sz w:val="20"/>
                <w:szCs w:val="20"/>
                <w:color w:val="auto"/>
              </w:rPr>
            </w:pPr>
            <w:r>
              <w:rPr>
                <w:rFonts w:ascii="Arial" w:cs="Arial" w:eastAsia="Arial" w:hAnsi="Arial"/>
                <w:sz w:val="18"/>
                <w:szCs w:val="18"/>
                <w:color w:val="auto"/>
              </w:rPr>
              <w:t>new or revised financial accounting standards provided pursuant to Section 13(a) of the Securities Act.</w:t>
            </w:r>
          </w:p>
        </w:tc>
        <w:tc>
          <w:tcPr>
            <w:tcW w:w="27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83"/>
        </w:trPr>
        <w:tc>
          <w:tcPr>
            <w:tcW w:w="8280" w:type="dxa"/>
            <w:vAlign w:val="bottom"/>
            <w:gridSpan w:val="3"/>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72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tc>
        <w:tc>
          <w:tcPr>
            <w:tcW w:w="400" w:type="dxa"/>
            <w:vAlign w:val="bottom"/>
          </w:tcPr>
          <w:p>
            <w:pPr>
              <w:spacing w:after="0"/>
              <w:rPr>
                <w:sz w:val="24"/>
                <w:szCs w:val="24"/>
                <w:color w:val="auto"/>
              </w:rPr>
            </w:pPr>
          </w:p>
        </w:tc>
      </w:tr>
      <w:tr>
        <w:trPr>
          <w:trHeight w:val="230"/>
        </w:trPr>
        <w:tc>
          <w:tcPr>
            <w:tcW w:w="8280" w:type="dxa"/>
            <w:vAlign w:val="bottom"/>
            <w:gridSpan w:val="3"/>
          </w:tcPr>
          <w:p>
            <w:pPr>
              <w:spacing w:after="0"/>
              <w:rPr>
                <w:sz w:val="20"/>
                <w:szCs w:val="20"/>
                <w:color w:val="auto"/>
              </w:rPr>
            </w:pPr>
            <w:r>
              <w:rPr>
                <w:rFonts w:ascii="Arial" w:cs="Arial" w:eastAsia="Arial" w:hAnsi="Arial"/>
                <w:sz w:val="18"/>
                <w:szCs w:val="18"/>
                <w:color w:val="auto"/>
                <w:w w:val="93"/>
              </w:rPr>
              <w:t>The number of shares outstanding of the registrant's Common Stock as of September 3, 2019 was 33,162,058.</w:t>
            </w:r>
          </w:p>
        </w:tc>
        <w:tc>
          <w:tcPr>
            <w:tcW w:w="27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135"/>
        </w:trPr>
        <w:tc>
          <w:tcPr>
            <w:tcW w:w="20" w:type="dxa"/>
            <w:vAlign w:val="bottom"/>
          </w:tcPr>
          <w:p>
            <w:pPr>
              <w:spacing w:after="0"/>
              <w:rPr>
                <w:sz w:val="11"/>
                <w:szCs w:val="11"/>
                <w:color w:val="auto"/>
              </w:rPr>
            </w:pPr>
          </w:p>
        </w:tc>
        <w:tc>
          <w:tcPr>
            <w:tcW w:w="2160" w:type="dxa"/>
            <w:vAlign w:val="bottom"/>
            <w:tcBorders>
              <w:bottom w:val="single" w:sz="8" w:color="auto"/>
            </w:tcBorders>
          </w:tcPr>
          <w:p>
            <w:pPr>
              <w:spacing w:after="0"/>
              <w:rPr>
                <w:sz w:val="11"/>
                <w:szCs w:val="11"/>
                <w:color w:val="auto"/>
              </w:rPr>
            </w:pPr>
          </w:p>
        </w:tc>
        <w:tc>
          <w:tcPr>
            <w:tcW w:w="6100" w:type="dxa"/>
            <w:vAlign w:val="bottom"/>
            <w:tcBorders>
              <w:bottom w:val="single" w:sz="8" w:color="auto"/>
            </w:tcBorders>
          </w:tcPr>
          <w:p>
            <w:pPr>
              <w:spacing w:after="0"/>
              <w:rPr>
                <w:sz w:val="11"/>
                <w:szCs w:val="11"/>
                <w:color w:val="auto"/>
              </w:rPr>
            </w:pPr>
          </w:p>
        </w:tc>
        <w:tc>
          <w:tcPr>
            <w:tcW w:w="27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6100" w:type="dxa"/>
            <w:vAlign w:val="bottom"/>
            <w:tcBorders>
              <w:bottom w:val="single" w:sz="8" w:color="auto"/>
            </w:tcBorders>
          </w:tcPr>
          <w:p>
            <w:pPr>
              <w:spacing w:after="0"/>
              <w:rPr>
                <w:sz w:val="10"/>
                <w:szCs w:val="10"/>
                <w:color w:val="auto"/>
              </w:rPr>
            </w:pPr>
          </w:p>
        </w:tc>
        <w:tc>
          <w:tcPr>
            <w:tcW w:w="27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612"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0" w:type="dxa"/>
            <w:vAlign w:val="bottom"/>
            <w:gridSpan w:val="10"/>
          </w:tcPr>
          <w:p>
            <w:pPr>
              <w:jc w:val="center"/>
              <w:ind w:right="1380"/>
              <w:spacing w:after="0"/>
              <w:rPr>
                <w:sz w:val="20"/>
                <w:szCs w:val="20"/>
                <w:color w:val="auto"/>
              </w:rPr>
            </w:pPr>
            <w:r>
              <w:rPr>
                <w:rFonts w:ascii="Arial" w:cs="Arial" w:eastAsia="Arial" w:hAnsi="Arial"/>
                <w:sz w:val="18"/>
                <w:szCs w:val="18"/>
                <w:b w:val="1"/>
                <w:bCs w:val="1"/>
                <w:color w:val="auto"/>
              </w:rPr>
              <w:t>QUANEX BUILDING PRODUCTS CORPORATION</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240" w:type="dxa"/>
            <w:vAlign w:val="bottom"/>
            <w:gridSpan w:val="9"/>
          </w:tcPr>
          <w:p>
            <w:pPr>
              <w:jc w:val="center"/>
              <w:ind w:right="4140"/>
              <w:spacing w:after="0"/>
              <w:rPr>
                <w:sz w:val="20"/>
                <w:szCs w:val="20"/>
                <w:color w:val="auto"/>
              </w:rPr>
            </w:pPr>
            <w:r>
              <w:rPr>
                <w:rFonts w:ascii="Arial" w:cs="Arial" w:eastAsia="Arial" w:hAnsi="Arial"/>
                <w:sz w:val="18"/>
                <w:szCs w:val="18"/>
                <w:b w:val="1"/>
                <w:bCs w:val="1"/>
                <w:color w:val="auto"/>
              </w:rPr>
              <w:t>INDEX</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00"/>
        </w:trPr>
        <w:tc>
          <w:tcPr>
            <w:tcW w:w="1180" w:type="dxa"/>
            <w:vAlign w:val="bottom"/>
          </w:tcPr>
          <w:p>
            <w:pPr>
              <w:spacing w:after="0"/>
              <w:rPr>
                <w:sz w:val="20"/>
                <w:szCs w:val="20"/>
                <w:color w:val="auto"/>
              </w:rPr>
            </w:pPr>
            <w:r>
              <w:rPr>
                <w:rFonts w:ascii="Arial" w:cs="Arial" w:eastAsia="Arial" w:hAnsi="Arial"/>
                <w:sz w:val="18"/>
                <w:szCs w:val="18"/>
                <w:color w:val="auto"/>
              </w:rPr>
              <w:t>PART I.</w:t>
            </w:r>
          </w:p>
        </w:tc>
        <w:tc>
          <w:tcPr>
            <w:tcW w:w="9360" w:type="dxa"/>
            <w:vAlign w:val="bottom"/>
            <w:gridSpan w:val="11"/>
          </w:tcPr>
          <w:p>
            <w:pPr>
              <w:spacing w:after="0"/>
              <w:rPr>
                <w:rFonts w:ascii="Arial" w:cs="Arial" w:eastAsia="Arial" w:hAnsi="Arial"/>
                <w:sz w:val="18"/>
                <w:szCs w:val="18"/>
                <w:color w:val="auto"/>
              </w:rPr>
            </w:pPr>
            <w:hyperlink w:anchor="page3">
              <w:r>
                <w:rPr>
                  <w:rFonts w:ascii="Arial" w:cs="Arial" w:eastAsia="Arial" w:hAnsi="Arial"/>
                  <w:sz w:val="18"/>
                  <w:szCs w:val="18"/>
                  <w:color w:val="auto"/>
                </w:rPr>
                <w:t>FINANCIAL INFORMATION</w:t>
              </w:r>
            </w:hyperlink>
          </w:p>
        </w:tc>
        <w:tc>
          <w:tcPr>
            <w:tcW w:w="80" w:type="dxa"/>
            <w:vAlign w:val="bottom"/>
          </w:tcPr>
          <w:p>
            <w:pPr>
              <w:spacing w:after="0"/>
              <w:rPr>
                <w:sz w:val="24"/>
                <w:szCs w:val="24"/>
                <w:color w:val="auto"/>
              </w:rPr>
            </w:pPr>
          </w:p>
        </w:tc>
        <w:tc>
          <w:tcPr>
            <w:tcW w:w="10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r>
      <w:tr>
        <w:trPr>
          <w:trHeight w:val="520"/>
        </w:trPr>
        <w:tc>
          <w:tcPr>
            <w:tcW w:w="1180" w:type="dxa"/>
            <w:vAlign w:val="bottom"/>
          </w:tcPr>
          <w:p>
            <w:pPr>
              <w:ind w:left="120"/>
              <w:spacing w:after="0"/>
              <w:rPr>
                <w:sz w:val="20"/>
                <w:szCs w:val="20"/>
                <w:color w:val="auto"/>
              </w:rPr>
            </w:pPr>
            <w:r>
              <w:rPr>
                <w:rFonts w:ascii="Arial" w:cs="Arial" w:eastAsia="Arial" w:hAnsi="Arial"/>
                <w:sz w:val="18"/>
                <w:szCs w:val="18"/>
                <w:b w:val="1"/>
                <w:bCs w:val="1"/>
                <w:color w:val="auto"/>
              </w:rPr>
              <w:t>Item 1:</w:t>
            </w:r>
          </w:p>
        </w:tc>
        <w:tc>
          <w:tcPr>
            <w:tcW w:w="9360" w:type="dxa"/>
            <w:vAlign w:val="bottom"/>
            <w:gridSpan w:val="11"/>
          </w:tcPr>
          <w:p>
            <w:pPr>
              <w:spacing w:after="0"/>
              <w:rPr>
                <w:sz w:val="20"/>
                <w:szCs w:val="20"/>
                <w:color w:val="auto"/>
              </w:rPr>
            </w:pPr>
            <w:r>
              <w:rPr>
                <w:rFonts w:ascii="Arial" w:cs="Arial" w:eastAsia="Arial" w:hAnsi="Arial"/>
                <w:sz w:val="18"/>
                <w:szCs w:val="18"/>
                <w:b w:val="1"/>
                <w:bCs w:val="1"/>
                <w:color w:val="auto"/>
              </w:rPr>
              <w:t>Financial Statements (Unaudited)</w:t>
            </w:r>
          </w:p>
        </w:tc>
        <w:tc>
          <w:tcPr>
            <w:tcW w:w="80" w:type="dxa"/>
            <w:vAlign w:val="bottom"/>
          </w:tcPr>
          <w:p>
            <w:pPr>
              <w:spacing w:after="0"/>
              <w:rPr>
                <w:sz w:val="24"/>
                <w:szCs w:val="24"/>
                <w:color w:val="auto"/>
              </w:rPr>
            </w:pPr>
          </w:p>
        </w:tc>
        <w:tc>
          <w:tcPr>
            <w:tcW w:w="10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r>
      <w:tr>
        <w:trPr>
          <w:trHeight w:val="439"/>
        </w:trPr>
        <w:tc>
          <w:tcPr>
            <w:tcW w:w="1180" w:type="dxa"/>
            <w:vAlign w:val="bottom"/>
          </w:tcPr>
          <w:p>
            <w:pPr>
              <w:spacing w:after="0"/>
              <w:rPr>
                <w:sz w:val="24"/>
                <w:szCs w:val="24"/>
                <w:color w:val="auto"/>
              </w:rPr>
            </w:pPr>
          </w:p>
        </w:tc>
        <w:tc>
          <w:tcPr>
            <w:tcW w:w="9360" w:type="dxa"/>
            <w:vAlign w:val="bottom"/>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 xml:space="preserve">Condensed Consolidated Balance Sheets – </w:t>
              </w:r>
            </w:hyperlink>
            <w:r>
              <w:rPr>
                <w:rFonts w:ascii="Arial" w:cs="Arial" w:eastAsia="Arial" w:hAnsi="Arial"/>
                <w:sz w:val="18"/>
                <w:szCs w:val="18"/>
                <w:color w:val="0000FF"/>
              </w:rPr>
              <w:t>July</w:t>
            </w:r>
            <w:r>
              <w:rPr>
                <w:rFonts w:ascii="Arial" w:cs="Arial" w:eastAsia="Arial" w:hAnsi="Arial"/>
                <w:sz w:val="18"/>
                <w:szCs w:val="18"/>
                <w:color w:val="0000EE"/>
              </w:rPr>
              <w:t xml:space="preserve"> </w:t>
            </w:r>
            <w:r>
              <w:rPr>
                <w:rFonts w:ascii="Arial" w:cs="Arial" w:eastAsia="Arial" w:hAnsi="Arial"/>
                <w:sz w:val="18"/>
                <w:szCs w:val="18"/>
                <w:color w:val="0000FF"/>
              </w:rPr>
              <w:t>31, 2019 and October 31, 2018</w:t>
            </w:r>
          </w:p>
        </w:tc>
        <w:tc>
          <w:tcPr>
            <w:tcW w:w="18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1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39"/>
        </w:trPr>
        <w:tc>
          <w:tcPr>
            <w:tcW w:w="1180" w:type="dxa"/>
            <w:vAlign w:val="bottom"/>
          </w:tcPr>
          <w:p>
            <w:pPr>
              <w:spacing w:after="0"/>
              <w:rPr>
                <w:sz w:val="24"/>
                <w:szCs w:val="24"/>
                <w:color w:val="auto"/>
              </w:rPr>
            </w:pPr>
          </w:p>
        </w:tc>
        <w:tc>
          <w:tcPr>
            <w:tcW w:w="9360" w:type="dxa"/>
            <w:vAlign w:val="bottom"/>
            <w:gridSpan w:val="1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 xml:space="preserve">Condensed Consolidated Statements of Income (Loss) – Three </w:t>
              </w:r>
            </w:hyperlink>
            <w:r>
              <w:rPr>
                <w:rFonts w:ascii="Arial" w:cs="Arial" w:eastAsia="Arial" w:hAnsi="Arial"/>
                <w:sz w:val="18"/>
                <w:szCs w:val="18"/>
                <w:color w:val="0000FF"/>
              </w:rPr>
              <w:t>and</w:t>
            </w:r>
            <w:r>
              <w:rPr>
                <w:rFonts w:ascii="Arial" w:cs="Arial" w:eastAsia="Arial" w:hAnsi="Arial"/>
                <w:sz w:val="18"/>
                <w:szCs w:val="18"/>
                <w:color w:val="0000EE"/>
              </w:rPr>
              <w:t xml:space="preserve"> </w:t>
            </w:r>
            <w:r>
              <w:rPr>
                <w:rFonts w:ascii="Arial" w:cs="Arial" w:eastAsia="Arial" w:hAnsi="Arial"/>
                <w:sz w:val="18"/>
                <w:szCs w:val="18"/>
                <w:color w:val="0000FF"/>
              </w:rPr>
              <w:t>Nine Months Ended July 31, 2019 and 2018</w:t>
            </w:r>
          </w:p>
        </w:tc>
        <w:tc>
          <w:tcPr>
            <w:tcW w:w="18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20"/>
        </w:trPr>
        <w:tc>
          <w:tcPr>
            <w:tcW w:w="1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54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39"/>
        </w:trPr>
        <w:tc>
          <w:tcPr>
            <w:tcW w:w="1180" w:type="dxa"/>
            <w:vAlign w:val="bottom"/>
          </w:tcPr>
          <w:p>
            <w:pPr>
              <w:spacing w:after="0"/>
              <w:rPr>
                <w:sz w:val="24"/>
                <w:szCs w:val="24"/>
                <w:color w:val="auto"/>
              </w:rPr>
            </w:pPr>
          </w:p>
        </w:tc>
        <w:tc>
          <w:tcPr>
            <w:tcW w:w="9360" w:type="dxa"/>
            <w:vAlign w:val="bottom"/>
            <w:gridSpan w:val="11"/>
          </w:tcPr>
          <w:p>
            <w:pPr>
              <w:spacing w:after="0"/>
              <w:rPr>
                <w:sz w:val="20"/>
                <w:szCs w:val="20"/>
                <w:color w:val="auto"/>
              </w:rPr>
            </w:pPr>
            <w:r>
              <w:rPr>
                <w:rFonts w:ascii="Arial" w:cs="Arial" w:eastAsia="Arial" w:hAnsi="Arial"/>
                <w:sz w:val="18"/>
                <w:szCs w:val="18"/>
                <w:color w:val="0000FF"/>
                <w:w w:val="95"/>
              </w:rPr>
              <w:t>Condensed Consolidated Statements of Comprehensive Income (Loss) - Three and Nine Months Ended July 31, 2019 and</w:t>
            </w:r>
          </w:p>
        </w:tc>
        <w:tc>
          <w:tcPr>
            <w:tcW w:w="18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196"/>
        </w:trPr>
        <w:tc>
          <w:tcPr>
            <w:tcW w:w="118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18"/>
                <w:szCs w:val="18"/>
                <w:color w:val="0000FF"/>
                <w:w w:val="84"/>
              </w:rPr>
              <w:t>2018</w:t>
            </w:r>
          </w:p>
        </w:tc>
        <w:tc>
          <w:tcPr>
            <w:tcW w:w="276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138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r>
      <w:tr>
        <w:trPr>
          <w:trHeight w:val="439"/>
        </w:trPr>
        <w:tc>
          <w:tcPr>
            <w:tcW w:w="1180" w:type="dxa"/>
            <w:vAlign w:val="bottom"/>
          </w:tcPr>
          <w:p>
            <w:pPr>
              <w:spacing w:after="0"/>
              <w:rPr>
                <w:sz w:val="24"/>
                <w:szCs w:val="24"/>
                <w:color w:val="auto"/>
              </w:rPr>
            </w:pPr>
          </w:p>
        </w:tc>
        <w:tc>
          <w:tcPr>
            <w:tcW w:w="9360" w:type="dxa"/>
            <w:vAlign w:val="bottom"/>
            <w:gridSpan w:val="1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 xml:space="preserve">Condensed Consolidated Statements of Cash Flows – </w:t>
              </w:r>
            </w:hyperlink>
            <w:r>
              <w:rPr>
                <w:rFonts w:ascii="Arial" w:cs="Arial" w:eastAsia="Arial" w:hAnsi="Arial"/>
                <w:sz w:val="18"/>
                <w:szCs w:val="18"/>
                <w:color w:val="0000FF"/>
              </w:rPr>
              <w:t>Nine</w:t>
            </w:r>
            <w:r>
              <w:rPr>
                <w:rFonts w:ascii="Arial" w:cs="Arial" w:eastAsia="Arial" w:hAnsi="Arial"/>
                <w:sz w:val="18"/>
                <w:szCs w:val="18"/>
                <w:color w:val="0000EE"/>
              </w:rPr>
              <w:t xml:space="preserve"> </w:t>
            </w:r>
            <w:r>
              <w:rPr>
                <w:rFonts w:ascii="Arial" w:cs="Arial" w:eastAsia="Arial" w:hAnsi="Arial"/>
                <w:sz w:val="18"/>
                <w:szCs w:val="18"/>
                <w:color w:val="0000FF"/>
              </w:rPr>
              <w:t>Months Ended July 31, 2019 and 2018</w:t>
            </w:r>
          </w:p>
        </w:tc>
        <w:tc>
          <w:tcPr>
            <w:tcW w:w="180" w:type="dxa"/>
            <w:vAlign w:val="bottom"/>
            <w:gridSpan w:val="3"/>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r>
      <w:tr>
        <w:trPr>
          <w:trHeight w:val="20"/>
        </w:trPr>
        <w:tc>
          <w:tcPr>
            <w:tcW w:w="1180" w:type="dxa"/>
            <w:vAlign w:val="bottom"/>
          </w:tcPr>
          <w:p>
            <w:pPr>
              <w:spacing w:after="0" w:line="20" w:lineRule="exact"/>
              <w:rPr>
                <w:sz w:val="1"/>
                <w:szCs w:val="1"/>
                <w:color w:val="auto"/>
              </w:rPr>
            </w:pPr>
          </w:p>
        </w:tc>
        <w:tc>
          <w:tcPr>
            <w:tcW w:w="3900" w:type="dxa"/>
            <w:vAlign w:val="bottom"/>
            <w:gridSpan w:val="3"/>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39"/>
        </w:trPr>
        <w:tc>
          <w:tcPr>
            <w:tcW w:w="1180" w:type="dxa"/>
            <w:vAlign w:val="bottom"/>
          </w:tcPr>
          <w:p>
            <w:pPr>
              <w:spacing w:after="0"/>
              <w:rPr>
                <w:sz w:val="24"/>
                <w:szCs w:val="24"/>
                <w:color w:val="auto"/>
              </w:rPr>
            </w:pPr>
          </w:p>
        </w:tc>
        <w:tc>
          <w:tcPr>
            <w:tcW w:w="9360" w:type="dxa"/>
            <w:vAlign w:val="bottom"/>
            <w:gridSpan w:val="1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 xml:space="preserve">Condensed Consolidated Statement of Stockholders’ Equity – </w:t>
              </w:r>
            </w:hyperlink>
            <w:r>
              <w:rPr>
                <w:rFonts w:ascii="Arial" w:cs="Arial" w:eastAsia="Arial" w:hAnsi="Arial"/>
                <w:sz w:val="18"/>
                <w:szCs w:val="18"/>
                <w:color w:val="0000FF"/>
              </w:rPr>
              <w:t>Nine</w:t>
            </w:r>
            <w:r>
              <w:rPr>
                <w:rFonts w:ascii="Arial" w:cs="Arial" w:eastAsia="Arial" w:hAnsi="Arial"/>
                <w:sz w:val="18"/>
                <w:szCs w:val="18"/>
                <w:color w:val="0000EE"/>
              </w:rPr>
              <w:t xml:space="preserve"> </w:t>
            </w:r>
            <w:r>
              <w:rPr>
                <w:rFonts w:ascii="Arial" w:cs="Arial" w:eastAsia="Arial" w:hAnsi="Arial"/>
                <w:sz w:val="18"/>
                <w:szCs w:val="18"/>
                <w:color w:val="0000FF"/>
              </w:rPr>
              <w:t>Months Ended July 31, 2019 and 2018</w:t>
            </w:r>
          </w:p>
        </w:tc>
        <w:tc>
          <w:tcPr>
            <w:tcW w:w="180" w:type="dxa"/>
            <w:vAlign w:val="bottom"/>
            <w:gridSpan w:val="3"/>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5</w:t>
              </w:r>
            </w:hyperlink>
          </w:p>
        </w:tc>
      </w:tr>
      <w:tr>
        <w:trPr>
          <w:trHeight w:val="20"/>
        </w:trPr>
        <w:tc>
          <w:tcPr>
            <w:tcW w:w="1180" w:type="dxa"/>
            <w:vAlign w:val="bottom"/>
          </w:tcPr>
          <w:p>
            <w:pPr>
              <w:spacing w:after="0" w:line="20" w:lineRule="exact"/>
              <w:rPr>
                <w:sz w:val="1"/>
                <w:szCs w:val="1"/>
                <w:color w:val="auto"/>
              </w:rPr>
            </w:pPr>
          </w:p>
        </w:tc>
        <w:tc>
          <w:tcPr>
            <w:tcW w:w="4520" w:type="dxa"/>
            <w:vAlign w:val="bottom"/>
            <w:tcBorders>
              <w:right w:val="single" w:sz="8" w:color="0000FF"/>
            </w:tcBorders>
            <w:gridSpan w:val="4"/>
            <w:shd w:val="clear" w:color="auto" w:fill="0000EE"/>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39"/>
        </w:trPr>
        <w:tc>
          <w:tcPr>
            <w:tcW w:w="1180" w:type="dxa"/>
            <w:vAlign w:val="bottom"/>
          </w:tcPr>
          <w:p>
            <w:pPr>
              <w:spacing w:after="0"/>
              <w:rPr>
                <w:sz w:val="24"/>
                <w:szCs w:val="24"/>
                <w:color w:val="auto"/>
              </w:rPr>
            </w:pPr>
          </w:p>
        </w:tc>
        <w:tc>
          <w:tcPr>
            <w:tcW w:w="4800" w:type="dxa"/>
            <w:vAlign w:val="bottom"/>
            <w:gridSpan w:val="5"/>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Unaudited Condensed Consolidated Financial Statements</w:t>
              </w:r>
            </w:hyperlink>
          </w:p>
        </w:tc>
        <w:tc>
          <w:tcPr>
            <w:tcW w:w="4560" w:type="dxa"/>
            <w:vAlign w:val="bottom"/>
            <w:gridSpan w:val="6"/>
          </w:tcPr>
          <w:p>
            <w:pPr>
              <w:spacing w:after="0"/>
              <w:rPr>
                <w:sz w:val="24"/>
                <w:szCs w:val="24"/>
                <w:color w:val="auto"/>
              </w:rPr>
            </w:pPr>
          </w:p>
        </w:tc>
        <w:tc>
          <w:tcPr>
            <w:tcW w:w="180" w:type="dxa"/>
            <w:vAlign w:val="bottom"/>
            <w:gridSpan w:val="3"/>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7</w:t>
              </w:r>
            </w:hyperlink>
          </w:p>
        </w:tc>
      </w:tr>
      <w:tr>
        <w:trPr>
          <w:trHeight w:val="20"/>
        </w:trPr>
        <w:tc>
          <w:tcPr>
            <w:tcW w:w="1180" w:type="dxa"/>
            <w:vAlign w:val="bottom"/>
          </w:tcPr>
          <w:p>
            <w:pPr>
              <w:spacing w:after="0" w:line="20" w:lineRule="exact"/>
              <w:rPr>
                <w:sz w:val="1"/>
                <w:szCs w:val="1"/>
                <w:color w:val="auto"/>
              </w:rPr>
            </w:pPr>
          </w:p>
        </w:tc>
        <w:tc>
          <w:tcPr>
            <w:tcW w:w="4800" w:type="dxa"/>
            <w:vAlign w:val="bottom"/>
            <w:gridSpan w:val="5"/>
            <w:shd w:val="clear" w:color="auto" w:fill="0000EE"/>
          </w:tcPr>
          <w:p>
            <w:pPr>
              <w:spacing w:after="0" w:line="20" w:lineRule="exact"/>
              <w:rPr>
                <w:sz w:val="1"/>
                <w:szCs w:val="1"/>
                <w:color w:val="auto"/>
              </w:rPr>
            </w:pPr>
          </w:p>
        </w:tc>
        <w:tc>
          <w:tcPr>
            <w:tcW w:w="456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520"/>
        </w:trPr>
        <w:tc>
          <w:tcPr>
            <w:tcW w:w="1180" w:type="dxa"/>
            <w:vAlign w:val="bottom"/>
          </w:tcPr>
          <w:p>
            <w:pPr>
              <w:ind w:left="120"/>
              <w:spacing w:after="0"/>
              <w:rPr>
                <w:sz w:val="20"/>
                <w:szCs w:val="20"/>
                <w:color w:val="auto"/>
              </w:rPr>
            </w:pPr>
            <w:r>
              <w:rPr>
                <w:rFonts w:ascii="Arial" w:cs="Arial" w:eastAsia="Arial" w:hAnsi="Arial"/>
                <w:sz w:val="18"/>
                <w:szCs w:val="18"/>
                <w:b w:val="1"/>
                <w:bCs w:val="1"/>
                <w:color w:val="auto"/>
              </w:rPr>
              <w:t>Item 2:</w:t>
            </w:r>
          </w:p>
        </w:tc>
        <w:tc>
          <w:tcPr>
            <w:tcW w:w="9360" w:type="dxa"/>
            <w:vAlign w:val="bottom"/>
            <w:gridSpan w:val="11"/>
          </w:tcPr>
          <w:p>
            <w:pPr>
              <w:spacing w:after="0"/>
              <w:rPr>
                <w:rFonts w:ascii="Arial" w:cs="Arial" w:eastAsia="Arial" w:hAnsi="Arial"/>
                <w:sz w:val="18"/>
                <w:szCs w:val="18"/>
                <w:b w:val="1"/>
                <w:bCs w:val="1"/>
                <w:color w:val="auto"/>
              </w:rPr>
            </w:pPr>
            <w:hyperlink w:anchor="page30">
              <w:r>
                <w:rPr>
                  <w:rFonts w:ascii="Arial" w:cs="Arial" w:eastAsia="Arial" w:hAnsi="Arial"/>
                  <w:sz w:val="18"/>
                  <w:szCs w:val="18"/>
                  <w:b w:val="1"/>
                  <w:bCs w:val="1"/>
                  <w:color w:val="auto"/>
                </w:rPr>
                <w:t>Management’s Discussion and Analysis of Financial Condition and Results of Operations</w:t>
              </w:r>
            </w:hyperlink>
          </w:p>
        </w:tc>
        <w:tc>
          <w:tcPr>
            <w:tcW w:w="18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28</w:t>
              </w:r>
            </w:hyperlink>
          </w:p>
        </w:tc>
      </w:tr>
      <w:tr>
        <w:trPr>
          <w:trHeight w:val="520"/>
        </w:trPr>
        <w:tc>
          <w:tcPr>
            <w:tcW w:w="1180" w:type="dxa"/>
            <w:vAlign w:val="bottom"/>
          </w:tcPr>
          <w:p>
            <w:pPr>
              <w:ind w:left="120"/>
              <w:spacing w:after="0"/>
              <w:rPr>
                <w:sz w:val="20"/>
                <w:szCs w:val="20"/>
                <w:color w:val="auto"/>
              </w:rPr>
            </w:pPr>
            <w:r>
              <w:rPr>
                <w:rFonts w:ascii="Arial" w:cs="Arial" w:eastAsia="Arial" w:hAnsi="Arial"/>
                <w:sz w:val="18"/>
                <w:szCs w:val="18"/>
                <w:b w:val="1"/>
                <w:bCs w:val="1"/>
                <w:color w:val="auto"/>
              </w:rPr>
              <w:t>Item 3:</w:t>
            </w:r>
          </w:p>
        </w:tc>
        <w:tc>
          <w:tcPr>
            <w:tcW w:w="9360" w:type="dxa"/>
            <w:vAlign w:val="bottom"/>
            <w:gridSpan w:val="11"/>
          </w:tcPr>
          <w:p>
            <w:pPr>
              <w:spacing w:after="0"/>
              <w:rPr>
                <w:rFonts w:ascii="Arial" w:cs="Arial" w:eastAsia="Arial" w:hAnsi="Arial"/>
                <w:sz w:val="18"/>
                <w:szCs w:val="18"/>
                <w:b w:val="1"/>
                <w:bCs w:val="1"/>
                <w:color w:val="auto"/>
              </w:rPr>
            </w:pPr>
            <w:hyperlink w:anchor="page42">
              <w:r>
                <w:rPr>
                  <w:rFonts w:ascii="Arial" w:cs="Arial" w:eastAsia="Arial" w:hAnsi="Arial"/>
                  <w:sz w:val="18"/>
                  <w:szCs w:val="18"/>
                  <w:b w:val="1"/>
                  <w:bCs w:val="1"/>
                  <w:color w:val="auto"/>
                </w:rPr>
                <w:t>Quantitative and Qualitative Disclosures About Market Risk</w:t>
              </w:r>
            </w:hyperlink>
          </w:p>
        </w:tc>
        <w:tc>
          <w:tcPr>
            <w:tcW w:w="18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40</w:t>
              </w:r>
            </w:hyperlink>
          </w:p>
        </w:tc>
      </w:tr>
      <w:tr>
        <w:trPr>
          <w:trHeight w:val="520"/>
        </w:trPr>
        <w:tc>
          <w:tcPr>
            <w:tcW w:w="1180" w:type="dxa"/>
            <w:vAlign w:val="bottom"/>
          </w:tcPr>
          <w:p>
            <w:pPr>
              <w:ind w:left="120"/>
              <w:spacing w:after="0"/>
              <w:rPr>
                <w:sz w:val="20"/>
                <w:szCs w:val="20"/>
                <w:color w:val="auto"/>
              </w:rPr>
            </w:pPr>
            <w:r>
              <w:rPr>
                <w:rFonts w:ascii="Arial" w:cs="Arial" w:eastAsia="Arial" w:hAnsi="Arial"/>
                <w:sz w:val="18"/>
                <w:szCs w:val="18"/>
                <w:b w:val="1"/>
                <w:bCs w:val="1"/>
                <w:color w:val="auto"/>
              </w:rPr>
              <w:t>Item 4:</w:t>
            </w:r>
          </w:p>
        </w:tc>
        <w:tc>
          <w:tcPr>
            <w:tcW w:w="9360" w:type="dxa"/>
            <w:vAlign w:val="bottom"/>
            <w:gridSpan w:val="11"/>
          </w:tcPr>
          <w:p>
            <w:pPr>
              <w:spacing w:after="0"/>
              <w:rPr>
                <w:rFonts w:ascii="Arial" w:cs="Arial" w:eastAsia="Arial" w:hAnsi="Arial"/>
                <w:sz w:val="18"/>
                <w:szCs w:val="18"/>
                <w:b w:val="1"/>
                <w:bCs w:val="1"/>
                <w:color w:val="auto"/>
              </w:rPr>
            </w:pPr>
            <w:hyperlink w:anchor="page43">
              <w:r>
                <w:rPr>
                  <w:rFonts w:ascii="Arial" w:cs="Arial" w:eastAsia="Arial" w:hAnsi="Arial"/>
                  <w:sz w:val="18"/>
                  <w:szCs w:val="18"/>
                  <w:b w:val="1"/>
                  <w:bCs w:val="1"/>
                  <w:color w:val="auto"/>
                </w:rPr>
                <w:t>Controls and Procedures</w:t>
              </w:r>
            </w:hyperlink>
          </w:p>
        </w:tc>
        <w:tc>
          <w:tcPr>
            <w:tcW w:w="18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41</w:t>
              </w:r>
            </w:hyperlink>
          </w:p>
        </w:tc>
      </w:tr>
      <w:tr>
        <w:trPr>
          <w:trHeight w:val="520"/>
        </w:trPr>
        <w:tc>
          <w:tcPr>
            <w:tcW w:w="1180" w:type="dxa"/>
            <w:vAlign w:val="bottom"/>
          </w:tcPr>
          <w:p>
            <w:pPr>
              <w:spacing w:after="0"/>
              <w:rPr>
                <w:sz w:val="20"/>
                <w:szCs w:val="20"/>
                <w:color w:val="auto"/>
              </w:rPr>
            </w:pPr>
            <w:r>
              <w:rPr>
                <w:rFonts w:ascii="Arial" w:cs="Arial" w:eastAsia="Arial" w:hAnsi="Arial"/>
                <w:sz w:val="18"/>
                <w:szCs w:val="18"/>
                <w:color w:val="auto"/>
              </w:rPr>
              <w:t>PART II.</w:t>
            </w:r>
          </w:p>
        </w:tc>
        <w:tc>
          <w:tcPr>
            <w:tcW w:w="9360" w:type="dxa"/>
            <w:vAlign w:val="bottom"/>
            <w:gridSpan w:val="11"/>
          </w:tcPr>
          <w:p>
            <w:pPr>
              <w:spacing w:after="0"/>
              <w:rPr>
                <w:rFonts w:ascii="Arial" w:cs="Arial" w:eastAsia="Arial" w:hAnsi="Arial"/>
                <w:sz w:val="18"/>
                <w:szCs w:val="18"/>
                <w:color w:val="auto"/>
              </w:rPr>
            </w:pPr>
            <w:hyperlink w:anchor="page44">
              <w:r>
                <w:rPr>
                  <w:rFonts w:ascii="Arial" w:cs="Arial" w:eastAsia="Arial" w:hAnsi="Arial"/>
                  <w:sz w:val="18"/>
                  <w:szCs w:val="18"/>
                  <w:color w:val="auto"/>
                </w:rPr>
                <w:t>OTHER INFORMATION</w:t>
              </w:r>
            </w:hyperlink>
          </w:p>
        </w:tc>
        <w:tc>
          <w:tcPr>
            <w:tcW w:w="18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42</w:t>
              </w:r>
            </w:hyperlink>
          </w:p>
        </w:tc>
      </w:tr>
      <w:tr>
        <w:trPr>
          <w:trHeight w:val="520"/>
        </w:trPr>
        <w:tc>
          <w:tcPr>
            <w:tcW w:w="1180" w:type="dxa"/>
            <w:vAlign w:val="bottom"/>
          </w:tcPr>
          <w:p>
            <w:pPr>
              <w:ind w:left="120"/>
              <w:spacing w:after="0"/>
              <w:rPr>
                <w:sz w:val="20"/>
                <w:szCs w:val="20"/>
                <w:color w:val="auto"/>
              </w:rPr>
            </w:pPr>
            <w:r>
              <w:rPr>
                <w:rFonts w:ascii="Arial" w:cs="Arial" w:eastAsia="Arial" w:hAnsi="Arial"/>
                <w:sz w:val="18"/>
                <w:szCs w:val="18"/>
                <w:b w:val="1"/>
                <w:bCs w:val="1"/>
                <w:color w:val="auto"/>
              </w:rPr>
              <w:t>Item 2:</w:t>
            </w:r>
          </w:p>
        </w:tc>
        <w:tc>
          <w:tcPr>
            <w:tcW w:w="9360" w:type="dxa"/>
            <w:vAlign w:val="bottom"/>
            <w:gridSpan w:val="11"/>
          </w:tcPr>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tc>
        <w:tc>
          <w:tcPr>
            <w:tcW w:w="18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42</w:t>
              </w:r>
            </w:hyperlink>
          </w:p>
        </w:tc>
      </w:tr>
      <w:tr>
        <w:trPr>
          <w:trHeight w:val="520"/>
        </w:trPr>
        <w:tc>
          <w:tcPr>
            <w:tcW w:w="1180" w:type="dxa"/>
            <w:vAlign w:val="bottom"/>
          </w:tcPr>
          <w:p>
            <w:pPr>
              <w:ind w:left="120"/>
              <w:spacing w:after="0"/>
              <w:rPr>
                <w:sz w:val="20"/>
                <w:szCs w:val="20"/>
                <w:color w:val="auto"/>
              </w:rPr>
            </w:pPr>
            <w:r>
              <w:rPr>
                <w:rFonts w:ascii="Arial" w:cs="Arial" w:eastAsia="Arial" w:hAnsi="Arial"/>
                <w:sz w:val="18"/>
                <w:szCs w:val="18"/>
                <w:b w:val="1"/>
                <w:bCs w:val="1"/>
                <w:color w:val="auto"/>
              </w:rPr>
              <w:t>Item 6:</w:t>
            </w:r>
          </w:p>
        </w:tc>
        <w:tc>
          <w:tcPr>
            <w:tcW w:w="9360" w:type="dxa"/>
            <w:vAlign w:val="bottom"/>
            <w:gridSpan w:val="11"/>
          </w:tcPr>
          <w:p>
            <w:pPr>
              <w:spacing w:after="0"/>
              <w:rPr>
                <w:rFonts w:ascii="Arial" w:cs="Arial" w:eastAsia="Arial" w:hAnsi="Arial"/>
                <w:sz w:val="18"/>
                <w:szCs w:val="18"/>
                <w:b w:val="1"/>
                <w:bCs w:val="1"/>
                <w:color w:val="auto"/>
              </w:rPr>
            </w:pPr>
            <w:hyperlink w:anchor="page44">
              <w:r>
                <w:rPr>
                  <w:rFonts w:ascii="Arial" w:cs="Arial" w:eastAsia="Arial" w:hAnsi="Arial"/>
                  <w:sz w:val="18"/>
                  <w:szCs w:val="18"/>
                  <w:b w:val="1"/>
                  <w:bCs w:val="1"/>
                  <w:color w:val="auto"/>
                </w:rPr>
                <w:t>Exhibits</w:t>
              </w:r>
            </w:hyperlink>
          </w:p>
        </w:tc>
        <w:tc>
          <w:tcPr>
            <w:tcW w:w="18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42</w:t>
              </w:r>
            </w:hyperlink>
          </w:p>
        </w:tc>
      </w:tr>
    </w:tbl>
    <w:p>
      <w:pPr>
        <w:sectPr>
          <w:pgSz w:w="11900" w:h="16838" w:orient="portrait"/>
          <w:cols w:equalWidth="0" w:num="1">
            <w:col w:w="10720"/>
          </w:cols>
          <w:pgMar w:left="600" w:top="364" w:right="57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July 31,</w:t>
            </w:r>
          </w:p>
        </w:tc>
        <w:tc>
          <w:tcPr>
            <w:tcW w:w="260" w:type="dxa"/>
            <w:vAlign w:val="bottom"/>
          </w:tcPr>
          <w:p>
            <w:pPr>
              <w:spacing w:after="0"/>
              <w:rPr>
                <w:sz w:val="14"/>
                <w:szCs w:val="14"/>
                <w:color w:val="auto"/>
              </w:rPr>
            </w:pPr>
          </w:p>
        </w:tc>
        <w:tc>
          <w:tcPr>
            <w:tcW w:w="1000" w:type="dxa"/>
            <w:vAlign w:val="bottom"/>
          </w:tcPr>
          <w:p>
            <w:pPr>
              <w:jc w:val="right"/>
              <w:ind w:right="191"/>
              <w:spacing w:after="0"/>
              <w:rPr>
                <w:sz w:val="20"/>
                <w:szCs w:val="20"/>
                <w:color w:val="auto"/>
              </w:rPr>
            </w:pPr>
            <w:r>
              <w:rPr>
                <w:rFonts w:ascii="Arial" w:cs="Arial" w:eastAsia="Arial" w:hAnsi="Arial"/>
                <w:sz w:val="14"/>
                <w:szCs w:val="14"/>
                <w:b w:val="1"/>
                <w:bCs w:val="1"/>
                <w:color w:val="auto"/>
                <w:w w:val="90"/>
              </w:rPr>
              <w:t>October 31,</w:t>
            </w:r>
          </w:p>
        </w:tc>
      </w:tr>
      <w:tr>
        <w:trPr>
          <w:trHeight w:val="192"/>
        </w:trPr>
        <w:tc>
          <w:tcPr>
            <w:tcW w:w="8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152"/>
        </w:trPr>
        <w:tc>
          <w:tcPr>
            <w:tcW w:w="8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80" w:type="dxa"/>
            <w:vAlign w:val="bottom"/>
            <w:gridSpan w:val="4"/>
          </w:tcPr>
          <w:p>
            <w:pPr>
              <w:jc w:val="right"/>
              <w:ind w:right="391"/>
              <w:spacing w:after="0" w:line="153" w:lineRule="exact"/>
              <w:rPr>
                <w:sz w:val="20"/>
                <w:szCs w:val="20"/>
                <w:color w:val="auto"/>
              </w:rPr>
            </w:pPr>
            <w:r>
              <w:rPr>
                <w:rFonts w:ascii="Arial" w:cs="Arial" w:eastAsia="Arial" w:hAnsi="Arial"/>
                <w:sz w:val="14"/>
                <w:szCs w:val="14"/>
                <w:b w:val="1"/>
                <w:bCs w:val="1"/>
                <w:color w:val="auto"/>
              </w:rPr>
              <w:t>(In thousands, except share</w:t>
            </w:r>
          </w:p>
        </w:tc>
      </w:tr>
      <w:tr>
        <w:trPr>
          <w:trHeight w:val="186"/>
        </w:trPr>
        <w:tc>
          <w:tcPr>
            <w:tcW w:w="8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amounts)</w:t>
            </w:r>
          </w:p>
        </w:tc>
        <w:tc>
          <w:tcPr>
            <w:tcW w:w="1000" w:type="dxa"/>
            <w:vAlign w:val="bottom"/>
          </w:tcPr>
          <w:p>
            <w:pPr>
              <w:spacing w:after="0"/>
              <w:rPr>
                <w:sz w:val="16"/>
                <w:szCs w:val="16"/>
                <w:color w:val="auto"/>
              </w:rPr>
            </w:pPr>
          </w:p>
        </w:tc>
      </w:tr>
      <w:tr>
        <w:trPr>
          <w:trHeight w:val="230"/>
        </w:trPr>
        <w:tc>
          <w:tcPr>
            <w:tcW w:w="8800" w:type="dxa"/>
            <w:vAlign w:val="bottom"/>
          </w:tcPr>
          <w:p>
            <w:pPr>
              <w:ind w:left="4140"/>
              <w:spacing w:after="0"/>
              <w:rPr>
                <w:sz w:val="20"/>
                <w:szCs w:val="20"/>
                <w:color w:val="auto"/>
              </w:rPr>
            </w:pPr>
            <w:r>
              <w:rPr>
                <w:rFonts w:ascii="Arial" w:cs="Arial" w:eastAsia="Arial" w:hAnsi="Arial"/>
                <w:sz w:val="14"/>
                <w:szCs w:val="14"/>
                <w:b w:val="1"/>
                <w:bCs w:val="1"/>
                <w:color w:val="auto"/>
              </w:rPr>
              <w:t>ASSETS</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96"/>
        </w:trPr>
        <w:tc>
          <w:tcPr>
            <w:tcW w:w="88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29,003</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Accounts receivable, net of allowance for doubtful accounts of $502 and $325</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82,302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84,014</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 net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84,762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70,730</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8,270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7,296</w:t>
            </w: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185,985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191,043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Property, plant and equipment, net of accumulated depreciation of $310,983 and $288,607</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190,447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201,370</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186,829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219,627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108,620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121,919</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8,183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9,255</w:t>
            </w:r>
          </w:p>
        </w:tc>
      </w:tr>
      <w:tr>
        <w:trPr>
          <w:trHeight w:val="237"/>
        </w:trPr>
        <w:tc>
          <w:tcPr>
            <w:tcW w:w="880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680,064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743,214</w:t>
            </w:r>
          </w:p>
        </w:tc>
      </w:tr>
      <w:tr>
        <w:trPr>
          <w:trHeight w:val="67"/>
        </w:trPr>
        <w:tc>
          <w:tcPr>
            <w:tcW w:w="88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185"/>
        </w:trPr>
        <w:tc>
          <w:tcPr>
            <w:tcW w:w="8800" w:type="dxa"/>
            <w:vAlign w:val="bottom"/>
            <w:shd w:val="clear" w:color="auto" w:fill="CCEEFF"/>
          </w:tcPr>
          <w:p>
            <w:pPr>
              <w:ind w:left="2840"/>
              <w:spacing w:after="0"/>
              <w:rPr>
                <w:sz w:val="20"/>
                <w:szCs w:val="20"/>
                <w:color w:val="auto"/>
              </w:rPr>
            </w:pPr>
            <w:r>
              <w:rPr>
                <w:rFonts w:ascii="Arial" w:cs="Arial" w:eastAsia="Arial" w:hAnsi="Arial"/>
                <w:sz w:val="14"/>
                <w:szCs w:val="14"/>
                <w:b w:val="1"/>
                <w:bCs w:val="1"/>
                <w:color w:val="auto"/>
              </w:rPr>
              <w:t>LIABILITIES AND STOCKHOLDERS' EQUITY</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66"/>
        </w:trPr>
        <w:tc>
          <w:tcPr>
            <w:tcW w:w="88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52,602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52,389</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30,056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45,968</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2,780</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Current maturities of long-term debt</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1,224</w:t>
            </w: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86,630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102,361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191,109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209,332</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pension and postretirement benefits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19,051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17,510</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15,344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14,571</w:t>
            </w:r>
          </w:p>
        </w:tc>
      </w:tr>
      <w:tr>
        <w:trPr>
          <w:trHeight w:val="237"/>
        </w:trPr>
        <w:tc>
          <w:tcPr>
            <w:tcW w:w="88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318,714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347,992</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 no par value, shares authorized 1,000,000; issued and outstanding - none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800" w:type="dxa"/>
            <w:vAlign w:val="bottom"/>
          </w:tcPr>
          <w:p>
            <w:pPr>
              <w:ind w:left="380"/>
              <w:spacing w:after="0"/>
              <w:rPr>
                <w:sz w:val="20"/>
                <w:szCs w:val="20"/>
                <w:color w:val="auto"/>
              </w:rPr>
            </w:pPr>
            <w:r>
              <w:rPr>
                <w:rFonts w:ascii="Arial" w:cs="Arial" w:eastAsia="Arial" w:hAnsi="Arial"/>
                <w:sz w:val="18"/>
                <w:szCs w:val="18"/>
                <w:color w:val="auto"/>
                <w:w w:val="92"/>
              </w:rPr>
              <w:t>Common stock, $0.01 par value, shares authorized 125,000,000; issued 37,370,402 and 37,433,817, respectively;</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800" w:type="dxa"/>
            <w:vAlign w:val="bottom"/>
          </w:tcPr>
          <w:p>
            <w:pPr>
              <w:ind w:left="380"/>
              <w:spacing w:after="0"/>
              <w:rPr>
                <w:sz w:val="20"/>
                <w:szCs w:val="20"/>
                <w:color w:val="auto"/>
              </w:rPr>
            </w:pPr>
            <w:r>
              <w:rPr>
                <w:rFonts w:ascii="Arial" w:cs="Arial" w:eastAsia="Arial" w:hAnsi="Arial"/>
                <w:sz w:val="18"/>
                <w:szCs w:val="18"/>
                <w:color w:val="auto"/>
              </w:rPr>
              <w:t>outstanding 33,162,058 and 33,339,032, respectively</w:t>
            </w:r>
          </w:p>
        </w:tc>
        <w:tc>
          <w:tcPr>
            <w:tcW w:w="24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374</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paid-in-capital</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254,053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254,678</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219,340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243,904</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(30,705)</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Less: Treasury stock at cost, 4,208,344 and 4,094,785 shares, respectively</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(74,143)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(73,029)</w:t>
            </w: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361,350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395,222</w:t>
            </w:r>
          </w:p>
        </w:tc>
      </w:tr>
      <w:tr>
        <w:trPr>
          <w:trHeight w:val="237"/>
        </w:trPr>
        <w:tc>
          <w:tcPr>
            <w:tcW w:w="880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680,064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743,214</w:t>
            </w:r>
          </w:p>
        </w:tc>
      </w:tr>
      <w:tr>
        <w:trPr>
          <w:trHeight w:val="27"/>
        </w:trPr>
        <w:tc>
          <w:tcPr>
            <w:tcW w:w="8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42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7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4"/>
                <w:szCs w:val="14"/>
                <w:b w:val="1"/>
                <w:bCs w:val="1"/>
                <w:color w:val="auto"/>
              </w:rPr>
              <w:t>July 31,</w:t>
            </w:r>
          </w:p>
        </w:tc>
        <w:tc>
          <w:tcPr>
            <w:tcW w:w="9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July 31,</w:t>
            </w:r>
          </w:p>
        </w:tc>
        <w:tc>
          <w:tcPr>
            <w:tcW w:w="940" w:type="dxa"/>
            <w:vAlign w:val="bottom"/>
            <w:tcBorders>
              <w:bottom w:val="single" w:sz="8" w:color="auto"/>
            </w:tcBorders>
          </w:tcPr>
          <w:p>
            <w:pPr>
              <w:spacing w:after="0"/>
              <w:rPr>
                <w:sz w:val="24"/>
                <w:szCs w:val="24"/>
                <w:color w:val="auto"/>
              </w:rPr>
            </w:pPr>
          </w:p>
        </w:tc>
      </w:tr>
      <w:tr>
        <w:trPr>
          <w:trHeight w:val="264"/>
        </w:trPr>
        <w:tc>
          <w:tcPr>
            <w:tcW w:w="57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196"/>
        </w:trPr>
        <w:tc>
          <w:tcPr>
            <w:tcW w:w="5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40" w:type="dxa"/>
            <w:vAlign w:val="bottom"/>
            <w:gridSpan w:val="6"/>
          </w:tcPr>
          <w:p>
            <w:pPr>
              <w:ind w:left="100"/>
              <w:spacing w:after="0"/>
              <w:rPr>
                <w:sz w:val="20"/>
                <w:szCs w:val="20"/>
                <w:color w:val="auto"/>
              </w:rPr>
            </w:pPr>
            <w:r>
              <w:rPr>
                <w:rFonts w:ascii="Arial" w:cs="Arial" w:eastAsia="Arial" w:hAnsi="Arial"/>
                <w:sz w:val="14"/>
                <w:szCs w:val="14"/>
                <w:b w:val="1"/>
                <w:bCs w:val="1"/>
                <w:color w:val="auto"/>
              </w:rPr>
              <w:t>(In thousands, except per share amounts)</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56"/>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238,461</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239,821</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653,472</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645,699</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Cost and expenses: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sales (excluding 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181,357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185,811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511,292</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509,357</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25,718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24,246</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77,466</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72,217</w:t>
            </w:r>
          </w:p>
        </w:tc>
      </w:tr>
      <w:tr>
        <w:trPr>
          <w:trHeight w:val="27"/>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charges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243</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281</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851</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12,182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12,691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37,158</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39,274</w:t>
            </w:r>
          </w:p>
        </w:tc>
      </w:tr>
      <w:tr>
        <w:trPr>
          <w:trHeight w:val="27"/>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Asset impairment charges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29,978</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19,110</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16,830</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(2,703)</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24,000</w:t>
            </w:r>
          </w:p>
        </w:tc>
      </w:tr>
      <w:tr>
        <w:trPr>
          <w:trHeight w:val="27"/>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Non-operating (expense) income: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(2,570)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(2,641)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(7,614)</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(7,584)</w:t>
            </w:r>
          </w:p>
        </w:tc>
      </w:tr>
      <w:tr>
        <w:trPr>
          <w:trHeight w:val="27"/>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461</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884</w:t>
            </w: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16,799</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14,384</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(9,856)</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17,300</w:t>
            </w:r>
          </w:p>
        </w:tc>
      </w:tr>
      <w:tr>
        <w:trPr>
          <w:trHeight w:val="27"/>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(4,958)</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(3,631)</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(5,926)</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2,536</w:t>
            </w:r>
          </w:p>
        </w:tc>
      </w:tr>
      <w:tr>
        <w:trPr>
          <w:trHeight w:val="297"/>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11,841</w:t>
            </w:r>
          </w:p>
        </w:tc>
        <w:tc>
          <w:tcPr>
            <w:tcW w:w="2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10,753</w:t>
            </w:r>
          </w:p>
        </w:tc>
        <w:tc>
          <w:tcPr>
            <w:tcW w:w="2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(15,782)</w:t>
            </w:r>
          </w:p>
        </w:tc>
        <w:tc>
          <w:tcPr>
            <w:tcW w:w="2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19,836</w:t>
            </w:r>
          </w:p>
        </w:tc>
      </w:tr>
      <w:tr>
        <w:trPr>
          <w:trHeight w:val="311"/>
        </w:trPr>
        <w:tc>
          <w:tcPr>
            <w:tcW w:w="57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Basic income (loss) per common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0.36</w:t>
            </w:r>
          </w:p>
        </w:tc>
        <w:tc>
          <w:tcPr>
            <w:tcW w:w="220" w:type="dxa"/>
            <w:vAlign w:val="bottom"/>
          </w:tcPr>
          <w:p>
            <w:pPr>
              <w:spacing w:after="0"/>
              <w:rPr>
                <w:sz w:val="21"/>
                <w:szCs w:val="21"/>
                <w:color w:val="auto"/>
              </w:rPr>
            </w:pPr>
          </w:p>
        </w:tc>
        <w:tc>
          <w:tcPr>
            <w:tcW w:w="300" w:type="dxa"/>
            <w:vAlign w:val="bottom"/>
          </w:tcPr>
          <w:p>
            <w:pPr>
              <w:jc w:val="right"/>
              <w:ind w:right="93"/>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0.31</w:t>
            </w:r>
          </w:p>
        </w:tc>
        <w:tc>
          <w:tcPr>
            <w:tcW w:w="2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(0.48)</w:t>
            </w:r>
          </w:p>
        </w:tc>
        <w:tc>
          <w:tcPr>
            <w:tcW w:w="2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0.57</w:t>
            </w:r>
          </w:p>
        </w:tc>
      </w:tr>
      <w:tr>
        <w:trPr>
          <w:trHeight w:val="27"/>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324"/>
        </w:trPr>
        <w:tc>
          <w:tcPr>
            <w:tcW w:w="57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Diluted income (loss) per common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0.36</w:t>
            </w:r>
          </w:p>
        </w:tc>
        <w:tc>
          <w:tcPr>
            <w:tcW w:w="220" w:type="dxa"/>
            <w:vAlign w:val="bottom"/>
          </w:tcPr>
          <w:p>
            <w:pPr>
              <w:spacing w:after="0"/>
              <w:rPr>
                <w:sz w:val="21"/>
                <w:szCs w:val="21"/>
                <w:color w:val="auto"/>
              </w:rPr>
            </w:pPr>
          </w:p>
        </w:tc>
        <w:tc>
          <w:tcPr>
            <w:tcW w:w="300" w:type="dxa"/>
            <w:vAlign w:val="bottom"/>
          </w:tcPr>
          <w:p>
            <w:pPr>
              <w:jc w:val="right"/>
              <w:ind w:right="93"/>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0.31</w:t>
            </w:r>
          </w:p>
        </w:tc>
        <w:tc>
          <w:tcPr>
            <w:tcW w:w="2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(0.48)</w:t>
            </w:r>
          </w:p>
        </w:tc>
        <w:tc>
          <w:tcPr>
            <w:tcW w:w="2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0.56</w:t>
            </w:r>
          </w:p>
        </w:tc>
      </w:tr>
      <w:tr>
        <w:trPr>
          <w:trHeight w:val="27"/>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324"/>
        </w:trPr>
        <w:tc>
          <w:tcPr>
            <w:tcW w:w="57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32,899</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34,840</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32,984</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34,766</w:t>
            </w:r>
          </w:p>
        </w:tc>
      </w:tr>
      <w:tr>
        <w:trPr>
          <w:trHeight w:val="243"/>
        </w:trPr>
        <w:tc>
          <w:tcPr>
            <w:tcW w:w="5720" w:type="dxa"/>
            <w:vAlign w:val="bottom"/>
          </w:tcPr>
          <w:p>
            <w:pPr>
              <w:ind w:left="60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33,162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35,120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32,984</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35,125</w:t>
            </w:r>
          </w:p>
        </w:tc>
      </w:tr>
      <w:tr>
        <w:trPr>
          <w:trHeight w:val="27"/>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324"/>
        </w:trPr>
        <w:tc>
          <w:tcPr>
            <w:tcW w:w="57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5720" w:type="dxa"/>
            <w:vAlign w:val="bottom"/>
          </w:tcPr>
          <w:p>
            <w:pPr>
              <w:ind w:left="720"/>
              <w:spacing w:after="0"/>
              <w:rPr>
                <w:sz w:val="20"/>
                <w:szCs w:val="20"/>
                <w:color w:val="auto"/>
              </w:rPr>
            </w:pPr>
            <w:r>
              <w:rPr>
                <w:rFonts w:ascii="Arial" w:cs="Arial" w:eastAsia="Arial" w:hAnsi="Arial"/>
                <w:sz w:val="18"/>
                <w:szCs w:val="18"/>
                <w:color w:val="auto"/>
              </w:rPr>
              <w:t>Cash dividends per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0.08</w:t>
            </w:r>
          </w:p>
        </w:tc>
        <w:tc>
          <w:tcPr>
            <w:tcW w:w="220" w:type="dxa"/>
            <w:vAlign w:val="bottom"/>
          </w:tcPr>
          <w:p>
            <w:pPr>
              <w:spacing w:after="0"/>
              <w:rPr>
                <w:sz w:val="21"/>
                <w:szCs w:val="21"/>
                <w:color w:val="auto"/>
              </w:rPr>
            </w:pPr>
          </w:p>
        </w:tc>
        <w:tc>
          <w:tcPr>
            <w:tcW w:w="300" w:type="dxa"/>
            <w:vAlign w:val="bottom"/>
          </w:tcPr>
          <w:p>
            <w:pPr>
              <w:jc w:val="right"/>
              <w:ind w:right="93"/>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0.04</w:t>
            </w:r>
          </w:p>
        </w:tc>
        <w:tc>
          <w:tcPr>
            <w:tcW w:w="2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0.24</w:t>
            </w:r>
          </w:p>
        </w:tc>
        <w:tc>
          <w:tcPr>
            <w:tcW w:w="2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0.12</w:t>
            </w: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QUANEX BUILDING PRODUCTS CORPORATION CONDENSED CONSOLIDATED STATEMENTS OF COMPREHENSIVE INCOME (LOSS) (Unaudited)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1740" w:type="dxa"/>
            <w:vAlign w:val="bottom"/>
            <w:gridSpan w:val="4"/>
          </w:tcPr>
          <w:p>
            <w:pPr>
              <w:jc w:val="right"/>
              <w:ind w:right="233"/>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74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July 31,</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July 31,</w:t>
            </w:r>
          </w:p>
        </w:tc>
        <w:tc>
          <w:tcPr>
            <w:tcW w:w="660" w:type="dxa"/>
            <w:vAlign w:val="bottom"/>
            <w:tcBorders>
              <w:bottom w:val="single" w:sz="8" w:color="auto"/>
            </w:tcBorders>
          </w:tcPr>
          <w:p>
            <w:pPr>
              <w:spacing w:after="0"/>
              <w:rPr>
                <w:sz w:val="24"/>
                <w:szCs w:val="24"/>
                <w:color w:val="auto"/>
              </w:rPr>
            </w:pPr>
          </w:p>
        </w:tc>
      </w:tr>
      <w:tr>
        <w:trPr>
          <w:trHeight w:val="264"/>
        </w:trPr>
        <w:tc>
          <w:tcPr>
            <w:tcW w:w="74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r>
      <w:tr>
        <w:trPr>
          <w:trHeight w:val="196"/>
        </w:trPr>
        <w:tc>
          <w:tcPr>
            <w:tcW w:w="7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5"/>
          </w:tcPr>
          <w:p>
            <w:pPr>
              <w:ind w:left="28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11,841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8"/>
              </w:rPr>
              <w:t>10,753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(15,782)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8"/>
              </w:rPr>
              <w:t>19,836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i w:val="1"/>
                <w:iCs w:val="1"/>
                <w:color w:val="auto"/>
              </w:rPr>
              <w:t>Other comprehensive income:</w:t>
            </w: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loss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Change in pension from net unamortized loss adjustment (pretax)</w:t>
            </w:r>
          </w:p>
        </w:tc>
        <w:tc>
          <w:tcPr>
            <w:tcW w:w="1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pension from net unamortized loss adjustment tax benefit (expense)</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(10,147)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(7,650)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(7,569)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(2,525)</w:t>
            </w:r>
          </w:p>
        </w:tc>
      </w:tr>
      <w:tr>
        <w:trPr>
          <w:trHeight w:val="27"/>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1,694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3,103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(23,351)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8"/>
              </w:rPr>
              <w:t>17,311</w:t>
            </w: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p>
      <w:pPr>
        <w:jc w:val="center"/>
        <w:ind w:left="8720"/>
        <w:spacing w:after="0"/>
        <w:rPr>
          <w:sz w:val="20"/>
          <w:szCs w:val="20"/>
          <w:color w:val="auto"/>
        </w:rPr>
      </w:pPr>
      <w:r>
        <w:rPr>
          <w:rFonts w:ascii="Arial" w:cs="Arial" w:eastAsia="Arial" w:hAnsi="Arial"/>
          <w:sz w:val="14"/>
          <w:szCs w:val="14"/>
          <w:b w:val="1"/>
          <w:bCs w:val="1"/>
          <w:color w:val="auto"/>
        </w:rPr>
        <w:t>Nine Months Ended</w:t>
      </w:r>
    </w:p>
    <w:p>
      <w:pPr>
        <w:spacing w:after="0" w:line="42" w:lineRule="exact"/>
        <w:rPr>
          <w:sz w:val="20"/>
          <w:szCs w:val="20"/>
          <w:color w:val="auto"/>
        </w:rPr>
      </w:pPr>
    </w:p>
    <w:p>
      <w:pPr>
        <w:jc w:val="center"/>
        <w:ind w:left="8720"/>
        <w:spacing w:after="0"/>
        <w:rPr>
          <w:sz w:val="20"/>
          <w:szCs w:val="20"/>
          <w:color w:val="auto"/>
        </w:rPr>
      </w:pPr>
      <w:r>
        <w:rPr>
          <w:rFonts w:ascii="Arial" w:cs="Arial" w:eastAsia="Arial" w:hAnsi="Arial"/>
          <w:sz w:val="14"/>
          <w:szCs w:val="14"/>
          <w:b w:val="1"/>
          <w:bCs w:val="1"/>
          <w:color w:val="auto"/>
        </w:rPr>
        <w:t>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23495</wp:posOffset>
            </wp:positionV>
            <wp:extent cx="17322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190"/>
        </w:trPr>
        <w:tc>
          <w:tcPr>
            <w:tcW w:w="8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6"/>
                <w:szCs w:val="16"/>
                <w:color w:val="auto"/>
              </w:rPr>
            </w:pPr>
          </w:p>
        </w:tc>
      </w:tr>
      <w:tr>
        <w:trPr>
          <w:trHeight w:val="249"/>
        </w:trPr>
        <w:tc>
          <w:tcPr>
            <w:tcW w:w="8700" w:type="dxa"/>
            <w:vAlign w:val="bottom"/>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33"/>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(15,782)</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19,836</w:t>
            </w: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Adjustments to reconcile net (loss) income to cash provided by operating activities: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37,158</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39,274</w:t>
            </w:r>
          </w:p>
        </w:tc>
      </w:tr>
      <w:tr>
        <w:trPr>
          <w:trHeight w:val="243"/>
        </w:trPr>
        <w:tc>
          <w:tcPr>
            <w:tcW w:w="870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1,424</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1,002</w:t>
            </w:r>
          </w:p>
        </w:tc>
      </w:tr>
      <w:tr>
        <w:trPr>
          <w:trHeight w:val="27"/>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income tax</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1,930</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(5,788)</w:t>
            </w:r>
          </w:p>
        </w:tc>
      </w:tr>
      <w:tr>
        <w:trPr>
          <w:trHeight w:val="243"/>
        </w:trPr>
        <w:tc>
          <w:tcPr>
            <w:tcW w:w="8700" w:type="dxa"/>
            <w:vAlign w:val="bottom"/>
          </w:tcPr>
          <w:p>
            <w:pPr>
              <w:ind w:left="500"/>
              <w:spacing w:after="0"/>
              <w:rPr>
                <w:sz w:val="20"/>
                <w:szCs w:val="20"/>
                <w:color w:val="auto"/>
              </w:rPr>
            </w:pPr>
            <w:r>
              <w:rPr>
                <w:rFonts w:ascii="Arial" w:cs="Arial" w:eastAsia="Arial" w:hAnsi="Arial"/>
                <w:sz w:val="18"/>
                <w:szCs w:val="18"/>
                <w:color w:val="auto"/>
              </w:rPr>
              <w:t>Asset impairment charges</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29,978</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1,724</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w:t>
            </w: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Changes in assets and liabilities: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Decrease (increase) in 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(1,247)</w:t>
            </w:r>
          </w:p>
        </w:tc>
      </w:tr>
      <w:tr>
        <w:trPr>
          <w:trHeight w:val="243"/>
        </w:trPr>
        <w:tc>
          <w:tcPr>
            <w:tcW w:w="8700" w:type="dxa"/>
            <w:vAlign w:val="bottom"/>
          </w:tcPr>
          <w:p>
            <w:pPr>
              <w:ind w:left="500"/>
              <w:spacing w:after="0"/>
              <w:rPr>
                <w:sz w:val="20"/>
                <w:szCs w:val="20"/>
                <w:color w:val="auto"/>
              </w:rPr>
            </w:pPr>
            <w:r>
              <w:rPr>
                <w:rFonts w:ascii="Arial" w:cs="Arial" w:eastAsia="Arial" w:hAnsi="Arial"/>
                <w:sz w:val="18"/>
                <w:szCs w:val="18"/>
                <w:color w:val="auto"/>
              </w:rPr>
              <w:t>(Increase) decrease in inventory</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(14,747)</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310</w:t>
            </w:r>
          </w:p>
        </w:tc>
      </w:tr>
      <w:tr>
        <w:trPr>
          <w:trHeight w:val="27"/>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Increase in 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w:t>
            </w:r>
          </w:p>
        </w:tc>
      </w:tr>
      <w:tr>
        <w:trPr>
          <w:trHeight w:val="243"/>
        </w:trPr>
        <w:tc>
          <w:tcPr>
            <w:tcW w:w="8700" w:type="dxa"/>
            <w:vAlign w:val="bottom"/>
          </w:tcPr>
          <w:p>
            <w:pPr>
              <w:ind w:left="500"/>
              <w:spacing w:after="0"/>
              <w:rPr>
                <w:sz w:val="20"/>
                <w:szCs w:val="20"/>
                <w:color w:val="auto"/>
              </w:rPr>
            </w:pPr>
            <w:r>
              <w:rPr>
                <w:rFonts w:ascii="Arial" w:cs="Arial" w:eastAsia="Arial" w:hAnsi="Arial"/>
                <w:sz w:val="18"/>
                <w:szCs w:val="18"/>
                <w:color w:val="auto"/>
              </w:rPr>
              <w:t>Increase in accounts payable</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1,562</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1,161</w:t>
            </w:r>
          </w:p>
        </w:tc>
      </w:tr>
      <w:tr>
        <w:trPr>
          <w:trHeight w:val="27"/>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Decrease in accrued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(15,366)</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(7,565)</w:t>
            </w:r>
          </w:p>
        </w:tc>
      </w:tr>
      <w:tr>
        <w:trPr>
          <w:trHeight w:val="243"/>
        </w:trPr>
        <w:tc>
          <w:tcPr>
            <w:tcW w:w="8700" w:type="dxa"/>
            <w:vAlign w:val="bottom"/>
          </w:tcPr>
          <w:p>
            <w:pPr>
              <w:ind w:left="500"/>
              <w:spacing w:after="0"/>
              <w:rPr>
                <w:sz w:val="20"/>
                <w:szCs w:val="20"/>
                <w:color w:val="auto"/>
              </w:rPr>
            </w:pPr>
            <w:r>
              <w:rPr>
                <w:rFonts w:ascii="Arial" w:cs="Arial" w:eastAsia="Arial" w:hAnsi="Arial"/>
                <w:sz w:val="18"/>
                <w:szCs w:val="18"/>
                <w:color w:val="auto"/>
              </w:rPr>
              <w:t>Increase in income taxes payable</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396</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231</w:t>
            </w:r>
          </w:p>
        </w:tc>
      </w:tr>
      <w:tr>
        <w:trPr>
          <w:trHeight w:val="27"/>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Increase in deferred pension and postretirement benefits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2,351</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2,179</w:t>
            </w:r>
          </w:p>
        </w:tc>
      </w:tr>
      <w:tr>
        <w:trPr>
          <w:trHeight w:val="243"/>
        </w:trPr>
        <w:tc>
          <w:tcPr>
            <w:tcW w:w="8700" w:type="dxa"/>
            <w:vAlign w:val="bottom"/>
          </w:tcPr>
          <w:p>
            <w:pPr>
              <w:ind w:left="500"/>
              <w:spacing w:after="0"/>
              <w:rPr>
                <w:sz w:val="20"/>
                <w:szCs w:val="20"/>
                <w:color w:val="auto"/>
              </w:rPr>
            </w:pPr>
            <w:r>
              <w:rPr>
                <w:rFonts w:ascii="Arial" w:cs="Arial" w:eastAsia="Arial" w:hAnsi="Arial"/>
                <w:sz w:val="18"/>
                <w:szCs w:val="18"/>
                <w:color w:val="auto"/>
              </w:rPr>
              <w:t>(Decrease) increase in other long-term liabilities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210</w:t>
            </w:r>
          </w:p>
        </w:tc>
      </w:tr>
      <w:tr>
        <w:trPr>
          <w:trHeight w:val="27"/>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37"/>
        </w:trPr>
        <w:tc>
          <w:tcPr>
            <w:tcW w:w="8700" w:type="dxa"/>
            <w:vAlign w:val="bottom"/>
          </w:tcPr>
          <w:p>
            <w:pPr>
              <w:ind w:left="40"/>
              <w:spacing w:after="0"/>
              <w:rPr>
                <w:sz w:val="20"/>
                <w:szCs w:val="20"/>
                <w:color w:val="auto"/>
              </w:rPr>
            </w:pPr>
            <w:r>
              <w:rPr>
                <w:rFonts w:ascii="Arial" w:cs="Arial" w:eastAsia="Arial" w:hAnsi="Arial"/>
                <w:sz w:val="18"/>
                <w:szCs w:val="18"/>
                <w:color w:val="auto"/>
              </w:rPr>
              <w:t>Cash provided by operating activities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30,036</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48,453</w:t>
            </w:r>
          </w:p>
        </w:tc>
      </w:tr>
      <w:tr>
        <w:trPr>
          <w:trHeight w:val="27"/>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(16,984)</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(21,098)</w:t>
            </w:r>
          </w:p>
        </w:tc>
      </w:tr>
      <w:tr>
        <w:trPr>
          <w:trHeight w:val="27"/>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disposition of capital assets</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w:t>
            </w:r>
          </w:p>
        </w:tc>
      </w:tr>
      <w:tr>
        <w:trPr>
          <w:trHeight w:val="237"/>
        </w:trPr>
        <w:tc>
          <w:tcPr>
            <w:tcW w:w="8700" w:type="dxa"/>
            <w:vAlign w:val="bottom"/>
          </w:tcPr>
          <w:p>
            <w:pPr>
              <w:ind w:left="40"/>
              <w:spacing w:after="0"/>
              <w:rPr>
                <w:sz w:val="20"/>
                <w:szCs w:val="20"/>
                <w:color w:val="auto"/>
              </w:rPr>
            </w:pPr>
            <w:r>
              <w:rPr>
                <w:rFonts w:ascii="Arial" w:cs="Arial" w:eastAsia="Arial" w:hAnsi="Arial"/>
                <w:sz w:val="18"/>
                <w:szCs w:val="18"/>
                <w:color w:val="auto"/>
              </w:rPr>
              <w:t>Cash used for investing activities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(16,669)</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(20,838)</w:t>
            </w:r>
          </w:p>
        </w:tc>
      </w:tr>
      <w:tr>
        <w:trPr>
          <w:trHeight w:val="27"/>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Borrowings under credit facilities</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66,500</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33,500</w:t>
            </w:r>
          </w:p>
        </w:tc>
      </w:tr>
      <w:tr>
        <w:trPr>
          <w:trHeight w:val="27"/>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Repayments of credit facility borrowings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(84,000)</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(62,750)</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Repayments of other long-term debt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(1,102)</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(1,394)</w:t>
            </w:r>
          </w:p>
        </w:tc>
      </w:tr>
      <w:tr>
        <w:trPr>
          <w:trHeight w:val="27"/>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dividends paid</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(7,990)</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(4,202)</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Issuance of common stock</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2,710</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3,767</w:t>
            </w:r>
          </w:p>
        </w:tc>
      </w:tr>
      <w:tr>
        <w:trPr>
          <w:trHeight w:val="27"/>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Payroll tax paid to settle shares forfeited upon vesting of stock</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Purchase of treasury stock</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(6,336)</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used for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(30,548)</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(32,039)</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(1,171)</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(631)</w:t>
            </w:r>
          </w:p>
        </w:tc>
      </w:tr>
      <w:tr>
        <w:trPr>
          <w:trHeight w:val="27"/>
        </w:trPr>
        <w:tc>
          <w:tcPr>
            <w:tcW w:w="8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(18,352)</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(5,055)</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29,003</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17,455</w:t>
            </w:r>
          </w:p>
        </w:tc>
      </w:tr>
      <w:tr>
        <w:trPr>
          <w:trHeight w:val="27"/>
        </w:trPr>
        <w:tc>
          <w:tcPr>
            <w:tcW w:w="8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10,651</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12,400</w:t>
            </w:r>
          </w:p>
        </w:tc>
      </w:tr>
      <w:tr>
        <w:trPr>
          <w:trHeight w:val="20"/>
        </w:trPr>
        <w:tc>
          <w:tcPr>
            <w:tcW w:w="8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420" w:right="2260"/>
        <w:spacing w:after="0" w:line="275" w:lineRule="auto"/>
        <w:rPr>
          <w:sz w:val="20"/>
          <w:szCs w:val="20"/>
          <w:color w:val="auto"/>
        </w:rPr>
      </w:pPr>
      <w:r>
        <w:rPr>
          <w:rFonts w:ascii="Arial" w:cs="Arial" w:eastAsia="Arial" w:hAnsi="Arial"/>
          <w:sz w:val="18"/>
          <w:szCs w:val="18"/>
          <w:b w:val="1"/>
          <w:bCs w:val="1"/>
          <w:color w:val="auto"/>
        </w:rPr>
        <w:t>QUANEX BUILDING PRODUCTS CORPORATION CONDENSED CONSOLIDATED STATEMENTS OF STOCKHOLDERS’ EQUITY (Unaudited)</w:t>
      </w: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04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Accumulated</w:t>
            </w:r>
          </w:p>
        </w:tc>
        <w:tc>
          <w:tcPr>
            <w:tcW w:w="1020" w:type="dxa"/>
            <w:vAlign w:val="bottom"/>
          </w:tcPr>
          <w:p>
            <w:pPr>
              <w:spacing w:after="0"/>
              <w:rPr>
                <w:sz w:val="14"/>
                <w:szCs w:val="14"/>
                <w:color w:val="auto"/>
              </w:rPr>
            </w:pPr>
          </w:p>
        </w:tc>
        <w:tc>
          <w:tcPr>
            <w:tcW w:w="1080" w:type="dxa"/>
            <w:vAlign w:val="bottom"/>
            <w:vMerge w:val="restart"/>
          </w:tcPr>
          <w:p>
            <w:pPr>
              <w:jc w:val="center"/>
              <w:ind w:left="1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2980" w:type="dxa"/>
            <w:vAlign w:val="bottom"/>
            <w:vMerge w:val="restart"/>
          </w:tcPr>
          <w:p>
            <w:pPr>
              <w:jc w:val="center"/>
              <w:ind w:left="1828"/>
              <w:spacing w:after="0"/>
              <w:rPr>
                <w:sz w:val="20"/>
                <w:szCs w:val="20"/>
                <w:color w:val="auto"/>
              </w:rPr>
            </w:pPr>
            <w:r>
              <w:rPr>
                <w:rFonts w:ascii="Arial" w:cs="Arial" w:eastAsia="Arial" w:hAnsi="Arial"/>
                <w:sz w:val="14"/>
                <w:szCs w:val="14"/>
                <w:b w:val="1"/>
                <w:bCs w:val="1"/>
                <w:color w:val="auto"/>
                <w:w w:val="92"/>
              </w:rPr>
              <w:t>Common</w:t>
            </w:r>
          </w:p>
        </w:tc>
        <w:tc>
          <w:tcPr>
            <w:tcW w:w="1180" w:type="dxa"/>
            <w:vAlign w:val="bottom"/>
            <w:vMerge w:val="continue"/>
          </w:tcPr>
          <w:p>
            <w:pPr>
              <w:spacing w:after="0"/>
              <w:rPr>
                <w:sz w:val="12"/>
                <w:szCs w:val="12"/>
                <w:color w:val="auto"/>
              </w:rPr>
            </w:pPr>
          </w:p>
        </w:tc>
        <w:tc>
          <w:tcPr>
            <w:tcW w:w="10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Retained</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Treasury</w:t>
            </w: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vMerge w:val="restart"/>
          </w:tcPr>
          <w:p>
            <w:pPr>
              <w:spacing w:after="0"/>
              <w:rPr>
                <w:sz w:val="20"/>
                <w:szCs w:val="20"/>
                <w:color w:val="auto"/>
              </w:rPr>
            </w:pPr>
            <w:r>
              <w:rPr>
                <w:rFonts w:ascii="Arial" w:cs="Arial" w:eastAsia="Arial" w:hAnsi="Arial"/>
                <w:sz w:val="16"/>
                <w:szCs w:val="16"/>
                <w:b w:val="1"/>
                <w:bCs w:val="1"/>
                <w:color w:val="auto"/>
                <w:w w:val="91"/>
              </w:rPr>
              <w:t>Nine Months Ended July 31, 2019</w:t>
            </w:r>
          </w:p>
        </w:tc>
        <w:tc>
          <w:tcPr>
            <w:tcW w:w="2980" w:type="dxa"/>
            <w:vAlign w:val="bottom"/>
            <w:vMerge w:val="continue"/>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Paid-in</w:t>
            </w:r>
          </w:p>
        </w:tc>
        <w:tc>
          <w:tcPr>
            <w:tcW w:w="1040" w:type="dxa"/>
            <w:vAlign w:val="bottom"/>
            <w:vMerge w:val="continue"/>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20" w:type="dxa"/>
            <w:vAlign w:val="bottom"/>
            <w:vMerge w:val="continue"/>
          </w:tcPr>
          <w:p>
            <w:pPr>
              <w:spacing w:after="0"/>
              <w:rPr>
                <w:sz w:val="12"/>
                <w:szCs w:val="12"/>
                <w:color w:val="auto"/>
              </w:rPr>
            </w:pPr>
          </w:p>
        </w:tc>
        <w:tc>
          <w:tcPr>
            <w:tcW w:w="108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36"/>
        </w:trPr>
        <w:tc>
          <w:tcPr>
            <w:tcW w:w="2320" w:type="dxa"/>
            <w:vAlign w:val="bottom"/>
            <w:tcBorders>
              <w:bottom w:val="single" w:sz="8" w:color="auto"/>
            </w:tcBorders>
            <w:vMerge w:val="continue"/>
          </w:tcPr>
          <w:p>
            <w:pPr>
              <w:spacing w:after="0"/>
              <w:rPr>
                <w:sz w:val="11"/>
                <w:szCs w:val="11"/>
                <w:color w:val="auto"/>
              </w:rPr>
            </w:pPr>
          </w:p>
        </w:tc>
        <w:tc>
          <w:tcPr>
            <w:tcW w:w="2980" w:type="dxa"/>
            <w:vAlign w:val="bottom"/>
          </w:tcPr>
          <w:p>
            <w:pPr>
              <w:jc w:val="center"/>
              <w:ind w:left="1848"/>
              <w:spacing w:after="0" w:line="125" w:lineRule="exact"/>
              <w:rPr>
                <w:sz w:val="20"/>
                <w:szCs w:val="20"/>
                <w:color w:val="auto"/>
              </w:rPr>
            </w:pPr>
            <w:r>
              <w:rPr>
                <w:rFonts w:ascii="Arial" w:cs="Arial" w:eastAsia="Arial" w:hAnsi="Arial"/>
                <w:sz w:val="14"/>
                <w:szCs w:val="14"/>
                <w:b w:val="1"/>
                <w:bCs w:val="1"/>
                <w:color w:val="auto"/>
                <w:w w:val="89"/>
              </w:rPr>
              <w:t>Stock</w:t>
            </w:r>
          </w:p>
        </w:tc>
        <w:tc>
          <w:tcPr>
            <w:tcW w:w="11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8"/>
              </w:rPr>
              <w:t>Capital</w:t>
            </w:r>
          </w:p>
        </w:tc>
        <w:tc>
          <w:tcPr>
            <w:tcW w:w="1040" w:type="dxa"/>
            <w:vAlign w:val="bottom"/>
          </w:tcPr>
          <w:p>
            <w:pPr>
              <w:ind w:left="260"/>
              <w:spacing w:after="0" w:line="125" w:lineRule="exact"/>
              <w:rPr>
                <w:sz w:val="20"/>
                <w:szCs w:val="20"/>
                <w:color w:val="auto"/>
              </w:rPr>
            </w:pPr>
            <w:r>
              <w:rPr>
                <w:rFonts w:ascii="Arial" w:cs="Arial" w:eastAsia="Arial" w:hAnsi="Arial"/>
                <w:sz w:val="14"/>
                <w:szCs w:val="14"/>
                <w:b w:val="1"/>
                <w:bCs w:val="1"/>
                <w:color w:val="auto"/>
              </w:rPr>
              <w:t>Earnings</w:t>
            </w:r>
          </w:p>
        </w:tc>
        <w:tc>
          <w:tcPr>
            <w:tcW w:w="144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85"/>
              </w:rPr>
              <w:t>Loss</w:t>
            </w:r>
          </w:p>
        </w:tc>
        <w:tc>
          <w:tcPr>
            <w:tcW w:w="102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89"/>
              </w:rPr>
              <w:t>Stock</w:t>
            </w:r>
          </w:p>
        </w:tc>
        <w:tc>
          <w:tcPr>
            <w:tcW w:w="1080" w:type="dxa"/>
            <w:vAlign w:val="bottom"/>
          </w:tcPr>
          <w:p>
            <w:pPr>
              <w:jc w:val="center"/>
              <w:ind w:left="188"/>
              <w:spacing w:after="0" w:line="12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34290</wp:posOffset>
            </wp:positionV>
            <wp:extent cx="44164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pacing w:after="0" w:line="52" w:lineRule="exact"/>
        <w:rPr>
          <w:sz w:val="20"/>
          <w:szCs w:val="20"/>
          <w:color w:val="auto"/>
        </w:rPr>
      </w:pPr>
    </w:p>
    <w:p>
      <w:pPr>
        <w:ind w:left="5840"/>
        <w:spacing w:after="0"/>
        <w:rPr>
          <w:sz w:val="20"/>
          <w:szCs w:val="20"/>
          <w:color w:val="auto"/>
        </w:rPr>
      </w:pPr>
      <w:r>
        <w:rPr>
          <w:rFonts w:ascii="Arial" w:cs="Arial" w:eastAsia="Arial" w:hAnsi="Arial"/>
          <w:sz w:val="14"/>
          <w:szCs w:val="14"/>
          <w:b w:val="1"/>
          <w:bCs w:val="1"/>
          <w:color w:val="auto"/>
        </w:rPr>
        <w:t>(In thousands, no per share amounts shown except in verbiage)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October 31, 2018</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254,678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243,904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(73,029)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395,222</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Net loss</w:t>
            </w:r>
          </w:p>
        </w:tc>
        <w:tc>
          <w:tcPr>
            <w:tcW w:w="40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(3,649)</w:t>
            </w:r>
          </w:p>
        </w:tc>
      </w:tr>
      <w:tr>
        <w:trPr>
          <w:trHeight w:val="27"/>
        </w:trPr>
        <w:tc>
          <w:tcPr>
            <w:tcW w:w="4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4,066</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Common dividends ($0.08 per share)</w:t>
            </w:r>
          </w:p>
        </w:tc>
        <w:tc>
          <w:tcPr>
            <w:tcW w:w="40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(2,675)</w:t>
            </w:r>
          </w:p>
        </w:tc>
      </w:tr>
      <w:tr>
        <w:trPr>
          <w:trHeight w:val="27"/>
        </w:trPr>
        <w:tc>
          <w:tcPr>
            <w:tcW w:w="4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treasury stock</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i w:val="1"/>
                <w:iCs w:val="1"/>
                <w:color w:val="auto"/>
              </w:rPr>
              <w:t>Stock-based compensation activity:</w:t>
            </w: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4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 related to stock-based compensation</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w:t>
            </w:r>
          </w:p>
        </w:tc>
      </w:tr>
      <w:tr>
        <w:trPr>
          <w:trHeight w:val="243"/>
        </w:trPr>
        <w:tc>
          <w:tcPr>
            <w:tcW w:w="4280" w:type="dxa"/>
            <w:vAlign w:val="bottom"/>
          </w:tcPr>
          <w:p>
            <w:pPr>
              <w:ind w:left="180"/>
              <w:spacing w:after="0"/>
              <w:rPr>
                <w:sz w:val="20"/>
                <w:szCs w:val="20"/>
                <w:color w:val="auto"/>
              </w:rPr>
            </w:pPr>
            <w:r>
              <w:rPr>
                <w:rFonts w:ascii="Arial" w:cs="Arial" w:eastAsia="Arial" w:hAnsi="Arial"/>
                <w:sz w:val="18"/>
                <w:szCs w:val="18"/>
                <w:color w:val="auto"/>
              </w:rPr>
              <w:t>Stock options exercised</w:t>
            </w:r>
          </w:p>
        </w:tc>
        <w:tc>
          <w:tcPr>
            <w:tcW w:w="40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4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stock awards granted</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(326)</w:t>
            </w:r>
          </w:p>
        </w:tc>
      </w:tr>
      <w:tr>
        <w:trPr>
          <w:trHeight w:val="27"/>
        </w:trPr>
        <w:tc>
          <w:tcPr>
            <w:tcW w:w="42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31, 2019</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252,931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237,049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390,873</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Net loss</w:t>
            </w:r>
          </w:p>
        </w:tc>
        <w:tc>
          <w:tcPr>
            <w:tcW w:w="40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(23,974)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(23,974)</w:t>
            </w:r>
          </w:p>
        </w:tc>
      </w:tr>
      <w:tr>
        <w:trPr>
          <w:trHeight w:val="27"/>
        </w:trPr>
        <w:tc>
          <w:tcPr>
            <w:tcW w:w="4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Common dividends ($0.08 per share)</w:t>
            </w:r>
          </w:p>
        </w:tc>
        <w:tc>
          <w:tcPr>
            <w:tcW w:w="40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(2,660)</w:t>
            </w:r>
          </w:p>
        </w:tc>
      </w:tr>
      <w:tr>
        <w:trPr>
          <w:trHeight w:val="27"/>
        </w:trPr>
        <w:tc>
          <w:tcPr>
            <w:tcW w:w="4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treasury stock</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(2,686)</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i w:val="1"/>
                <w:iCs w:val="1"/>
                <w:color w:val="auto"/>
              </w:rPr>
              <w:t>Stock-based compensation activity:</w:t>
            </w: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4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 related to stock-based compensation</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819</w:t>
            </w:r>
          </w:p>
        </w:tc>
      </w:tr>
      <w:tr>
        <w:trPr>
          <w:trHeight w:val="243"/>
        </w:trPr>
        <w:tc>
          <w:tcPr>
            <w:tcW w:w="4280" w:type="dxa"/>
            <w:vAlign w:val="bottom"/>
          </w:tcPr>
          <w:p>
            <w:pPr>
              <w:ind w:left="180"/>
              <w:spacing w:after="0"/>
              <w:rPr>
                <w:sz w:val="20"/>
                <w:szCs w:val="20"/>
                <w:color w:val="auto"/>
              </w:rPr>
            </w:pPr>
            <w:r>
              <w:rPr>
                <w:rFonts w:ascii="Arial" w:cs="Arial" w:eastAsia="Arial" w:hAnsi="Arial"/>
                <w:sz w:val="18"/>
                <w:szCs w:val="18"/>
                <w:color w:val="auto"/>
              </w:rPr>
              <w:t>Restricted stock awards granted</w:t>
            </w:r>
          </w:p>
        </w:tc>
        <w:tc>
          <w:tcPr>
            <w:tcW w:w="40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April 30, 2019</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253,679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210,406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360,888</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0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11,841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11,841</w:t>
            </w:r>
          </w:p>
        </w:tc>
      </w:tr>
      <w:tr>
        <w:trPr>
          <w:trHeight w:val="27"/>
        </w:trPr>
        <w:tc>
          <w:tcPr>
            <w:tcW w:w="4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(10,147)</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Common dividends ($0.08 per share)</w:t>
            </w:r>
          </w:p>
        </w:tc>
        <w:tc>
          <w:tcPr>
            <w:tcW w:w="40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(2,655)</w:t>
            </w:r>
          </w:p>
        </w:tc>
      </w:tr>
      <w:tr>
        <w:trPr>
          <w:trHeight w:val="27"/>
        </w:trPr>
        <w:tc>
          <w:tcPr>
            <w:tcW w:w="4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treasury stock</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(1,634)</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i w:val="1"/>
                <w:iCs w:val="1"/>
                <w:color w:val="auto"/>
              </w:rPr>
              <w:t>Stock-based compensation activity:</w:t>
            </w: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4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 related to stock-based compensation</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w:t>
            </w:r>
          </w:p>
        </w:tc>
      </w:tr>
      <w:tr>
        <w:trPr>
          <w:trHeight w:val="243"/>
        </w:trPr>
        <w:tc>
          <w:tcPr>
            <w:tcW w:w="4280" w:type="dxa"/>
            <w:vAlign w:val="bottom"/>
          </w:tcPr>
          <w:p>
            <w:pPr>
              <w:ind w:left="180"/>
              <w:spacing w:after="0"/>
              <w:rPr>
                <w:sz w:val="20"/>
                <w:szCs w:val="20"/>
                <w:color w:val="auto"/>
              </w:rPr>
            </w:pPr>
            <w:r>
              <w:rPr>
                <w:rFonts w:ascii="Arial" w:cs="Arial" w:eastAsia="Arial" w:hAnsi="Arial"/>
                <w:sz w:val="18"/>
                <w:szCs w:val="18"/>
                <w:color w:val="auto"/>
              </w:rPr>
              <w:t>Stock options exercised</w:t>
            </w:r>
          </w:p>
        </w:tc>
        <w:tc>
          <w:tcPr>
            <w:tcW w:w="40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2,935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2,684</w:t>
            </w:r>
          </w:p>
        </w:tc>
      </w:tr>
      <w:tr>
        <w:trPr>
          <w:trHeight w:val="27"/>
        </w:trPr>
        <w:tc>
          <w:tcPr>
            <w:tcW w:w="4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7"/>
        </w:trPr>
        <w:tc>
          <w:tcPr>
            <w:tcW w:w="4280" w:type="dxa"/>
            <w:vAlign w:val="bottom"/>
          </w:tcPr>
          <w:p>
            <w:pPr>
              <w:ind w:left="40"/>
              <w:spacing w:after="0"/>
              <w:rPr>
                <w:sz w:val="20"/>
                <w:szCs w:val="20"/>
                <w:color w:val="auto"/>
              </w:rPr>
            </w:pPr>
            <w:r>
              <w:rPr>
                <w:rFonts w:ascii="Arial" w:cs="Arial" w:eastAsia="Arial" w:hAnsi="Arial"/>
                <w:sz w:val="18"/>
                <w:szCs w:val="18"/>
                <w:color w:val="auto"/>
              </w:rPr>
              <w:t>Balance at July 31, 2019</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254,053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219,340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(38,274)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(74,143)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361,350</w:t>
            </w:r>
          </w:p>
        </w:tc>
      </w:tr>
      <w:tr>
        <w:trPr>
          <w:trHeight w:val="27"/>
        </w:trPr>
        <w:tc>
          <w:tcPr>
            <w:tcW w:w="42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4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656"/>
        </w:trPr>
        <w:tc>
          <w:tcPr>
            <w:tcW w:w="4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59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240"/>
          </w:cols>
          <w:pgMar w:left="240" w:top="125" w:right="4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center"/>
              <w:ind w:right="5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vMerge w:val="restart"/>
          </w:tcPr>
          <w:p>
            <w:pPr>
              <w:spacing w:after="0"/>
              <w:rPr>
                <w:sz w:val="20"/>
                <w:szCs w:val="20"/>
                <w:color w:val="auto"/>
              </w:rPr>
            </w:pPr>
            <w:r>
              <w:rPr>
                <w:rFonts w:ascii="Arial" w:cs="Arial" w:eastAsia="Arial" w:hAnsi="Arial"/>
                <w:sz w:val="16"/>
                <w:szCs w:val="16"/>
                <w:b w:val="1"/>
                <w:bCs w:val="1"/>
                <w:color w:val="auto"/>
                <w:w w:val="91"/>
              </w:rPr>
              <w:t>Nine Months Ended July 31, 2018</w:t>
            </w:r>
          </w:p>
        </w:tc>
        <w:tc>
          <w:tcPr>
            <w:tcW w:w="1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40" w:type="dxa"/>
            <w:vAlign w:val="bottom"/>
            <w:tcBorders>
              <w:bottom w:val="single" w:sz="8" w:color="auto"/>
            </w:tcBorders>
            <w:vMerge w:val="continue"/>
          </w:tcPr>
          <w:p>
            <w:pPr>
              <w:spacing w:after="0"/>
              <w:rPr>
                <w:sz w:val="11"/>
                <w:szCs w:val="11"/>
                <w:color w:val="auto"/>
              </w:rPr>
            </w:pPr>
          </w:p>
        </w:tc>
        <w:tc>
          <w:tcPr>
            <w:tcW w:w="1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tcPr>
          <w:p>
            <w:pPr>
              <w:jc w:val="center"/>
              <w:ind w:right="300"/>
              <w:spacing w:after="0" w:line="125" w:lineRule="exact"/>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1"/>
                <w:szCs w:val="11"/>
                <w:color w:val="auto"/>
              </w:rPr>
            </w:pPr>
          </w:p>
        </w:tc>
        <w:tc>
          <w:tcPr>
            <w:tcW w:w="980" w:type="dxa"/>
            <w:vAlign w:val="bottom"/>
            <w:gridSpan w:val="2"/>
          </w:tcPr>
          <w:p>
            <w:pPr>
              <w:jc w:val="center"/>
              <w:ind w:right="260"/>
              <w:spacing w:after="0" w:line="125" w:lineRule="exact"/>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1"/>
                <w:szCs w:val="11"/>
                <w:color w:val="auto"/>
              </w:rPr>
            </w:pPr>
          </w:p>
        </w:tc>
        <w:tc>
          <w:tcPr>
            <w:tcW w:w="960" w:type="dxa"/>
            <w:vAlign w:val="bottom"/>
            <w:gridSpan w:val="2"/>
          </w:tcPr>
          <w:p>
            <w:pPr>
              <w:ind w:left="60"/>
              <w:spacing w:after="0" w:line="125" w:lineRule="exact"/>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1"/>
                <w:szCs w:val="11"/>
                <w:color w:val="auto"/>
              </w:rPr>
            </w:pPr>
          </w:p>
        </w:tc>
        <w:tc>
          <w:tcPr>
            <w:tcW w:w="1220" w:type="dxa"/>
            <w:vAlign w:val="bottom"/>
            <w:gridSpan w:val="2"/>
          </w:tcPr>
          <w:p>
            <w:pPr>
              <w:jc w:val="center"/>
              <w:ind w:right="260"/>
              <w:spacing w:after="0" w:line="125" w:lineRule="exact"/>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1"/>
                <w:szCs w:val="11"/>
                <w:color w:val="auto"/>
              </w:rPr>
            </w:pPr>
          </w:p>
        </w:tc>
        <w:tc>
          <w:tcPr>
            <w:tcW w:w="960" w:type="dxa"/>
            <w:vAlign w:val="bottom"/>
            <w:gridSpan w:val="2"/>
          </w:tcPr>
          <w:p>
            <w:pPr>
              <w:jc w:val="center"/>
              <w:ind w:right="300"/>
              <w:spacing w:after="0" w:line="125"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1"/>
                <w:szCs w:val="11"/>
                <w:color w:val="auto"/>
              </w:rPr>
            </w:pPr>
          </w:p>
        </w:tc>
        <w:tc>
          <w:tcPr>
            <w:tcW w:w="1000" w:type="dxa"/>
            <w:vAlign w:val="bottom"/>
          </w:tcPr>
          <w:p>
            <w:pPr>
              <w:jc w:val="center"/>
              <w:ind w:right="52"/>
              <w:spacing w:after="0" w:line="12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560" w:type="dxa"/>
            <w:vAlign w:val="bottom"/>
            <w:tcBorders>
              <w:bottom w:val="single" w:sz="8" w:color="auto"/>
            </w:tcBorders>
            <w:gridSpan w:val="11"/>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560" w:type="dxa"/>
            <w:vAlign w:val="bottom"/>
            <w:gridSpan w:val="11"/>
          </w:tcPr>
          <w:p>
            <w:pPr>
              <w:ind w:left="280"/>
              <w:spacing w:after="0"/>
              <w:rPr>
                <w:sz w:val="20"/>
                <w:szCs w:val="20"/>
                <w:color w:val="auto"/>
              </w:rPr>
            </w:pPr>
            <w:r>
              <w:rPr>
                <w:rFonts w:ascii="Arial" w:cs="Arial" w:eastAsia="Arial" w:hAnsi="Arial"/>
                <w:sz w:val="14"/>
                <w:szCs w:val="14"/>
                <w:b w:val="1"/>
                <w:bCs w:val="1"/>
                <w:color w:val="auto"/>
              </w:rPr>
              <w:t>(In thousands, no per share amounts shown except in verbiage)</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Balance at October 31,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255,719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225,704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(25,076)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(49,875)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406,847</w:t>
            </w:r>
          </w:p>
        </w:tc>
        <w:tc>
          <w:tcPr>
            <w:tcW w:w="0" w:type="dxa"/>
            <w:vAlign w:val="bottom"/>
          </w:tcPr>
          <w:p>
            <w:pPr>
              <w:spacing w:after="0"/>
              <w:rPr>
                <w:sz w:val="1"/>
                <w:szCs w:val="1"/>
                <w:color w:val="auto"/>
              </w:rPr>
            </w:pPr>
          </w:p>
        </w:tc>
      </w:tr>
      <w:tr>
        <w:trPr>
          <w:trHeight w:val="243"/>
        </w:trPr>
        <w:tc>
          <w:tcPr>
            <w:tcW w:w="4280" w:type="dxa"/>
            <w:vAlign w:val="bottom"/>
            <w:gridSpan w:val="3"/>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4,947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4,947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11,150</w:t>
            </w:r>
          </w:p>
        </w:tc>
        <w:tc>
          <w:tcPr>
            <w:tcW w:w="0" w:type="dxa"/>
            <w:vAlign w:val="bottom"/>
          </w:tcPr>
          <w:p>
            <w:pPr>
              <w:spacing w:after="0"/>
              <w:rPr>
                <w:sz w:val="1"/>
                <w:szCs w:val="1"/>
                <w:color w:val="auto"/>
              </w:rPr>
            </w:pPr>
          </w:p>
        </w:tc>
      </w:tr>
      <w:tr>
        <w:trPr>
          <w:trHeight w:val="243"/>
        </w:trPr>
        <w:tc>
          <w:tcPr>
            <w:tcW w:w="4280" w:type="dxa"/>
            <w:vAlign w:val="bottom"/>
            <w:gridSpan w:val="3"/>
          </w:tcPr>
          <w:p>
            <w:pPr>
              <w:ind w:left="20"/>
              <w:spacing w:after="0"/>
              <w:rPr>
                <w:sz w:val="20"/>
                <w:szCs w:val="20"/>
                <w:color w:val="auto"/>
              </w:rPr>
            </w:pPr>
            <w:r>
              <w:rPr>
                <w:rFonts w:ascii="Arial" w:cs="Arial" w:eastAsia="Arial" w:hAnsi="Arial"/>
                <w:sz w:val="18"/>
                <w:szCs w:val="18"/>
                <w:color w:val="auto"/>
              </w:rPr>
              <w:t>Common dividends ($0.04 per share)</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Change in pension from net unamortized gain tax</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(expense)</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43"/>
        </w:trPr>
        <w:tc>
          <w:tcPr>
            <w:tcW w:w="4280" w:type="dxa"/>
            <w:vAlign w:val="bottom"/>
            <w:gridSpan w:val="3"/>
          </w:tcPr>
          <w:p>
            <w:pPr>
              <w:ind w:left="20"/>
              <w:spacing w:after="0"/>
              <w:rPr>
                <w:sz w:val="20"/>
                <w:szCs w:val="20"/>
                <w:color w:val="auto"/>
              </w:rPr>
            </w:pPr>
            <w:r>
              <w:rPr>
                <w:rFonts w:ascii="Arial" w:cs="Arial" w:eastAsia="Arial" w:hAnsi="Arial"/>
                <w:sz w:val="18"/>
                <w:szCs w:val="18"/>
                <w:i w:val="1"/>
                <w:iCs w:val="1"/>
                <w:color w:val="auto"/>
              </w:rPr>
              <w:t>Stock-based compensation activity:</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Expense related to stock-based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60" w:type="dxa"/>
            <w:vAlign w:val="bottom"/>
            <w:gridSpan w:val="2"/>
          </w:tcPr>
          <w:p>
            <w:pPr>
              <w:ind w:left="140"/>
              <w:spacing w:after="0"/>
              <w:rPr>
                <w:sz w:val="20"/>
                <w:szCs w:val="20"/>
                <w:color w:val="auto"/>
              </w:rPr>
            </w:pPr>
            <w:r>
              <w:rPr>
                <w:rFonts w:ascii="Arial" w:cs="Arial" w:eastAsia="Arial" w:hAnsi="Arial"/>
                <w:sz w:val="18"/>
                <w:szCs w:val="18"/>
                <w:color w:val="auto"/>
              </w:rPr>
              <w:t>Stock options exercised</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3,304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2,231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Restricted stock awards granted</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60" w:type="dxa"/>
            <w:vAlign w:val="bottom"/>
            <w:gridSpan w:val="2"/>
          </w:tcPr>
          <w:p>
            <w:pPr>
              <w:ind w:left="140"/>
              <w:spacing w:after="0"/>
              <w:rPr>
                <w:sz w:val="20"/>
                <w:szCs w:val="20"/>
                <w:color w:val="auto"/>
              </w:rPr>
            </w:pPr>
            <w:r>
              <w:rPr>
                <w:rFonts w:ascii="Arial" w:cs="Arial" w:eastAsia="Arial" w:hAnsi="Arial"/>
                <w:sz w:val="18"/>
                <w:szCs w:val="18"/>
                <w:color w:val="auto"/>
              </w:rPr>
              <w:t>Performance share awards vested</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37"/>
        </w:trPr>
        <w:tc>
          <w:tcPr>
            <w:tcW w:w="4280" w:type="dxa"/>
            <w:vAlign w:val="bottom"/>
            <w:gridSpan w:val="3"/>
          </w:tcPr>
          <w:p>
            <w:pPr>
              <w:ind w:left="20"/>
              <w:spacing w:after="0"/>
              <w:rPr>
                <w:sz w:val="20"/>
                <w:szCs w:val="20"/>
                <w:color w:val="auto"/>
              </w:rPr>
            </w:pPr>
            <w:r>
              <w:rPr>
                <w:rFonts w:ascii="Arial" w:cs="Arial" w:eastAsia="Arial" w:hAnsi="Arial"/>
                <w:sz w:val="18"/>
                <w:szCs w:val="18"/>
                <w:color w:val="auto"/>
              </w:rPr>
              <w:t>Balance at January 31, 2018</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253,638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228,293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(14,623)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(44,726)</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422,957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4,136</w:t>
            </w:r>
          </w:p>
        </w:tc>
        <w:tc>
          <w:tcPr>
            <w:tcW w:w="0" w:type="dxa"/>
            <w:vAlign w:val="bottom"/>
          </w:tcPr>
          <w:p>
            <w:pPr>
              <w:spacing w:after="0"/>
              <w:rPr>
                <w:sz w:val="1"/>
                <w:szCs w:val="1"/>
                <w:color w:val="auto"/>
              </w:rPr>
            </w:pPr>
          </w:p>
        </w:tc>
      </w:tr>
      <w:tr>
        <w:trPr>
          <w:trHeight w:val="243"/>
        </w:trPr>
        <w:tc>
          <w:tcPr>
            <w:tcW w:w="4280" w:type="dxa"/>
            <w:vAlign w:val="bottom"/>
            <w:gridSpan w:val="3"/>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Common dividends ($0.04 per share)</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243"/>
        </w:trPr>
        <w:tc>
          <w:tcPr>
            <w:tcW w:w="4280" w:type="dxa"/>
            <w:vAlign w:val="bottom"/>
            <w:gridSpan w:val="3"/>
          </w:tcPr>
          <w:p>
            <w:pPr>
              <w:ind w:left="20"/>
              <w:spacing w:after="0"/>
              <w:rPr>
                <w:sz w:val="20"/>
                <w:szCs w:val="20"/>
                <w:color w:val="auto"/>
              </w:rPr>
            </w:pPr>
            <w:r>
              <w:rPr>
                <w:rFonts w:ascii="Arial" w:cs="Arial" w:eastAsia="Arial" w:hAnsi="Arial"/>
                <w:sz w:val="18"/>
                <w:szCs w:val="18"/>
                <w:i w:val="1"/>
                <w:iCs w:val="1"/>
                <w:color w:val="auto"/>
              </w:rPr>
              <w:t>Stock-based compensation activity:</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Expense related to stock-based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60" w:type="dxa"/>
            <w:vAlign w:val="bottom"/>
            <w:gridSpan w:val="2"/>
          </w:tcPr>
          <w:p>
            <w:pPr>
              <w:ind w:left="140"/>
              <w:spacing w:after="0"/>
              <w:rPr>
                <w:sz w:val="20"/>
                <w:szCs w:val="20"/>
                <w:color w:val="auto"/>
              </w:rPr>
            </w:pPr>
            <w:r>
              <w:rPr>
                <w:rFonts w:ascii="Arial" w:cs="Arial" w:eastAsia="Arial" w:hAnsi="Arial"/>
                <w:sz w:val="18"/>
                <w:szCs w:val="18"/>
                <w:color w:val="auto"/>
              </w:rPr>
              <w:t>Stock options exercised</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Balance at April 30, 2018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253,269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230,945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420,326</w:t>
            </w:r>
          </w:p>
        </w:tc>
        <w:tc>
          <w:tcPr>
            <w:tcW w:w="0" w:type="dxa"/>
            <w:vAlign w:val="bottom"/>
          </w:tcPr>
          <w:p>
            <w:pPr>
              <w:spacing w:after="0"/>
              <w:rPr>
                <w:sz w:val="1"/>
                <w:szCs w:val="1"/>
                <w:color w:val="auto"/>
              </w:rPr>
            </w:pPr>
          </w:p>
        </w:tc>
      </w:tr>
      <w:tr>
        <w:trPr>
          <w:trHeight w:val="243"/>
        </w:trPr>
        <w:tc>
          <w:tcPr>
            <w:tcW w:w="4280" w:type="dxa"/>
            <w:vAlign w:val="bottom"/>
            <w:gridSpan w:val="3"/>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10,753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10,753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(7,650)</w:t>
            </w:r>
          </w:p>
        </w:tc>
        <w:tc>
          <w:tcPr>
            <w:tcW w:w="0" w:type="dxa"/>
            <w:vAlign w:val="bottom"/>
          </w:tcPr>
          <w:p>
            <w:pPr>
              <w:spacing w:after="0"/>
              <w:rPr>
                <w:sz w:val="1"/>
                <w:szCs w:val="1"/>
                <w:color w:val="auto"/>
              </w:rPr>
            </w:pPr>
          </w:p>
        </w:tc>
      </w:tr>
      <w:tr>
        <w:trPr>
          <w:trHeight w:val="243"/>
        </w:trPr>
        <w:tc>
          <w:tcPr>
            <w:tcW w:w="4280" w:type="dxa"/>
            <w:vAlign w:val="bottom"/>
            <w:gridSpan w:val="3"/>
          </w:tcPr>
          <w:p>
            <w:pPr>
              <w:ind w:left="20"/>
              <w:spacing w:after="0"/>
              <w:rPr>
                <w:sz w:val="20"/>
                <w:szCs w:val="20"/>
                <w:color w:val="auto"/>
              </w:rPr>
            </w:pPr>
            <w:r>
              <w:rPr>
                <w:rFonts w:ascii="Arial" w:cs="Arial" w:eastAsia="Arial" w:hAnsi="Arial"/>
                <w:sz w:val="18"/>
                <w:szCs w:val="18"/>
                <w:color w:val="auto"/>
              </w:rPr>
              <w:t>Common dividends ($0.04 per share)</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i w:val="1"/>
                <w:iCs w:val="1"/>
                <w:color w:val="auto"/>
              </w:rPr>
              <w:t>Stock-based compensation activity:</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60" w:type="dxa"/>
            <w:vAlign w:val="bottom"/>
            <w:gridSpan w:val="2"/>
          </w:tcPr>
          <w:p>
            <w:pPr>
              <w:ind w:left="140"/>
              <w:spacing w:after="0"/>
              <w:rPr>
                <w:sz w:val="20"/>
                <w:szCs w:val="20"/>
                <w:color w:val="auto"/>
              </w:rPr>
            </w:pPr>
            <w:r>
              <w:rPr>
                <w:rFonts w:ascii="Arial" w:cs="Arial" w:eastAsia="Arial" w:hAnsi="Arial"/>
                <w:sz w:val="18"/>
                <w:szCs w:val="18"/>
                <w:color w:val="auto"/>
              </w:rPr>
              <w:t>Expense related to stock-based compensation</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Stock options exercised</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43"/>
        </w:trPr>
        <w:tc>
          <w:tcPr>
            <w:tcW w:w="4280" w:type="dxa"/>
            <w:vAlign w:val="bottom"/>
            <w:gridSpan w:val="3"/>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Balance at July 31, 2018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253,806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240,025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(27,601)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(42,841)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423,763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125" w:right="3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and Basis of Presentation</w:t>
      </w:r>
    </w:p>
    <w:p>
      <w:pPr>
        <w:spacing w:after="0" w:line="175"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Quanex Building Products Corporation is a component supplier to original equipment manufacturers (OEMs) in the building products industry. These components can be categorized as window and door (fenestration) components and kitchen and bath cabinet components. Examples of fenestration components include: (1) energy-efficient flexible insulating glass spacers, (2) extruded vinyl profiles, (3) window and door screens, and (4) precision-formed metal and wood products. We also manufacture cabinet doors and other components for OEMs in the kitchen and bathroom cabinet industry. In addition, we provide certain other non-fenestration components and products, which include solar panel sealants, trim moldings, vinyl decking, fencing, water retention barriers, and conservatory roof components. We have organized our business into three reportable business segments. For additional discussion of our reportable business segments, see Note 13, "Segment Information." We use low-cost, short lead-time production processes and engineering expertise to provide our customers with specialized products for their specific window, door, and cabinet applications. We believe these capabilities provide us with unique competitive advantages. We serve a primary customer base in North America and the United Kingdom (U.K.), and also serve customers in international markets through our operating plants in the U.K. and Germany, as well as through sales and marketing efforts in other countries.</w:t>
      </w:r>
    </w:p>
    <w:p>
      <w:pPr>
        <w:spacing w:after="0" w:line="11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Unless the context indicates otherwise, references to "Quanex", the "Company", "we", "us" and "our" refer to the consolidated business operations of Quanex Building Products Corporation and its subsidiaries.</w:t>
      </w:r>
    </w:p>
    <w:p>
      <w:pPr>
        <w:spacing w:after="0" w:line="116"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accompanying interim condensed consolidated financial statements include the accounts of Quanex Building Products Corporation. All intercompany accounts and transactions have been eliminated in consolidation. These financial statements have been prepared by us,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(U.S. GAAP) have been condensed or omitted pursuant to such rules and regulations. The condensed consolidated balance sheet as of October 31, 2018 was derived from audited financial information, but does not include all disclosures required by U.S. GAAP. The accompanying financial statements should be read in conjunction with the audited consolidated financial statements and the notes thereto, included in our Annual Report on Form 10-K for the fiscal year ended October 31, 2018. In our opinion, the accompanying financial statements contain all adjustments (which consist of normal recurring adjustments, except as disclosed herein) necessary to fairly present our financial position, results of operations and cash flows for the interim periods. The results of operations for the periods presented are not necessarily indicative of the results to be expected for the full year or for any future periods.</w:t>
      </w:r>
    </w:p>
    <w:p>
      <w:pPr>
        <w:spacing w:after="0" w:line="12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preparing financial statements, we make informed judgments and estimates that affect the reported amounts of assets and liabilities as of the date of the financial statements and affect the reported amounts of revenues and expenses during the reporting period. We review our estimates on an on-going basis, including those related to impairment of long lived assets and goodwill, contingencies and income taxes. Changes in facts and circumstances may result in revised estimates and actual results may differ from these estimates.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7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On November 1, 2018, we adopted Accounting Standards Codification Topic 606, “Revenue from Contracts with Customers” (ASC Topic 606) using the modified retrospective method and applying ASC Topic 606 to all revenue contracts with customers. Results for reporting periods beginning on or after November 1, 2018 are presented under ASC Topic 606. In accordance with the modified retrospective approach, prior period amounts were not adjusted and are reported under ASC Topic 605, “Revenue Recognition.” As a result of adoption, there was not a material impact on our consolidated financial statements. We expect the impact of the adoption of ASC Topic 606 to continue to be immaterial to our net income on an ongoing basis.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core principle of ASC Topic 606 is to recognize revenue that reflects the consideration we expect to receive for product sales when the promised items are transferred to customers. Revenue for product sales is recognized when control of the promised products is transferred to our customers, and we expect to be entitled to consideration in exchange for transferring those products. We account for a contract when a customer provides us with a firm purchase order that identifies the products to be provided, the payment terms for those services, and when collectability of the consideration due is probable.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 performance obligation is a promise to provide the customer with a good or service. Our performance obligations include product sales, with each product included in a customer contract being recognized as a separate performance obligation. For contracts with multiple performance obligations, the standalone selling price of each product is generally readily observable.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40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Revenue from product sales is recognized at a point in time when the product is transferred to the customer, in accordance with the shipping terms, which is generally upon shipment. We estimate a provision for sales returns and warranty allowances to account for product returns related to general returns and product nonconformance.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 and sales incentives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Pricing is established at or prior to the time of sale with our customers and we record sales at the agreed-upon net selling price, reflective of current and prospective discounts.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Practical expedients and exemptions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generally expense incremental costs of obtaining a contract when incurred because the amortization period would be less than one year.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Additionally, we do not disclose the value of unsatisfied performance obligations for contracts with an original expected length of one year or less.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costs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have elected to account for shipping and handling services as fulfillment services in accordance ASC Topic 606 guidance; accordingly, freight revenue will be combined with the product deliverable rather than being accounted for as a distinct performance obligation within the terms of the agreement. Shipping and handling costs incurred by us for the delivery of goods to customers are considered a cost to fulfill the contract and are included in Cost of sales in the accompanying Condensed Consolidated Statements of Income.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Deferred revenue, which is not significant, is recorded when we have remaining unsatisfied performance obligations for which we have received consideration. As of July 31, 2019, accounts receivables were $82.3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171"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We produce a wide variety of products that are used in the fenestration industry, including window spacer systems; extruded vinyl products; metal fabricated products; and astragals, thresholds and screens. In addition, we produce certain non-fenestration products, including kitchen and bath cabinet doors and components, flooring and trim moldings, solar edge tape, plastic decking, fencing, water retention barriers, conservatory roof components, and other products.</w:t>
      </w:r>
    </w:p>
    <w:p>
      <w:pPr>
        <w:spacing w:after="0" w:line="30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summarizes our product sales for the three and nine months ended July 31, 2019 and July 31, 2018 into groupings by segment which we believe depicts how the nature, amount, timing and uncertainty of our revenues and cash flows are affected by economic factors. For further details regarding our results by segment, refer to Note 13, “Segment Information”.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194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9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July 31,</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July 31,</w:t>
            </w:r>
          </w:p>
        </w:tc>
        <w:tc>
          <w:tcPr>
            <w:tcW w:w="760" w:type="dxa"/>
            <w:vAlign w:val="bottom"/>
            <w:tcBorders>
              <w:bottom w:val="single" w:sz="8" w:color="auto"/>
            </w:tcBorders>
          </w:tcPr>
          <w:p>
            <w:pPr>
              <w:spacing w:after="0"/>
              <w:rPr>
                <w:sz w:val="24"/>
                <w:szCs w:val="24"/>
                <w:color w:val="auto"/>
              </w:rPr>
            </w:pPr>
          </w:p>
        </w:tc>
      </w:tr>
      <w:tr>
        <w:trPr>
          <w:trHeight w:val="264"/>
        </w:trPr>
        <w:tc>
          <w:tcPr>
            <w:tcW w:w="69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2018</w:t>
            </w:r>
          </w:p>
        </w:tc>
      </w:tr>
      <w:tr>
        <w:trPr>
          <w:trHeight w:val="250"/>
        </w:trPr>
        <w:tc>
          <w:tcPr>
            <w:tcW w:w="6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gridSpan w:val="5"/>
          </w:tcPr>
          <w:p>
            <w:pPr>
              <w:ind w:left="38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North American Fenestration:</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United States - fenestration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119,481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w w:val="98"/>
              </w:rPr>
              <w:t>112,914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312,509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w w:val="98"/>
              </w:rPr>
              <w:t>297,700</w:t>
            </w: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 fenestration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23,474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27,758</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United States - non-fenestration</w:t>
            </w:r>
          </w:p>
        </w:tc>
        <w:tc>
          <w:tcPr>
            <w:tcW w:w="2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3,982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4,675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12,290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13,518</w:t>
            </w: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 non-fenestration</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5,624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3,957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12,381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11,304</w:t>
            </w:r>
          </w:p>
        </w:tc>
      </w:tr>
      <w:tr>
        <w:trPr>
          <w:trHeight w:val="237"/>
        </w:trPr>
        <w:tc>
          <w:tcPr>
            <w:tcW w:w="69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136,259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8"/>
              </w:rPr>
              <w:t>133,397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360,654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8"/>
              </w:rPr>
              <w:t>350,280</w:t>
            </w: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European Fenestration: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International - fenestration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36,342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34,881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102,038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97,597</w:t>
            </w: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 non-fenestration</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7,984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7,780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19,165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17,884</w:t>
            </w:r>
          </w:p>
        </w:tc>
      </w:tr>
      <w:tr>
        <w:trPr>
          <w:trHeight w:val="237"/>
        </w:trPr>
        <w:tc>
          <w:tcPr>
            <w:tcW w:w="69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44,326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42,661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121,203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8"/>
              </w:rPr>
              <w:t>115,481</w:t>
            </w: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North American Cabinet Components: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United States - fenestration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3,561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3,650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9,909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10,500</w:t>
            </w: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 - non-fenestration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54,512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60,843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163,694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8"/>
              </w:rPr>
              <w:t>171,547</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International - non-fenestration</w:t>
            </w:r>
          </w:p>
        </w:tc>
        <w:tc>
          <w:tcPr>
            <w:tcW w:w="2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1,774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1,658</w:t>
            </w:r>
          </w:p>
        </w:tc>
      </w:tr>
      <w:tr>
        <w:trPr>
          <w:trHeight w:val="27"/>
        </w:trPr>
        <w:tc>
          <w:tcPr>
            <w:tcW w:w="6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58,689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65,114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175,377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8"/>
              </w:rPr>
              <w:t>183,705</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Unallocated Corporate &amp; Other</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(3,767)</w:t>
            </w:r>
          </w:p>
        </w:tc>
      </w:tr>
      <w:tr>
        <w:trPr>
          <w:trHeight w:val="237"/>
        </w:trPr>
        <w:tc>
          <w:tcPr>
            <w:tcW w:w="69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(3,762)</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(3,767)</w:t>
            </w:r>
          </w:p>
        </w:tc>
      </w:tr>
      <w:tr>
        <w:trPr>
          <w:trHeight w:val="27"/>
        </w:trPr>
        <w:tc>
          <w:tcPr>
            <w:tcW w:w="6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238,461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8"/>
              </w:rPr>
              <w:t>239,821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653,472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8"/>
              </w:rPr>
              <w:t>645,699</w:t>
            </w:r>
          </w:p>
        </w:tc>
      </w:tr>
      <w:tr>
        <w:trPr>
          <w:trHeight w:val="20"/>
        </w:trPr>
        <w:tc>
          <w:tcPr>
            <w:tcW w:w="6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accrue one-time severance costs pursuant to an approved plan of restructuring at the communication date, when affected employees have been notified of the potential severance and sufficient information has been provided for the employee to calculate severance benefits, in the event the employee is involuntarily terminated. In addition, we accrue costs associated with the termination of contractual commitments including operating leases at the time the lease is terminated pursuant to the lease provisions or in accordance with another agreement with the landlord. Otherwise, we continue to recognize operating lease expense through the cease-use date. After the cease-use date, we determine if our operating lease payments are at market. We assume sublet of the facility at the market rate. To the extent our lease obligations exceed the fair value rentals, we discount to arrive at the present value and record a liability. If the facility is not sublet, we expense the amount of the rental in the current period. For other costs directly related to the restructuring effort, such as equipment moving costs, we expense in the period incurred.</w:t>
      </w:r>
    </w:p>
    <w:p>
      <w:pPr>
        <w:spacing w:after="0" w:line="12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We closed a kitchen and bathroom cabinet door business in Mexico in October 2016 and another plant in Lansing, Kansas in September 2017. We closed two U.S. vinyl operations plants in November 2016 and January 2017. Pursuant to these restructuring efforts, we expensed $0.1 million and $0.3 million during the three and nine months ended July 31, 2019, respectively, and $0.2 million and $0.9 million, respectively, for the comparable prior year periods. We have not negotiated an exit from our lease obligation, which is deemed to be at fair market value, at one remaining closed plant location. We expect to continue to incur costs related to this operating lease during fiscal 2019 until we are able to sublet or otherwise exit the lease.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Change - Inventories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record inventory at the lower of cost or market value. Inventories are valued using the first-in first-out (FIFO) method. In the second quarter of 2019, we changed the method of inventory costing for certain inventory in two plants included in our North American Fenestration reportable business segment to the FIFO method from the last-in first-out (LIFO) method. We utilize the FIFO method to determine costs at all of our other operating locations. We believe that the FIFO method is preferable as it provides uniformity of inventory valuation across our global operations, aligns with a majority of our peers which use FIFO as their only inventory valuation method, and provides better matching of revenues and expenses. The impact of this change in accounting principle on the financial statements for each period presented is further explained in Note 2, “Inventories.”</w:t>
      </w:r>
    </w:p>
    <w:p>
      <w:pPr>
        <w:sectPr>
          <w:pgSz w:w="11900" w:h="16838" w:orient="portrait"/>
          <w:cols w:equalWidth="0" w:num="1">
            <w:col w:w="11420"/>
          </w:cols>
          <w:pgMar w:left="240" w:top="125"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Inventories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consisted of the following at July 31, 2019 and October 31,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July 31,</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434"/>
              <w:spacing w:after="0"/>
              <w:rPr>
                <w:sz w:val="20"/>
                <w:szCs w:val="20"/>
                <w:color w:val="auto"/>
              </w:rPr>
            </w:pPr>
            <w:r>
              <w:rPr>
                <w:rFonts w:ascii="Arial" w:cs="Arial" w:eastAsia="Arial" w:hAnsi="Arial"/>
                <w:sz w:val="14"/>
                <w:szCs w:val="14"/>
                <w:b w:val="1"/>
                <w:bCs w:val="1"/>
                <w:color w:val="auto"/>
                <w:w w:val="98"/>
              </w:rPr>
              <w:t>October 31,</w:t>
            </w:r>
          </w:p>
        </w:tc>
      </w:tr>
      <w:tr>
        <w:trPr>
          <w:trHeight w:val="192"/>
        </w:trPr>
        <w:tc>
          <w:tcPr>
            <w:tcW w:w="7780" w:type="dxa"/>
            <w:vAlign w:val="bottom"/>
          </w:tcPr>
          <w:p>
            <w:pPr>
              <w:spacing w:after="0"/>
              <w:rPr>
                <w:sz w:val="16"/>
                <w:szCs w:val="16"/>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2018</w:t>
            </w:r>
          </w:p>
        </w:tc>
      </w:tr>
      <w:tr>
        <w:trPr>
          <w:trHeight w:val="196"/>
        </w:trPr>
        <w:tc>
          <w:tcPr>
            <w:tcW w:w="7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300" w:type="dxa"/>
            <w:vAlign w:val="bottom"/>
          </w:tcPr>
          <w:p>
            <w:pPr>
              <w:spacing w:after="0"/>
              <w:rPr>
                <w:sz w:val="17"/>
                <w:szCs w:val="17"/>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0"/>
              </w:rPr>
              <w:t>42,415</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41,584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Finished goods and work in process</w:t>
            </w:r>
          </w:p>
        </w:tc>
        <w:tc>
          <w:tcPr>
            <w:tcW w:w="110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w w:val="90"/>
              </w:rPr>
              <w:t>43,823</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31,727</w:t>
            </w:r>
          </w:p>
        </w:tc>
      </w:tr>
      <w:tr>
        <w:trPr>
          <w:trHeight w:val="27"/>
        </w:trPr>
        <w:tc>
          <w:tcPr>
            <w:tcW w:w="7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Supplies and other</w:t>
            </w:r>
          </w:p>
        </w:tc>
        <w:tc>
          <w:tcPr>
            <w:tcW w:w="1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2,975</w:t>
            </w:r>
          </w:p>
        </w:tc>
        <w:tc>
          <w:tcPr>
            <w:tcW w:w="2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1,794</w:t>
            </w:r>
          </w:p>
        </w:tc>
      </w:tr>
      <w:tr>
        <w:trPr>
          <w:trHeight w:val="237"/>
        </w:trPr>
        <w:tc>
          <w:tcPr>
            <w:tcW w:w="7780" w:type="dxa"/>
            <w:vAlign w:val="bottom"/>
          </w:tcPr>
          <w:p>
            <w:pPr>
              <w:ind w:left="380"/>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0"/>
              </w:rPr>
              <w:t>89,213</w:t>
            </w:r>
          </w:p>
        </w:tc>
        <w:tc>
          <w:tcPr>
            <w:tcW w:w="2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75,105</w:t>
            </w:r>
          </w:p>
        </w:tc>
      </w:tr>
      <w:tr>
        <w:trPr>
          <w:trHeight w:val="27"/>
        </w:trPr>
        <w:tc>
          <w:tcPr>
            <w:tcW w:w="7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Inventory reserves</w:t>
            </w:r>
          </w:p>
        </w:tc>
        <w:tc>
          <w:tcPr>
            <w:tcW w:w="1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4,451</w:t>
            </w:r>
          </w:p>
        </w:tc>
        <w:tc>
          <w:tcPr>
            <w:tcW w:w="2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4,375</w:t>
            </w:r>
          </w:p>
        </w:tc>
      </w:tr>
      <w:tr>
        <w:trPr>
          <w:trHeight w:val="257"/>
        </w:trPr>
        <w:tc>
          <w:tcPr>
            <w:tcW w:w="7780" w:type="dxa"/>
            <w:vAlign w:val="bottom"/>
          </w:tcPr>
          <w:p>
            <w:pPr>
              <w:ind w:left="600"/>
              <w:spacing w:after="0"/>
              <w:rPr>
                <w:sz w:val="20"/>
                <w:szCs w:val="20"/>
                <w:color w:val="auto"/>
              </w:rPr>
            </w:pPr>
            <w:r>
              <w:rPr>
                <w:rFonts w:ascii="Arial" w:cs="Arial" w:eastAsia="Arial" w:hAnsi="Arial"/>
                <w:sz w:val="18"/>
                <w:szCs w:val="18"/>
                <w:color w:val="auto"/>
              </w:rPr>
              <w:t>Inventories, net</w:t>
            </w:r>
          </w:p>
        </w:tc>
        <w:tc>
          <w:tcPr>
            <w:tcW w:w="110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0"/>
              </w:rPr>
              <w:t>84,762</w:t>
            </w:r>
          </w:p>
        </w:tc>
        <w:tc>
          <w:tcPr>
            <w:tcW w:w="2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70,730</w:t>
            </w:r>
          </w:p>
        </w:tc>
      </w:tr>
      <w:tr>
        <w:trPr>
          <w:trHeight w:val="20"/>
        </w:trPr>
        <w:tc>
          <w:tcPr>
            <w:tcW w:w="77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Fixed costs related to excess manufacturing capacity, if any, have been expensed in the period they were incurred and, therefore, are not capitalized into inventory.</w:t>
      </w:r>
    </w:p>
    <w:p>
      <w:pPr>
        <w:spacing w:after="0" w:line="116"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 xml:space="preserve">As described in Note 1, “Nature of Operations and Basis of Presentation - </w:t>
      </w:r>
      <w:r>
        <w:rPr>
          <w:rFonts w:ascii="Arial" w:cs="Arial" w:eastAsia="Arial" w:hAnsi="Arial"/>
          <w:sz w:val="16"/>
          <w:szCs w:val="16"/>
          <w:i w:val="1"/>
          <w:iCs w:val="1"/>
          <w:color w:val="auto"/>
        </w:rPr>
        <w:t>Accounting Change - Inventories</w:t>
      </w:r>
      <w:r>
        <w:rPr>
          <w:rFonts w:ascii="Arial" w:cs="Arial" w:eastAsia="Arial" w:hAnsi="Arial"/>
          <w:sz w:val="16"/>
          <w:szCs w:val="16"/>
          <w:color w:val="auto"/>
        </w:rPr>
        <w:t>,” in the second quarter of 2019, we elected to change our method of accounting for certain inventory in our North American Fenestration reportable business segment from LIFO to FIFO. We applied this change in method of inventory costing by retrospectively adjusting the prior period financial statements. As a result of the retrospective application of the change in accounting principle, certain amounts in our condensed consolidated balance sheet as of October 31, 2018 were adjusted as follows: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As reported</w:t>
            </w:r>
          </w:p>
        </w:tc>
        <w:tc>
          <w:tcPr>
            <w:tcW w:w="1960" w:type="dxa"/>
            <w:vAlign w:val="bottom"/>
            <w:tcBorders>
              <w:bottom w:val="single" w:sz="8" w:color="auto"/>
            </w:tcBorders>
            <w:gridSpan w:val="2"/>
          </w:tcPr>
          <w:p>
            <w:pPr>
              <w:jc w:val="right"/>
              <w:ind w:right="54"/>
              <w:spacing w:after="0"/>
              <w:rPr>
                <w:sz w:val="20"/>
                <w:szCs w:val="20"/>
                <w:color w:val="auto"/>
              </w:rPr>
            </w:pPr>
            <w:r>
              <w:rPr>
                <w:rFonts w:ascii="Arial" w:cs="Arial" w:eastAsia="Arial" w:hAnsi="Arial"/>
                <w:sz w:val="14"/>
                <w:szCs w:val="14"/>
                <w:b w:val="1"/>
                <w:bCs w:val="1"/>
                <w:color w:val="auto"/>
              </w:rPr>
              <w:t>Impact of change to FIFO</w:t>
            </w: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As adjusted</w:t>
            </w:r>
          </w:p>
        </w:tc>
      </w:tr>
      <w:tr>
        <w:trPr>
          <w:trHeight w:val="196"/>
        </w:trPr>
        <w:tc>
          <w:tcPr>
            <w:tcW w:w="5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40" w:type="dxa"/>
            <w:vAlign w:val="bottom"/>
          </w:tcPr>
          <w:p>
            <w:pPr>
              <w:jc w:val="right"/>
              <w:ind w:right="434"/>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5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69,365</w:t>
            </w:r>
          </w:p>
        </w:tc>
        <w:tc>
          <w:tcPr>
            <w:tcW w:w="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1,365</w:t>
            </w:r>
          </w:p>
        </w:tc>
        <w:tc>
          <w:tcPr>
            <w:tcW w:w="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70,730</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21"/>
                <w:szCs w:val="21"/>
                <w:color w:val="auto"/>
              </w:rPr>
            </w:pPr>
          </w:p>
        </w:tc>
        <w:tc>
          <w:tcPr>
            <w:tcW w:w="1500" w:type="dxa"/>
            <w:vAlign w:val="bottom"/>
          </w:tcPr>
          <w:p>
            <w:pPr>
              <w:jc w:val="right"/>
              <w:ind w:right="114"/>
              <w:spacing w:after="0"/>
              <w:rPr>
                <w:sz w:val="20"/>
                <w:szCs w:val="20"/>
                <w:color w:val="auto"/>
              </w:rPr>
            </w:pPr>
            <w:r>
              <w:rPr>
                <w:rFonts w:ascii="Arial" w:cs="Arial" w:eastAsia="Arial" w:hAnsi="Arial"/>
                <w:sz w:val="18"/>
                <w:szCs w:val="18"/>
                <w:color w:val="auto"/>
              </w:rPr>
              <w:t>17,215</w:t>
            </w:r>
          </w:p>
        </w:tc>
        <w:tc>
          <w:tcPr>
            <w:tcW w:w="420" w:type="dxa"/>
            <w:vAlign w:val="bottom"/>
          </w:tcPr>
          <w:p>
            <w:pPr>
              <w:spacing w:after="0"/>
              <w:rPr>
                <w:sz w:val="21"/>
                <w:szCs w:val="21"/>
                <w:color w:val="auto"/>
              </w:rPr>
            </w:pPr>
          </w:p>
        </w:tc>
        <w:tc>
          <w:tcPr>
            <w:tcW w:w="1540" w:type="dxa"/>
            <w:vAlign w:val="bottom"/>
          </w:tcPr>
          <w:p>
            <w:pPr>
              <w:jc w:val="right"/>
              <w:ind w:right="114"/>
              <w:spacing w:after="0"/>
              <w:rPr>
                <w:sz w:val="20"/>
                <w:szCs w:val="20"/>
                <w:color w:val="auto"/>
              </w:rPr>
            </w:pPr>
            <w:r>
              <w:rPr>
                <w:rFonts w:ascii="Arial" w:cs="Arial" w:eastAsia="Arial" w:hAnsi="Arial"/>
                <w:sz w:val="18"/>
                <w:szCs w:val="18"/>
                <w:color w:val="auto"/>
              </w:rPr>
              <w:t>295</w:t>
            </w:r>
          </w:p>
        </w:tc>
        <w:tc>
          <w:tcPr>
            <w:tcW w:w="42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17,510</w:t>
            </w:r>
          </w:p>
        </w:tc>
      </w:tr>
      <w:tr>
        <w:trPr>
          <w:trHeight w:val="27"/>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3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242,834</w:t>
            </w:r>
          </w:p>
        </w:tc>
        <w:tc>
          <w:tcPr>
            <w:tcW w:w="42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1,070</w:t>
            </w: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243,904</w:t>
            </w:r>
          </w:p>
        </w:tc>
      </w:tr>
      <w:tr>
        <w:trPr>
          <w:trHeight w:val="27"/>
        </w:trPr>
        <w:tc>
          <w:tcPr>
            <w:tcW w:w="58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third quarter of 2019, we updated our assessment of the impact of the change in method of inventory costing and noted the impact would have remained the same.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 in the carrying amount of goodwill for the nine months ended July 31, 2019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tcPr>
          <w:p>
            <w:pPr>
              <w:jc w:val="center"/>
              <w:ind w:right="218"/>
              <w:spacing w:after="0"/>
              <w:rPr>
                <w:sz w:val="20"/>
                <w:szCs w:val="20"/>
                <w:color w:val="auto"/>
              </w:rPr>
            </w:pPr>
            <w:r>
              <w:rPr>
                <w:rFonts w:ascii="Arial" w:cs="Arial" w:eastAsia="Arial" w:hAnsi="Arial"/>
                <w:sz w:val="14"/>
                <w:szCs w:val="14"/>
                <w:b w:val="1"/>
                <w:bCs w:val="1"/>
                <w:color w:val="auto"/>
                <w:w w:val="94"/>
              </w:rPr>
              <w:t>Nine Months Ended</w:t>
            </w:r>
          </w:p>
        </w:tc>
      </w:tr>
      <w:tr>
        <w:trPr>
          <w:trHeight w:val="209"/>
        </w:trPr>
        <w:tc>
          <w:tcPr>
            <w:tcW w:w="9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92"/>
              </w:rPr>
              <w:t>July 31, 2019</w:t>
            </w:r>
          </w:p>
        </w:tc>
      </w:tr>
      <w:tr>
        <w:trPr>
          <w:trHeight w:val="250"/>
        </w:trPr>
        <w:tc>
          <w:tcPr>
            <w:tcW w:w="9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center"/>
              <w:ind w:right="218"/>
              <w:spacing w:after="0"/>
              <w:rPr>
                <w:sz w:val="20"/>
                <w:szCs w:val="20"/>
                <w:color w:val="auto"/>
              </w:rPr>
            </w:pPr>
            <w:r>
              <w:rPr>
                <w:rFonts w:ascii="Arial" w:cs="Arial" w:eastAsia="Arial" w:hAnsi="Arial"/>
                <w:sz w:val="14"/>
                <w:szCs w:val="14"/>
                <w:b w:val="1"/>
                <w:bCs w:val="1"/>
                <w:color w:val="auto"/>
                <w:w w:val="91"/>
              </w:rPr>
              <w:t>(In thousands)</w:t>
            </w:r>
          </w:p>
        </w:tc>
      </w:tr>
      <w:tr>
        <w:trPr>
          <w:trHeight w:val="256"/>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as of November 1, 2018</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219,627</w:t>
            </w:r>
          </w:p>
        </w:tc>
      </w:tr>
      <w:tr>
        <w:trPr>
          <w:trHeight w:val="243"/>
        </w:trPr>
        <w:tc>
          <w:tcPr>
            <w:tcW w:w="9260" w:type="dxa"/>
            <w:vAlign w:val="bottom"/>
          </w:tcPr>
          <w:p>
            <w:pPr>
              <w:ind w:left="380"/>
              <w:spacing w:after="0"/>
              <w:rPr>
                <w:sz w:val="20"/>
                <w:szCs w:val="20"/>
                <w:color w:val="auto"/>
              </w:rPr>
            </w:pPr>
            <w:r>
              <w:rPr>
                <w:rFonts w:ascii="Arial" w:cs="Arial" w:eastAsia="Arial" w:hAnsi="Arial"/>
                <w:sz w:val="18"/>
                <w:szCs w:val="18"/>
                <w:color w:val="auto"/>
              </w:rPr>
              <w:t>Goodwill impairment charge</w:t>
            </w:r>
          </w:p>
        </w:tc>
        <w:tc>
          <w:tcPr>
            <w:tcW w:w="3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(29,978)</w:t>
            </w:r>
          </w:p>
        </w:tc>
      </w:tr>
      <w:tr>
        <w:trPr>
          <w:trHeight w:val="27"/>
        </w:trPr>
        <w:tc>
          <w:tcPr>
            <w:tcW w:w="9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w:t>
            </w:r>
          </w:p>
        </w:tc>
        <w:tc>
          <w:tcPr>
            <w:tcW w:w="3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(2,820)</w:t>
            </w:r>
          </w:p>
        </w:tc>
      </w:tr>
      <w:tr>
        <w:trPr>
          <w:trHeight w:val="257"/>
        </w:trPr>
        <w:tc>
          <w:tcPr>
            <w:tcW w:w="9260" w:type="dxa"/>
            <w:vAlign w:val="bottom"/>
          </w:tcPr>
          <w:p>
            <w:pPr>
              <w:ind w:left="40"/>
              <w:spacing w:after="0"/>
              <w:rPr>
                <w:sz w:val="20"/>
                <w:szCs w:val="20"/>
                <w:color w:val="auto"/>
              </w:rPr>
            </w:pPr>
            <w:r>
              <w:rPr>
                <w:rFonts w:ascii="Arial" w:cs="Arial" w:eastAsia="Arial" w:hAnsi="Arial"/>
                <w:sz w:val="18"/>
                <w:szCs w:val="18"/>
                <w:color w:val="auto"/>
              </w:rPr>
              <w:t>Balance as of the end of the period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186,829</w:t>
            </w:r>
          </w:p>
        </w:tc>
      </w:tr>
      <w:tr>
        <w:trPr>
          <w:trHeight w:val="20"/>
        </w:trPr>
        <w:tc>
          <w:tcPr>
            <w:tcW w:w="9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At our last annual test date, August 31, 2018, we evaluated the recoverability of goodwill at each of our five reportable units with goodwill balances and determined that our goodwill was not impaired. For the reportable unit included in our NA Cabinet Components operating segment, we experienced financial performance for the year to date period ending March 31, 2019 that was below our annual budget. As a result, we developed a new long-range forecast for this reporting unit that was below its previous long-range forecast as a result of an industry-wide shift from semi-custom cabinets to stock cabinets. We determined that the combination of i) actual financial results below planned performance, ii) a downward revision of the long-range forecast, and iii) the historical narrow margin of fair value over carrying value in previous annual and interim goodwill assessments represented a triggering event that would more likely than not indicate that the carrying value of a reporting unit was greater than its fair value.</w:t>
      </w:r>
    </w:p>
    <w:p>
      <w:pPr>
        <w:sectPr>
          <w:pgSz w:w="11900" w:h="16838" w:orient="portrait"/>
          <w:cols w:equalWidth="0" w:num="1">
            <w:col w:w="11420"/>
          </w:cols>
          <w:pgMar w:left="240" w:top="125"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40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Therefore, we performed a quantitative assessment (previously referred to as step one) of the goodwill impairment test at March 31, 2019. The step one test was conducted using multiple valuation techniques, including a discounted cash flow analysis, which utilize Level 3 fair value inputs. During the nine months ended July 31, 2019, we adopted a new accounting standard which removed the requirement to perform any further testing beyond the quantitative assessment, as further described in Note 15, "New Accounting Guidance." As a result of the step one test, we recorded an impairment charge of $30.0 million, reducing the goodwill balance applicable to the reporting unit included in our NA Cabinet Components operating segment from $113.7 million to $83.7 million. For a summary of the change in the carrying amount of goodwill by segment, see Note 13, "Segment Information."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Identifiable Intangible Assets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Amortizable intangible assets consisted of the following as of July 31, 2019 and October 31,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July 31, 2019</w:t>
            </w:r>
          </w:p>
        </w:tc>
        <w:tc>
          <w:tcPr>
            <w:tcW w:w="11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956"/>
              <w:spacing w:after="0"/>
              <w:rPr>
                <w:sz w:val="20"/>
                <w:szCs w:val="20"/>
                <w:color w:val="auto"/>
              </w:rPr>
            </w:pPr>
            <w:r>
              <w:rPr>
                <w:rFonts w:ascii="Arial" w:cs="Arial" w:eastAsia="Arial" w:hAnsi="Arial"/>
                <w:sz w:val="14"/>
                <w:szCs w:val="14"/>
                <w:b w:val="1"/>
                <w:bCs w:val="1"/>
                <w:color w:val="auto"/>
              </w:rPr>
              <w:t>October 31, 2018</w:t>
            </w:r>
          </w:p>
        </w:tc>
      </w:tr>
      <w:tr>
        <w:trPr>
          <w:trHeight w:val="152"/>
        </w:trPr>
        <w:tc>
          <w:tcPr>
            <w:tcW w:w="4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320" w:type="dxa"/>
            <w:vAlign w:val="bottom"/>
          </w:tcPr>
          <w:p>
            <w:pPr>
              <w:spacing w:after="0"/>
              <w:rPr>
                <w:sz w:val="13"/>
                <w:szCs w:val="13"/>
                <w:color w:val="auto"/>
              </w:rPr>
            </w:pPr>
          </w:p>
        </w:tc>
        <w:tc>
          <w:tcPr>
            <w:tcW w:w="14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3"/>
                <w:szCs w:val="13"/>
                <w:color w:val="auto"/>
              </w:rPr>
            </w:pPr>
          </w:p>
        </w:tc>
        <w:tc>
          <w:tcPr>
            <w:tcW w:w="150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220" w:type="dxa"/>
            <w:vAlign w:val="bottom"/>
          </w:tcPr>
          <w:p>
            <w:pPr>
              <w:spacing w:after="0"/>
              <w:rPr>
                <w:sz w:val="13"/>
                <w:szCs w:val="13"/>
                <w:color w:val="auto"/>
              </w:rPr>
            </w:pPr>
          </w:p>
        </w:tc>
        <w:tc>
          <w:tcPr>
            <w:tcW w:w="1260" w:type="dxa"/>
            <w:vAlign w:val="bottom"/>
          </w:tcPr>
          <w:p>
            <w:pPr>
              <w:jc w:val="right"/>
              <w:ind w:right="236"/>
              <w:spacing w:after="0" w:line="153" w:lineRule="exact"/>
              <w:rPr>
                <w:sz w:val="20"/>
                <w:szCs w:val="20"/>
                <w:color w:val="auto"/>
              </w:rPr>
            </w:pPr>
            <w:r>
              <w:rPr>
                <w:rFonts w:ascii="Arial" w:cs="Arial" w:eastAsia="Arial" w:hAnsi="Arial"/>
                <w:sz w:val="14"/>
                <w:szCs w:val="14"/>
                <w:b w:val="1"/>
                <w:bCs w:val="1"/>
                <w:color w:val="auto"/>
              </w:rPr>
              <w:t>Accumulated</w:t>
            </w:r>
          </w:p>
        </w:tc>
      </w:tr>
      <w:tr>
        <w:trPr>
          <w:trHeight w:val="192"/>
        </w:trPr>
        <w:tc>
          <w:tcPr>
            <w:tcW w:w="4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8"/>
              </w:rPr>
              <w:t>Amount</w:t>
            </w: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Amortization</w:t>
            </w:r>
          </w:p>
        </w:tc>
      </w:tr>
      <w:tr>
        <w:trPr>
          <w:trHeight w:val="250"/>
        </w:trPr>
        <w:tc>
          <w:tcPr>
            <w:tcW w:w="4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80" w:type="dxa"/>
            <w:vAlign w:val="bottom"/>
            <w:gridSpan w:val="5"/>
          </w:tcPr>
          <w:p>
            <w:pPr>
              <w:ind w:left="8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6"/>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relationships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151,616</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66,879</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153,704</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59,332</w:t>
            </w:r>
          </w:p>
        </w:tc>
      </w:tr>
      <w:tr>
        <w:trPr>
          <w:trHeight w:val="243"/>
        </w:trPr>
        <w:tc>
          <w:tcPr>
            <w:tcW w:w="4800" w:type="dxa"/>
            <w:vAlign w:val="bottom"/>
          </w:tcPr>
          <w:p>
            <w:pPr>
              <w:ind w:left="380"/>
              <w:spacing w:after="0"/>
              <w:rPr>
                <w:sz w:val="20"/>
                <w:szCs w:val="20"/>
                <w:color w:val="auto"/>
              </w:rPr>
            </w:pPr>
            <w:r>
              <w:rPr>
                <w:rFonts w:ascii="Arial" w:cs="Arial" w:eastAsia="Arial" w:hAnsi="Arial"/>
                <w:sz w:val="18"/>
                <w:szCs w:val="18"/>
                <w:color w:val="auto"/>
              </w:rPr>
              <w:t>Trademarks and trade names</w:t>
            </w:r>
          </w:p>
        </w:tc>
        <w:tc>
          <w:tcPr>
            <w:tcW w:w="200" w:type="dxa"/>
            <w:vAlign w:val="bottom"/>
          </w:tcPr>
          <w:p>
            <w:pPr>
              <w:spacing w:after="0"/>
              <w:rPr>
                <w:sz w:val="21"/>
                <w:szCs w:val="21"/>
                <w:color w:val="auto"/>
              </w:rPr>
            </w:pPr>
          </w:p>
        </w:tc>
        <w:tc>
          <w:tcPr>
            <w:tcW w:w="1320" w:type="dxa"/>
            <w:vAlign w:val="bottom"/>
          </w:tcPr>
          <w:p>
            <w:pPr>
              <w:jc w:val="right"/>
              <w:ind w:right="38"/>
              <w:spacing w:after="0"/>
              <w:rPr>
                <w:sz w:val="20"/>
                <w:szCs w:val="20"/>
                <w:color w:val="auto"/>
              </w:rPr>
            </w:pPr>
            <w:r>
              <w:rPr>
                <w:rFonts w:ascii="Arial" w:cs="Arial" w:eastAsia="Arial" w:hAnsi="Arial"/>
                <w:sz w:val="18"/>
                <w:szCs w:val="18"/>
                <w:color w:val="auto"/>
              </w:rPr>
              <w:t>55,024</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18"/>
              <w:spacing w:after="0"/>
              <w:rPr>
                <w:sz w:val="20"/>
                <w:szCs w:val="20"/>
                <w:color w:val="auto"/>
              </w:rPr>
            </w:pPr>
            <w:r>
              <w:rPr>
                <w:rFonts w:ascii="Arial" w:cs="Arial" w:eastAsia="Arial" w:hAnsi="Arial"/>
                <w:sz w:val="18"/>
                <w:szCs w:val="18"/>
                <w:color w:val="auto"/>
              </w:rPr>
              <w:t>34,486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55,583</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32,668</w:t>
            </w:r>
          </w:p>
        </w:tc>
      </w:tr>
      <w:tr>
        <w:trPr>
          <w:trHeight w:val="27"/>
        </w:trPr>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Patents and other technology</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22,344</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18,999</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22,278</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17,646</w:t>
            </w:r>
          </w:p>
        </w:tc>
      </w:tr>
      <w:tr>
        <w:trPr>
          <w:trHeight w:val="257"/>
        </w:trPr>
        <w:tc>
          <w:tcPr>
            <w:tcW w:w="4800" w:type="dxa"/>
            <w:vAlign w:val="bottom"/>
          </w:tcPr>
          <w:p>
            <w:pPr>
              <w:ind w:left="3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228,984</w:t>
            </w:r>
          </w:p>
        </w:tc>
        <w:tc>
          <w:tcPr>
            <w:tcW w:w="2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120,364</w:t>
            </w:r>
          </w:p>
        </w:tc>
        <w:tc>
          <w:tcPr>
            <w:tcW w:w="2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231,565</w:t>
            </w:r>
          </w:p>
        </w:tc>
        <w:tc>
          <w:tcPr>
            <w:tcW w:w="2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109,646</w:t>
            </w:r>
          </w:p>
        </w:tc>
      </w:tr>
      <w:tr>
        <w:trPr>
          <w:trHeight w:val="20"/>
        </w:trPr>
        <w:tc>
          <w:tcPr>
            <w:tcW w:w="4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nine months ended July 31, 2019, we retired identifiable intangible assets of $0.3 million related to customer relationships.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had aggregate amortization expense related to intangible assets for the three and nine months ended July 31, 2019 of $3.7 million and $11.6 million, respectively, and $4.0 million and $12.2 million, respectively, for the comparable prior year periods.</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Estimated remaining amortization expense, based on current intangible balances, for each of the fiscal years ending October 31, is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tcPr>
          <w:p>
            <w:pPr>
              <w:jc w:val="right"/>
              <w:ind w:right="674"/>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92"/>
        </w:trPr>
        <w:tc>
          <w:tcPr>
            <w:tcW w:w="3940" w:type="dxa"/>
            <w:vAlign w:val="bottom"/>
            <w:tcBorders>
              <w:bottom w:val="single" w:sz="8" w:color="CCEEFF"/>
            </w:tcBorders>
          </w:tcPr>
          <w:p>
            <w:pPr>
              <w:spacing w:after="0"/>
              <w:rPr>
                <w:sz w:val="16"/>
                <w:szCs w:val="16"/>
                <w:color w:val="auto"/>
              </w:rPr>
            </w:pPr>
          </w:p>
        </w:tc>
        <w:tc>
          <w:tcPr>
            <w:tcW w:w="53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Amortization Expense</w:t>
            </w: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(remaining three months)</w:t>
            </w:r>
          </w:p>
        </w:tc>
        <w:tc>
          <w:tcPr>
            <w:tcW w:w="5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3,689</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2020</w:t>
            </w:r>
          </w:p>
        </w:tc>
        <w:tc>
          <w:tcPr>
            <w:tcW w:w="5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4"/>
              <w:spacing w:after="0"/>
              <w:rPr>
                <w:sz w:val="20"/>
                <w:szCs w:val="20"/>
                <w:color w:val="auto"/>
              </w:rPr>
            </w:pPr>
            <w:r>
              <w:rPr>
                <w:rFonts w:ascii="Arial" w:cs="Arial" w:eastAsia="Arial" w:hAnsi="Arial"/>
                <w:sz w:val="18"/>
                <w:szCs w:val="18"/>
                <w:color w:val="auto"/>
              </w:rPr>
              <w:t>14,116</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12,396</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2022</w:t>
            </w:r>
          </w:p>
        </w:tc>
        <w:tc>
          <w:tcPr>
            <w:tcW w:w="5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4"/>
              <w:spacing w:after="0"/>
              <w:rPr>
                <w:sz w:val="20"/>
                <w:szCs w:val="20"/>
                <w:color w:val="auto"/>
              </w:rPr>
            </w:pPr>
            <w:r>
              <w:rPr>
                <w:rFonts w:ascii="Arial" w:cs="Arial" w:eastAsia="Arial" w:hAnsi="Arial"/>
                <w:sz w:val="18"/>
                <w:szCs w:val="18"/>
                <w:color w:val="auto"/>
              </w:rPr>
              <w:t>11,776</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5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11,028</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4"/>
              <w:spacing w:after="0"/>
              <w:rPr>
                <w:sz w:val="20"/>
                <w:szCs w:val="20"/>
                <w:color w:val="auto"/>
              </w:rPr>
            </w:pPr>
            <w:r>
              <w:rPr>
                <w:rFonts w:ascii="Arial" w:cs="Arial" w:eastAsia="Arial" w:hAnsi="Arial"/>
                <w:sz w:val="18"/>
                <w:szCs w:val="18"/>
                <w:color w:val="auto"/>
              </w:rPr>
              <w:t>55,615</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108,620</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5320" w:type="dxa"/>
            <w:vAlign w:val="bottom"/>
            <w:tcBorders>
              <w:top w:val="single" w:sz="8" w:color="CCEEFF"/>
              <w:bottom w:val="single" w:sz="8" w:color="CCEEFF"/>
            </w:tcBorders>
            <w:vMerge w:val="restart"/>
          </w:tcPr>
          <w:p>
            <w:pPr>
              <w:jc w:val="right"/>
              <w:ind w:right="3370"/>
              <w:spacing w:after="0"/>
              <w:rPr>
                <w:sz w:val="20"/>
                <w:szCs w:val="20"/>
                <w:color w:val="auto"/>
              </w:rPr>
            </w:pPr>
            <w:r>
              <w:rPr>
                <w:rFonts w:ascii="Arial" w:cs="Arial" w:eastAsia="Arial" w:hAnsi="Arial"/>
                <w:sz w:val="18"/>
                <w:szCs w:val="18"/>
                <w:color w:val="auto"/>
              </w:rPr>
              <w:t>11</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940" w:type="dxa"/>
            <w:vAlign w:val="bottom"/>
          </w:tcPr>
          <w:p>
            <w:pPr>
              <w:spacing w:after="0"/>
              <w:rPr>
                <w:sz w:val="24"/>
                <w:szCs w:val="24"/>
                <w:color w:val="auto"/>
              </w:rPr>
            </w:pPr>
          </w:p>
        </w:tc>
        <w:tc>
          <w:tcPr>
            <w:tcW w:w="53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 and Capital Lease Obligations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Debt consisted of the following at July 31, 2019 and October 31,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July 31,</w:t>
            </w:r>
          </w:p>
        </w:tc>
        <w:tc>
          <w:tcPr>
            <w:tcW w:w="240" w:type="dxa"/>
            <w:vAlign w:val="bottom"/>
          </w:tcPr>
          <w:p>
            <w:pPr>
              <w:spacing w:after="0"/>
              <w:rPr>
                <w:sz w:val="14"/>
                <w:szCs w:val="14"/>
                <w:color w:val="auto"/>
              </w:rPr>
            </w:pPr>
          </w:p>
        </w:tc>
        <w:tc>
          <w:tcPr>
            <w:tcW w:w="1240" w:type="dxa"/>
            <w:vAlign w:val="bottom"/>
          </w:tcPr>
          <w:p>
            <w:pPr>
              <w:jc w:val="right"/>
              <w:ind w:right="314"/>
              <w:spacing w:after="0"/>
              <w:rPr>
                <w:sz w:val="20"/>
                <w:szCs w:val="20"/>
                <w:color w:val="auto"/>
              </w:rPr>
            </w:pPr>
            <w:r>
              <w:rPr>
                <w:rFonts w:ascii="Arial" w:cs="Arial" w:eastAsia="Arial" w:hAnsi="Arial"/>
                <w:sz w:val="14"/>
                <w:szCs w:val="14"/>
                <w:b w:val="1"/>
                <w:bCs w:val="1"/>
                <w:color w:val="auto"/>
              </w:rPr>
              <w:t>October 31,</w:t>
            </w:r>
          </w:p>
        </w:tc>
      </w:tr>
      <w:tr>
        <w:trPr>
          <w:trHeight w:val="192"/>
        </w:trPr>
        <w:tc>
          <w:tcPr>
            <w:tcW w:w="8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196"/>
        </w:trPr>
        <w:tc>
          <w:tcPr>
            <w:tcW w:w="8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80" w:type="dxa"/>
            <w:vAlign w:val="bottom"/>
            <w:gridSpan w:val="4"/>
          </w:tcPr>
          <w:p>
            <w:pPr>
              <w:jc w:val="right"/>
              <w:ind w:right="99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177,500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195,000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Capital lease obligations and other</w:t>
            </w:r>
          </w:p>
        </w:tc>
        <w:tc>
          <w:tcPr>
            <w:tcW w:w="30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15,742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17,043</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deferred financing fees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(1,487)</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debt</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191,980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210,556</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Current maturities of long-term debt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1,224</w:t>
            </w:r>
          </w:p>
        </w:tc>
      </w:tr>
      <w:tr>
        <w:trPr>
          <w:trHeight w:val="257"/>
        </w:trPr>
        <w:tc>
          <w:tcPr>
            <w:tcW w:w="8340" w:type="dxa"/>
            <w:vAlign w:val="bottom"/>
          </w:tcPr>
          <w:p>
            <w:pPr>
              <w:ind w:left="500"/>
              <w:spacing w:after="0"/>
              <w:rPr>
                <w:sz w:val="20"/>
                <w:szCs w:val="20"/>
                <w:color w:val="auto"/>
              </w:rPr>
            </w:pPr>
            <w:r>
              <w:rPr>
                <w:rFonts w:ascii="Arial" w:cs="Arial" w:eastAsia="Arial" w:hAnsi="Arial"/>
                <w:sz w:val="18"/>
                <w:szCs w:val="18"/>
                <w:color w:val="auto"/>
              </w:rPr>
              <w:t>Long-term debt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191,109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209,332</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more fully described in our Annual Report on Form 10-K for the year ended October 31, 2018, on October 18, 2018, we amended and extended our prior credit facility by entering into a $325.0 million revolving credit facility (the “Credit Facility”), with Wells Fargo Bank, National Association, as Agent, Swingline Lender and Issuing Lender, and Bank of America, N.A. serving as Syndication Agent. The Credit Facility has a five-year term, maturing on October 18, 2023, and requires interest payments calculated, at our election and depending upon our Consolidated Leverage Ratio, at either a Base Rate plus an applicable margin or the LIBOR Rate plus an applicable margin. In addition, we are subject to commitment fees for the unused portion of the Credit Facility.</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applicable margin and commitment fees are outlined in the following table: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Pricing Level</w:t>
            </w:r>
          </w:p>
        </w:tc>
        <w:tc>
          <w:tcPr>
            <w:tcW w:w="3480" w:type="dxa"/>
            <w:vAlign w:val="bottom"/>
          </w:tcPr>
          <w:p>
            <w:pPr>
              <w:ind w:left="680"/>
              <w:spacing w:after="0"/>
              <w:rPr>
                <w:sz w:val="20"/>
                <w:szCs w:val="20"/>
                <w:color w:val="auto"/>
              </w:rPr>
            </w:pPr>
            <w:r>
              <w:rPr>
                <w:rFonts w:ascii="Arial" w:cs="Arial" w:eastAsia="Arial" w:hAnsi="Arial"/>
                <w:sz w:val="18"/>
                <w:szCs w:val="18"/>
                <w:b w:val="1"/>
                <w:bCs w:val="1"/>
                <w:color w:val="auto"/>
              </w:rPr>
              <w:t>Consolidated Leverage Ratio</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91"/>
              </w:rPr>
              <w:t>Commitment Fee</w:t>
            </w:r>
          </w:p>
        </w:tc>
        <w:tc>
          <w:tcPr>
            <w:tcW w:w="232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LIBOR Rate Loans</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8"/>
              </w:rPr>
              <w:t>Base Rate Loans</w:t>
            </w:r>
          </w:p>
        </w:tc>
      </w:tr>
      <w:tr>
        <w:trPr>
          <w:trHeight w:val="34"/>
        </w:trPr>
        <w:tc>
          <w:tcPr>
            <w:tcW w:w="136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50"/>
        </w:trPr>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I</w:t>
            </w:r>
          </w:p>
        </w:tc>
        <w:tc>
          <w:tcPr>
            <w:tcW w:w="3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than or equal to 1.50 to 1.00</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0.200%</w:t>
            </w:r>
          </w:p>
        </w:tc>
        <w:tc>
          <w:tcPr>
            <w:tcW w:w="232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0"/>
              </w:rPr>
              <w:t>1.25%</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0.25%</w:t>
            </w:r>
          </w:p>
        </w:tc>
      </w:tr>
      <w:tr>
        <w:trPr>
          <w:trHeight w:val="229"/>
        </w:trPr>
        <w:tc>
          <w:tcPr>
            <w:tcW w:w="1360" w:type="dxa"/>
            <w:vAlign w:val="bottom"/>
          </w:tcPr>
          <w:p>
            <w:pPr>
              <w:spacing w:after="0"/>
              <w:rPr>
                <w:sz w:val="19"/>
                <w:szCs w:val="19"/>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w w:val="98"/>
              </w:rPr>
              <w:t>Greater than 1.50 to 1.00, but less than or</w:t>
            </w:r>
          </w:p>
        </w:tc>
        <w:tc>
          <w:tcPr>
            <w:tcW w:w="20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1360" w:type="dxa"/>
            <w:vAlign w:val="bottom"/>
          </w:tcPr>
          <w:p>
            <w:pPr>
              <w:jc w:val="center"/>
              <w:spacing w:after="0"/>
              <w:rPr>
                <w:sz w:val="20"/>
                <w:szCs w:val="20"/>
                <w:color w:val="auto"/>
              </w:rPr>
            </w:pPr>
            <w:r>
              <w:rPr>
                <w:rFonts w:ascii="Arial" w:cs="Arial" w:eastAsia="Arial" w:hAnsi="Arial"/>
                <w:sz w:val="18"/>
                <w:szCs w:val="18"/>
                <w:color w:val="auto"/>
              </w:rPr>
              <w:t>II</w:t>
            </w:r>
          </w:p>
        </w:tc>
        <w:tc>
          <w:tcPr>
            <w:tcW w:w="3480" w:type="dxa"/>
            <w:vAlign w:val="bottom"/>
          </w:tcPr>
          <w:p>
            <w:pPr>
              <w:ind w:left="180"/>
              <w:spacing w:after="0"/>
              <w:rPr>
                <w:sz w:val="20"/>
                <w:szCs w:val="20"/>
                <w:color w:val="auto"/>
              </w:rPr>
            </w:pPr>
            <w:r>
              <w:rPr>
                <w:rFonts w:ascii="Arial" w:cs="Arial" w:eastAsia="Arial" w:hAnsi="Arial"/>
                <w:sz w:val="18"/>
                <w:szCs w:val="18"/>
                <w:color w:val="auto"/>
              </w:rPr>
              <w:t>equal to 2.25 to 1.00</w:t>
            </w:r>
          </w:p>
        </w:tc>
        <w:tc>
          <w:tcPr>
            <w:tcW w:w="2000" w:type="dxa"/>
            <w:vAlign w:val="bottom"/>
          </w:tcPr>
          <w:p>
            <w:pPr>
              <w:jc w:val="center"/>
              <w:spacing w:after="0"/>
              <w:rPr>
                <w:sz w:val="20"/>
                <w:szCs w:val="20"/>
                <w:color w:val="auto"/>
              </w:rPr>
            </w:pPr>
            <w:r>
              <w:rPr>
                <w:rFonts w:ascii="Arial" w:cs="Arial" w:eastAsia="Arial" w:hAnsi="Arial"/>
                <w:sz w:val="18"/>
                <w:szCs w:val="18"/>
                <w:color w:val="auto"/>
                <w:w w:val="91"/>
              </w:rPr>
              <w:t>0.225%</w:t>
            </w:r>
          </w:p>
        </w:tc>
        <w:tc>
          <w:tcPr>
            <w:tcW w:w="2320" w:type="dxa"/>
            <w:vAlign w:val="bottom"/>
          </w:tcPr>
          <w:p>
            <w:pPr>
              <w:jc w:val="center"/>
              <w:ind w:right="50"/>
              <w:spacing w:after="0"/>
              <w:rPr>
                <w:sz w:val="20"/>
                <w:szCs w:val="20"/>
                <w:color w:val="auto"/>
              </w:rPr>
            </w:pPr>
            <w:r>
              <w:rPr>
                <w:rFonts w:ascii="Arial" w:cs="Arial" w:eastAsia="Arial" w:hAnsi="Arial"/>
                <w:sz w:val="18"/>
                <w:szCs w:val="18"/>
                <w:color w:val="auto"/>
                <w:w w:val="90"/>
              </w:rPr>
              <w:t>1.50%</w:t>
            </w: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0.50%</w:t>
            </w:r>
          </w:p>
        </w:tc>
      </w:tr>
      <w:tr>
        <w:trPr>
          <w:trHeight w:val="27"/>
        </w:trPr>
        <w:tc>
          <w:tcPr>
            <w:tcW w:w="13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29"/>
        </w:trPr>
        <w:tc>
          <w:tcPr>
            <w:tcW w:w="1360" w:type="dxa"/>
            <w:vAlign w:val="bottom"/>
            <w:shd w:val="clear" w:color="auto" w:fill="CCEEFF"/>
          </w:tcPr>
          <w:p>
            <w:pPr>
              <w:spacing w:after="0"/>
              <w:rPr>
                <w:sz w:val="19"/>
                <w:szCs w:val="19"/>
                <w:color w:val="auto"/>
              </w:rPr>
            </w:pPr>
          </w:p>
        </w:tc>
        <w:tc>
          <w:tcPr>
            <w:tcW w:w="34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Greater than 2.25 to 1.00, but less than or</w:t>
            </w:r>
          </w:p>
        </w:tc>
        <w:tc>
          <w:tcPr>
            <w:tcW w:w="200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r>
      <w:tr>
        <w:trPr>
          <w:trHeight w:val="237"/>
        </w:trPr>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III</w:t>
            </w:r>
          </w:p>
        </w:tc>
        <w:tc>
          <w:tcPr>
            <w:tcW w:w="3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equal to 3.00 to 1.00</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0.250%</w:t>
            </w:r>
          </w:p>
        </w:tc>
        <w:tc>
          <w:tcPr>
            <w:tcW w:w="232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0"/>
              </w:rPr>
              <w:t>1.75%</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0.75%</w:t>
            </w:r>
          </w:p>
        </w:tc>
      </w:tr>
      <w:tr>
        <w:trPr>
          <w:trHeight w:val="243"/>
        </w:trPr>
        <w:tc>
          <w:tcPr>
            <w:tcW w:w="1360" w:type="dxa"/>
            <w:vAlign w:val="bottom"/>
          </w:tcPr>
          <w:p>
            <w:pPr>
              <w:jc w:val="center"/>
              <w:spacing w:after="0"/>
              <w:rPr>
                <w:sz w:val="20"/>
                <w:szCs w:val="20"/>
                <w:color w:val="auto"/>
              </w:rPr>
            </w:pPr>
            <w:r>
              <w:rPr>
                <w:rFonts w:ascii="Arial" w:cs="Arial" w:eastAsia="Arial" w:hAnsi="Arial"/>
                <w:sz w:val="18"/>
                <w:szCs w:val="18"/>
                <w:color w:val="auto"/>
              </w:rPr>
              <w:t>IV</w:t>
            </w:r>
          </w:p>
        </w:tc>
        <w:tc>
          <w:tcPr>
            <w:tcW w:w="3480" w:type="dxa"/>
            <w:vAlign w:val="bottom"/>
          </w:tcPr>
          <w:p>
            <w:pPr>
              <w:ind w:left="180"/>
              <w:spacing w:after="0"/>
              <w:rPr>
                <w:sz w:val="20"/>
                <w:szCs w:val="20"/>
                <w:color w:val="auto"/>
              </w:rPr>
            </w:pPr>
            <w:r>
              <w:rPr>
                <w:rFonts w:ascii="Arial" w:cs="Arial" w:eastAsia="Arial" w:hAnsi="Arial"/>
                <w:sz w:val="18"/>
                <w:szCs w:val="18"/>
                <w:color w:val="auto"/>
              </w:rPr>
              <w:t>Greater than 3.00 to 1.00</w:t>
            </w:r>
          </w:p>
        </w:tc>
        <w:tc>
          <w:tcPr>
            <w:tcW w:w="2000" w:type="dxa"/>
            <w:vAlign w:val="bottom"/>
          </w:tcPr>
          <w:p>
            <w:pPr>
              <w:jc w:val="center"/>
              <w:spacing w:after="0"/>
              <w:rPr>
                <w:sz w:val="20"/>
                <w:szCs w:val="20"/>
                <w:color w:val="auto"/>
              </w:rPr>
            </w:pPr>
            <w:r>
              <w:rPr>
                <w:rFonts w:ascii="Arial" w:cs="Arial" w:eastAsia="Arial" w:hAnsi="Arial"/>
                <w:sz w:val="18"/>
                <w:szCs w:val="18"/>
                <w:color w:val="auto"/>
                <w:w w:val="91"/>
              </w:rPr>
              <w:t>0.300%</w:t>
            </w:r>
          </w:p>
        </w:tc>
        <w:tc>
          <w:tcPr>
            <w:tcW w:w="2320" w:type="dxa"/>
            <w:vAlign w:val="bottom"/>
          </w:tcPr>
          <w:p>
            <w:pPr>
              <w:jc w:val="center"/>
              <w:ind w:right="50"/>
              <w:spacing w:after="0"/>
              <w:rPr>
                <w:sz w:val="20"/>
                <w:szCs w:val="20"/>
                <w:color w:val="auto"/>
              </w:rPr>
            </w:pPr>
            <w:r>
              <w:rPr>
                <w:rFonts w:ascii="Arial" w:cs="Arial" w:eastAsia="Arial" w:hAnsi="Arial"/>
                <w:sz w:val="18"/>
                <w:szCs w:val="18"/>
                <w:color w:val="auto"/>
                <w:w w:val="90"/>
              </w:rPr>
              <w:t>2.00%</w:t>
            </w: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1.00%</w:t>
            </w:r>
          </w:p>
        </w:tc>
      </w:tr>
    </w:tbl>
    <w:p>
      <w:pPr>
        <w:spacing w:after="0" w:line="36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the event of default, outstanding borrowings would accrue interest at the Default Rate, as defined, whereby the obligations will bear interest at a per annum rate equal to 2% above the total per annum rate otherwise applicable.</w:t>
      </w:r>
    </w:p>
    <w:p>
      <w:pPr>
        <w:spacing w:after="0" w:line="89"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Credit Facility contains a: (1) Consolidated Interest Coverage Ratio requirement whereby we must not permit the Consolidated Interest Coverage Ratio, as defined, to be less than 2.25 to 1.00, and (2) Consolidated Leverage Ratio requirement, whereby we must not permit the Consolidated Leverage Ratio, as defined, to be greater than 3.25 to 1.00.</w:t>
      </w:r>
    </w:p>
    <w:p>
      <w:pPr>
        <w:spacing w:after="0" w:line="10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addition to maintaining these financial covenants, the Credit Facility also limits our ability to enter into certain business transactions, such as to incur indebtedness or liens, to acquire businesses or dispose of material assets, make restricted payments, pay dividends (limited to $20.0 million per year) and other transactions as further defined in the Credit Facility. Substantially all of our domestic assets, with the exception of real property, are utilized as collateral for the Credit Facility.</w:t>
      </w:r>
    </w:p>
    <w:p>
      <w:pPr>
        <w:spacing w:after="0" w:line="10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of July 31, 2019, we had $177.5 million of borrowings outstanding under the Credit Agreement (reduced by unamortized debt issuance costs of $1.3 million), $4.8 million of outstanding letters of credit and $15.7 million outstanding primarily under capital leases. We had $142.7 million available for use under the Credit Agreement at July 31, 2019. Outstanding borrowings under the Credit Agreement accrue interest at 3.99% per annum. Our weighted average borrowing rate for borrowings outstanding during the nine months ended July 31, 2019 and 2018 was 4.16% and 3.70%, respectively. We were in compliance with our debt covenants as of July 31, 2019.</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Debt Instruments</w:t>
      </w:r>
    </w:p>
    <w:p>
      <w:pPr>
        <w:spacing w:after="0" w:line="144"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We maintain certain capital lease obligations related to equipment purchases, vehicles, and warehouse space. The cost and accumulated depreciation of property, plant and equipment under all outstanding capital leases at July 31, 2019 was $21.2 million and $4.2 million, respectively, including $16.6 million and $2.5 million, respectively, related to warehouse space. Our total obligations under capital leases and other total $15.6 million at July 31, 2019, of which $1.0 million is classified in the current portion of long-term debt and $14.6 million is classified as long-term debt on the accompanying unaudited condensed consolidated balance sheets. These obligations accrue interest at an average rate of 3.60%, and extend through the year 2036.</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Retirement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Plan</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non-contributory, single employer defined benefit pension plan covers a majority of our employees in the U.S. The net periodic pension cost for this plan for the three and nine months ended July 31, 2019 and 2018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00" w:type="dxa"/>
            <w:vAlign w:val="bottom"/>
            <w:gridSpan w:val="3"/>
          </w:tcPr>
          <w:p>
            <w:pPr>
              <w:jc w:val="right"/>
              <w:ind w:right="296"/>
              <w:spacing w:after="0"/>
              <w:rPr>
                <w:sz w:val="20"/>
                <w:szCs w:val="20"/>
                <w:color w:val="auto"/>
              </w:rPr>
            </w:pPr>
            <w:r>
              <w:rPr>
                <w:rFonts w:ascii="Arial" w:cs="Arial" w:eastAsia="Arial" w:hAnsi="Arial"/>
                <w:sz w:val="14"/>
                <w:szCs w:val="14"/>
                <w:b w:val="1"/>
                <w:bCs w:val="1"/>
                <w:color w:val="auto"/>
                <w:w w:val="93"/>
              </w:rPr>
              <w:t>Three Months Ended</w:t>
            </w: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Nine Months Ended</w:t>
            </w:r>
          </w:p>
        </w:tc>
        <w:tc>
          <w:tcPr>
            <w:tcW w:w="880" w:type="dxa"/>
            <w:vAlign w:val="bottom"/>
          </w:tcPr>
          <w:p>
            <w:pPr>
              <w:spacing w:after="0"/>
              <w:rPr>
                <w:sz w:val="16"/>
                <w:szCs w:val="16"/>
                <w:color w:val="auto"/>
              </w:rPr>
            </w:pPr>
          </w:p>
        </w:tc>
      </w:tr>
      <w:tr>
        <w:trPr>
          <w:trHeight w:val="276"/>
        </w:trPr>
        <w:tc>
          <w:tcPr>
            <w:tcW w:w="50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ind w:right="716"/>
              <w:spacing w:after="0"/>
              <w:rPr>
                <w:sz w:val="20"/>
                <w:szCs w:val="20"/>
                <w:color w:val="auto"/>
              </w:rPr>
            </w:pPr>
            <w:r>
              <w:rPr>
                <w:rFonts w:ascii="Arial" w:cs="Arial" w:eastAsia="Arial" w:hAnsi="Arial"/>
                <w:sz w:val="14"/>
                <w:szCs w:val="14"/>
                <w:b w:val="1"/>
                <w:bCs w:val="1"/>
                <w:color w:val="auto"/>
              </w:rPr>
              <w:t>July 31,</w:t>
            </w:r>
          </w:p>
        </w:tc>
        <w:tc>
          <w:tcPr>
            <w:tcW w:w="5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July 31,</w:t>
            </w:r>
          </w:p>
        </w:tc>
        <w:tc>
          <w:tcPr>
            <w:tcW w:w="880" w:type="dxa"/>
            <w:vAlign w:val="bottom"/>
            <w:tcBorders>
              <w:bottom w:val="single" w:sz="8" w:color="auto"/>
            </w:tcBorders>
          </w:tcPr>
          <w:p>
            <w:pPr>
              <w:spacing w:after="0"/>
              <w:rPr>
                <w:sz w:val="24"/>
                <w:szCs w:val="24"/>
                <w:color w:val="auto"/>
              </w:rPr>
            </w:pPr>
          </w:p>
        </w:tc>
      </w:tr>
      <w:tr>
        <w:trPr>
          <w:trHeight w:val="264"/>
        </w:trPr>
        <w:tc>
          <w:tcPr>
            <w:tcW w:w="504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3"/>
              </w:rPr>
              <w:t>2018</w:t>
            </w:r>
          </w:p>
        </w:tc>
      </w:tr>
      <w:tr>
        <w:trPr>
          <w:trHeight w:val="196"/>
        </w:trPr>
        <w:tc>
          <w:tcPr>
            <w:tcW w:w="5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20" w:type="dxa"/>
            <w:vAlign w:val="bottom"/>
            <w:gridSpan w:val="3"/>
          </w:tcPr>
          <w:p>
            <w:pPr>
              <w:jc w:val="right"/>
              <w:ind w:right="496"/>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907</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960</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2,722</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2,932</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00" w:type="dxa"/>
            <w:vAlign w:val="bottom"/>
          </w:tcPr>
          <w:p>
            <w:pPr>
              <w:spacing w:after="0"/>
              <w:rPr>
                <w:sz w:val="21"/>
                <w:szCs w:val="21"/>
                <w:color w:val="auto"/>
              </w:rPr>
            </w:pPr>
          </w:p>
        </w:tc>
        <w:tc>
          <w:tcPr>
            <w:tcW w:w="600" w:type="dxa"/>
            <w:vAlign w:val="bottom"/>
          </w:tcPr>
          <w:p>
            <w:pPr>
              <w:jc w:val="right"/>
              <w:ind w:right="35"/>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jc w:val="right"/>
              <w:ind w:right="33"/>
              <w:spacing w:after="0"/>
              <w:rPr>
                <w:sz w:val="20"/>
                <w:szCs w:val="20"/>
                <w:color w:val="auto"/>
              </w:rPr>
            </w:pPr>
            <w:r>
              <w:rPr>
                <w:rFonts w:ascii="Arial" w:cs="Arial" w:eastAsia="Arial" w:hAnsi="Arial"/>
                <w:sz w:val="18"/>
                <w:szCs w:val="18"/>
                <w:color w:val="auto"/>
              </w:rPr>
              <w:t>279</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847</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(1,483)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(1,630)</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Amortization of net loss</w:t>
            </w:r>
          </w:p>
        </w:tc>
        <w:tc>
          <w:tcPr>
            <w:tcW w:w="900" w:type="dxa"/>
            <w:vAlign w:val="bottom"/>
          </w:tcPr>
          <w:p>
            <w:pPr>
              <w:spacing w:after="0"/>
              <w:rPr>
                <w:sz w:val="21"/>
                <w:szCs w:val="21"/>
                <w:color w:val="auto"/>
              </w:rPr>
            </w:pPr>
          </w:p>
        </w:tc>
        <w:tc>
          <w:tcPr>
            <w:tcW w:w="600" w:type="dxa"/>
            <w:vAlign w:val="bottom"/>
          </w:tcPr>
          <w:p>
            <w:pPr>
              <w:jc w:val="right"/>
              <w:ind w:right="35"/>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jc w:val="right"/>
              <w:ind w:right="33"/>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49</w:t>
            </w:r>
          </w:p>
        </w:tc>
      </w:tr>
      <w:tr>
        <w:trPr>
          <w:trHeight w:val="27"/>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periodic pension cost</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808</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703</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2,425</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2,198</w:t>
            </w:r>
          </w:p>
        </w:tc>
      </w:tr>
      <w:tr>
        <w:trPr>
          <w:trHeight w:val="20"/>
        </w:trPr>
        <w:tc>
          <w:tcPr>
            <w:tcW w:w="5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September 2018, we contributed $0.8 million to fund our plan, and we expect to make a contribution to our plan in September 2019 of approximately $0.7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Plans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also have a supplemental benefit plan covering certain executive officers and key employees and a non-qualified deferred compensation plan covering members of the Board of Directors and certain key employees. As of July 31, 2019 and October 31, 2018, our liability under the supplemental benefit plan was approximately $3.5 million and $3.4 million, respectively. As of July 31, 2019 and October 31, 2018, the liability associated with the deferred compensation plan was approximately $3.7 million and $3.5 million, respectively. We record the current portion of liabilities associated with these plans under the caption "Accrued Liabilities," and the long-term portion under the caption "Other Liabilities" in the accompanying condensed consolidated balance sheets.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Warranty Obligations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accrue warranty obligations as we recognize revenue associated with certain products. We make provisions for our warranty obligations based upon historical experience of costs incurred for such obligations adjusted, as necessary, for current conditions and factors. There are significant uncertainties and judgments involved in estimating our warranty obligations, including changing product designs, differences in customer installation processes and future claims experience which may vary from historical claims experience. Therefore, the ultimate amount we incur as warranty costs in the near and long-term may not be consistent with our current estimate.</w:t>
      </w:r>
    </w:p>
    <w:p>
      <w:pPr>
        <w:spacing w:after="0" w:line="13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 reconciliation of the activity related to our accrued warranty, including both the current and long-term portions (reported in accrued liabilities and other liabilities, respectively, on the accompanying condensed consolidated balance sheets)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tcPr>
          <w:p>
            <w:pPr>
              <w:jc w:val="center"/>
              <w:ind w:right="216"/>
              <w:spacing w:after="0"/>
              <w:rPr>
                <w:sz w:val="20"/>
                <w:szCs w:val="20"/>
                <w:color w:val="auto"/>
              </w:rPr>
            </w:pPr>
            <w:r>
              <w:rPr>
                <w:rFonts w:ascii="Arial" w:cs="Arial" w:eastAsia="Arial" w:hAnsi="Arial"/>
                <w:sz w:val="14"/>
                <w:szCs w:val="14"/>
                <w:b w:val="1"/>
                <w:bCs w:val="1"/>
                <w:color w:val="auto"/>
                <w:w w:val="94"/>
              </w:rPr>
              <w:t>Nine Months Ended</w:t>
            </w:r>
          </w:p>
        </w:tc>
      </w:tr>
      <w:tr>
        <w:trPr>
          <w:trHeight w:val="209"/>
        </w:trPr>
        <w:tc>
          <w:tcPr>
            <w:tcW w:w="9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92"/>
              </w:rPr>
              <w:t>July 31, 2019</w:t>
            </w:r>
          </w:p>
        </w:tc>
      </w:tr>
      <w:tr>
        <w:trPr>
          <w:trHeight w:val="250"/>
        </w:trPr>
        <w:tc>
          <w:tcPr>
            <w:tcW w:w="9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center"/>
              <w:ind w:right="216"/>
              <w:spacing w:after="0"/>
              <w:rPr>
                <w:sz w:val="20"/>
                <w:szCs w:val="20"/>
                <w:color w:val="auto"/>
              </w:rPr>
            </w:pPr>
            <w:r>
              <w:rPr>
                <w:rFonts w:ascii="Arial" w:cs="Arial" w:eastAsia="Arial" w:hAnsi="Arial"/>
                <w:sz w:val="14"/>
                <w:szCs w:val="14"/>
                <w:b w:val="1"/>
                <w:bCs w:val="1"/>
                <w:color w:val="auto"/>
                <w:w w:val="91"/>
              </w:rPr>
              <w:t>(In thousands)</w:t>
            </w:r>
          </w:p>
        </w:tc>
      </w:tr>
      <w:tr>
        <w:trPr>
          <w:trHeight w:val="256"/>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as of November 1, 2018</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295</w:t>
            </w:r>
          </w:p>
        </w:tc>
      </w:tr>
      <w:tr>
        <w:trPr>
          <w:trHeight w:val="243"/>
        </w:trPr>
        <w:tc>
          <w:tcPr>
            <w:tcW w:w="9260" w:type="dxa"/>
            <w:vAlign w:val="bottom"/>
          </w:tcPr>
          <w:p>
            <w:pPr>
              <w:ind w:left="180"/>
              <w:spacing w:after="0"/>
              <w:rPr>
                <w:sz w:val="20"/>
                <w:szCs w:val="20"/>
                <w:color w:val="auto"/>
              </w:rPr>
            </w:pPr>
            <w:r>
              <w:rPr>
                <w:rFonts w:ascii="Arial" w:cs="Arial" w:eastAsia="Arial" w:hAnsi="Arial"/>
                <w:sz w:val="18"/>
                <w:szCs w:val="18"/>
                <w:color w:val="auto"/>
              </w:rPr>
              <w:t>Change in accrual for preexisting warranties</w:t>
            </w:r>
          </w:p>
        </w:tc>
        <w:tc>
          <w:tcPr>
            <w:tcW w:w="3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9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Warranty costs paid</w:t>
            </w:r>
          </w:p>
        </w:tc>
        <w:tc>
          <w:tcPr>
            <w:tcW w:w="3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color w:val="auto"/>
              </w:rPr>
              <w:t>Total accrued warranty as of July 31, 2019</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270</w:t>
            </w:r>
          </w:p>
        </w:tc>
      </w:tr>
      <w:tr>
        <w:trPr>
          <w:trHeight w:val="27"/>
        </w:trPr>
        <w:tc>
          <w:tcPr>
            <w:tcW w:w="9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Less: Current portion of accrued warranty</w:t>
            </w:r>
          </w:p>
        </w:tc>
        <w:tc>
          <w:tcPr>
            <w:tcW w:w="3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138</w:t>
            </w:r>
          </w:p>
        </w:tc>
      </w:tr>
      <w:tr>
        <w:trPr>
          <w:trHeight w:val="257"/>
        </w:trPr>
        <w:tc>
          <w:tcPr>
            <w:tcW w:w="9260" w:type="dxa"/>
            <w:vAlign w:val="bottom"/>
          </w:tcPr>
          <w:p>
            <w:pPr>
              <w:ind w:left="720"/>
              <w:spacing w:after="0"/>
              <w:rPr>
                <w:sz w:val="20"/>
                <w:szCs w:val="20"/>
                <w:color w:val="auto"/>
              </w:rPr>
            </w:pPr>
            <w:r>
              <w:rPr>
                <w:rFonts w:ascii="Arial" w:cs="Arial" w:eastAsia="Arial" w:hAnsi="Arial"/>
                <w:sz w:val="18"/>
                <w:szCs w:val="18"/>
                <w:color w:val="auto"/>
              </w:rPr>
              <w:t>Long-term portion of accrued warranty</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132</w:t>
            </w:r>
          </w:p>
        </w:tc>
      </w:tr>
      <w:tr>
        <w:trPr>
          <w:trHeight w:val="20"/>
        </w:trPr>
        <w:tc>
          <w:tcPr>
            <w:tcW w:w="9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7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To determine our income tax expense or benefit for interim periods, consistent with accounting standards, we apply the estimated annual effective income tax rate to year-to-date results. Our estimated annual effective tax rates for the each of the nine months ended July 31, 2019 and 2018 was 24.8% and 23.7%, respectively, excluding discrete items. On December 22, 2017, the U.S. enacted the Tax Cuts and Jobs Act (the Act), which significantly changed U.S. tax law. The Act reduced our federal income tax statutory rate from 35.0% to 23.3% for the fiscal year ended October 31, 2018. The Act also imposed additional tax law changes that became effective during fiscal 2019, which include new requirements for a global intangible low-taxed income provision (GILTI) and a deduction for foreign-derived intangible income (FDII). We elected to account for the tax on GILTI as a period cost and therefore have not recorded deferred taxes related to GILTI on our foreign subsidiaries.</w:t>
      </w:r>
    </w:p>
    <w:p>
      <w:pPr>
        <w:spacing w:after="0" w:line="12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2019 effective rate was primarily impacted by a net charge of $1.4 million related to GILTI and FDII, as well as discrete charges of $0.6 million for the adjustment of the one-time mandatory transition tax on deemed repatriation of previously tax-deferred and unremitted foreign earnings and $0.3 million related to the vesting or exercise of equity-based compensation awards. Additionally, during the nine months ended July 31, 2019, we recorded a $30.0 million asset impairment charge, which was primarily non-deductible, in the North American Cabinet Components segment, as further explained in Note 3, "Goodwill and Intangible Assets." Discrete items contributing to the income tax benefit for the nine months ended July 31, 2018 included $7.7 million for the re-measurement of our deferred income tax assets and liabilities due to the decrease in the federal corporate income tax rate, a benefit of $0.3 million for the true up of our accruals and related deferred taxes from prior year filings and settled tax audits, and a benefit of $0.1 million related to the vesting or exercise of equity-based compensation awards, partially offset by a tax expense of $1.2 million for the one-time mandatory transition tax on deemed repatriation of previously tax-deferred and unremitted foreign earnings.</w:t>
      </w:r>
    </w:p>
    <w:p>
      <w:pPr>
        <w:spacing w:after="0" w:line="12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table reconciles our effective income tax rate to the federal statutory rate of 21.0% and 23.3% for the nine months ended July 31, 2019 and 2018,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40" w:type="dxa"/>
            <w:vAlign w:val="bottom"/>
          </w:tcPr>
          <w:p>
            <w:pPr>
              <w:spacing w:after="0"/>
              <w:rPr>
                <w:sz w:val="16"/>
                <w:szCs w:val="16"/>
                <w:color w:val="auto"/>
              </w:rPr>
            </w:pPr>
          </w:p>
        </w:tc>
        <w:tc>
          <w:tcPr>
            <w:tcW w:w="3280" w:type="dxa"/>
            <w:vAlign w:val="bottom"/>
            <w:gridSpan w:val="3"/>
          </w:tcPr>
          <w:p>
            <w:pPr>
              <w:jc w:val="right"/>
              <w:ind w:right="691"/>
              <w:spacing w:after="0"/>
              <w:rPr>
                <w:sz w:val="20"/>
                <w:szCs w:val="20"/>
                <w:color w:val="auto"/>
              </w:rPr>
            </w:pPr>
            <w:r>
              <w:rPr>
                <w:rFonts w:ascii="Arial" w:cs="Arial" w:eastAsia="Arial" w:hAnsi="Arial"/>
                <w:sz w:val="14"/>
                <w:szCs w:val="14"/>
                <w:b w:val="1"/>
                <w:bCs w:val="1"/>
                <w:color w:val="auto"/>
              </w:rPr>
              <w:t>Nine months ended July 31,</w:t>
            </w:r>
          </w:p>
        </w:tc>
      </w:tr>
      <w:tr>
        <w:trPr>
          <w:trHeight w:val="276"/>
        </w:trPr>
        <w:tc>
          <w:tcPr>
            <w:tcW w:w="814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r>
      <w:tr>
        <w:trPr>
          <w:trHeight w:val="250"/>
        </w:trPr>
        <w:tc>
          <w:tcPr>
            <w:tcW w:w="8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tax at statutory rate</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23.3 %</w:t>
            </w:r>
          </w:p>
        </w:tc>
      </w:tr>
      <w:tr>
        <w:trPr>
          <w:trHeight w:val="243"/>
        </w:trPr>
        <w:tc>
          <w:tcPr>
            <w:tcW w:w="8140" w:type="dxa"/>
            <w:vAlign w:val="bottom"/>
          </w:tcPr>
          <w:p>
            <w:pPr>
              <w:ind w:left="380"/>
              <w:spacing w:after="0"/>
              <w:rPr>
                <w:sz w:val="20"/>
                <w:szCs w:val="20"/>
                <w:color w:val="auto"/>
              </w:rPr>
            </w:pPr>
            <w:r>
              <w:rPr>
                <w:rFonts w:ascii="Arial" w:cs="Arial" w:eastAsia="Arial" w:hAnsi="Arial"/>
                <w:sz w:val="18"/>
                <w:szCs w:val="18"/>
                <w:color w:val="auto"/>
              </w:rPr>
              <w:t>State and local income tax</w:t>
            </w:r>
          </w:p>
        </w:tc>
        <w:tc>
          <w:tcPr>
            <w:tcW w:w="1480" w:type="dxa"/>
            <w:vAlign w:val="bottom"/>
          </w:tcPr>
          <w:p>
            <w:pPr>
              <w:jc w:val="right"/>
              <w:ind w:right="173"/>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1"/>
                <w:szCs w:val="21"/>
                <w:color w:val="auto"/>
              </w:rPr>
            </w:pPr>
          </w:p>
        </w:tc>
        <w:tc>
          <w:tcPr>
            <w:tcW w:w="1600" w:type="dxa"/>
            <w:vAlign w:val="bottom"/>
          </w:tcPr>
          <w:p>
            <w:pPr>
              <w:jc w:val="right"/>
              <w:ind w:right="151"/>
              <w:spacing w:after="0"/>
              <w:rPr>
                <w:sz w:val="20"/>
                <w:szCs w:val="20"/>
                <w:color w:val="auto"/>
              </w:rPr>
            </w:pPr>
            <w:r>
              <w:rPr>
                <w:rFonts w:ascii="Arial" w:cs="Arial" w:eastAsia="Arial" w:hAnsi="Arial"/>
                <w:sz w:val="18"/>
                <w:szCs w:val="18"/>
                <w:color w:val="auto"/>
              </w:rPr>
              <w:t>2.8</w:t>
            </w:r>
          </w:p>
        </w:tc>
      </w:tr>
      <w:tr>
        <w:trPr>
          <w:trHeight w:val="27"/>
        </w:trPr>
        <w:tc>
          <w:tcPr>
            <w:tcW w:w="8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Non-U.S. income tax</w:t>
            </w:r>
          </w:p>
        </w:tc>
        <w:tc>
          <w:tcPr>
            <w:tcW w:w="14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0.5</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(0.7)</w:t>
            </w:r>
          </w:p>
        </w:tc>
      </w:tr>
      <w:tr>
        <w:trPr>
          <w:trHeight w:val="243"/>
        </w:trPr>
        <w:tc>
          <w:tcPr>
            <w:tcW w:w="8140" w:type="dxa"/>
            <w:vAlign w:val="bottom"/>
          </w:tcPr>
          <w:p>
            <w:pPr>
              <w:ind w:left="380"/>
              <w:spacing w:after="0"/>
              <w:rPr>
                <w:sz w:val="20"/>
                <w:szCs w:val="20"/>
                <w:color w:val="auto"/>
              </w:rPr>
            </w:pPr>
            <w:r>
              <w:rPr>
                <w:rFonts w:ascii="Arial" w:cs="Arial" w:eastAsia="Arial" w:hAnsi="Arial"/>
                <w:sz w:val="18"/>
                <w:szCs w:val="18"/>
                <w:color w:val="auto"/>
              </w:rPr>
              <w:t>Other permanent differences</w:t>
            </w:r>
          </w:p>
        </w:tc>
        <w:tc>
          <w:tcPr>
            <w:tcW w:w="1480" w:type="dxa"/>
            <w:vAlign w:val="bottom"/>
          </w:tcPr>
          <w:p>
            <w:pPr>
              <w:jc w:val="right"/>
              <w:ind w:right="113"/>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21"/>
                <w:szCs w:val="21"/>
                <w:color w:val="auto"/>
              </w:rPr>
            </w:pPr>
          </w:p>
        </w:tc>
        <w:tc>
          <w:tcPr>
            <w:tcW w:w="1600" w:type="dxa"/>
            <w:vAlign w:val="bottom"/>
          </w:tcPr>
          <w:p>
            <w:pPr>
              <w:jc w:val="right"/>
              <w:ind w:right="91"/>
              <w:spacing w:after="0"/>
              <w:rPr>
                <w:sz w:val="20"/>
                <w:szCs w:val="20"/>
                <w:color w:val="auto"/>
              </w:rPr>
            </w:pPr>
            <w:r>
              <w:rPr>
                <w:rFonts w:ascii="Arial" w:cs="Arial" w:eastAsia="Arial" w:hAnsi="Arial"/>
                <w:sz w:val="18"/>
                <w:szCs w:val="18"/>
                <w:color w:val="auto"/>
              </w:rPr>
              <w:t>(1.8)</w:t>
            </w:r>
          </w:p>
        </w:tc>
      </w:tr>
      <w:tr>
        <w:trPr>
          <w:trHeight w:val="27"/>
        </w:trPr>
        <w:tc>
          <w:tcPr>
            <w:tcW w:w="8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rate impact of enactment of tax reform</w:t>
            </w:r>
          </w:p>
        </w:tc>
        <w:tc>
          <w:tcPr>
            <w:tcW w:w="168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(44.9)</w:t>
            </w:r>
          </w:p>
        </w:tc>
      </w:tr>
      <w:tr>
        <w:trPr>
          <w:trHeight w:val="243"/>
        </w:trPr>
        <w:tc>
          <w:tcPr>
            <w:tcW w:w="8140" w:type="dxa"/>
            <w:vAlign w:val="bottom"/>
          </w:tcPr>
          <w:p>
            <w:pPr>
              <w:ind w:left="380"/>
              <w:spacing w:after="0"/>
              <w:rPr>
                <w:sz w:val="20"/>
                <w:szCs w:val="20"/>
                <w:color w:val="auto"/>
              </w:rPr>
            </w:pPr>
            <w:r>
              <w:rPr>
                <w:rFonts w:ascii="Arial" w:cs="Arial" w:eastAsia="Arial" w:hAnsi="Arial"/>
                <w:sz w:val="18"/>
                <w:szCs w:val="18"/>
                <w:color w:val="auto"/>
              </w:rPr>
              <w:t>Foreign tax positions under the Act (GILTI and FDII)</w:t>
            </w:r>
          </w:p>
        </w:tc>
        <w:tc>
          <w:tcPr>
            <w:tcW w:w="1480" w:type="dxa"/>
            <w:vAlign w:val="bottom"/>
          </w:tcPr>
          <w:p>
            <w:pPr>
              <w:jc w:val="right"/>
              <w:ind w:right="173"/>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1"/>
                <w:szCs w:val="21"/>
                <w:color w:val="auto"/>
              </w:rPr>
            </w:pPr>
          </w:p>
        </w:tc>
        <w:tc>
          <w:tcPr>
            <w:tcW w:w="160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8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impact of stock based compensation</w:t>
            </w:r>
          </w:p>
        </w:tc>
        <w:tc>
          <w:tcPr>
            <w:tcW w:w="14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(3.4)</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0.8</w:t>
            </w:r>
          </w:p>
        </w:tc>
      </w:tr>
      <w:tr>
        <w:trPr>
          <w:trHeight w:val="243"/>
        </w:trPr>
        <w:tc>
          <w:tcPr>
            <w:tcW w:w="8140" w:type="dxa"/>
            <w:vAlign w:val="bottom"/>
          </w:tcPr>
          <w:p>
            <w:pPr>
              <w:ind w:left="380"/>
              <w:spacing w:after="0"/>
              <w:rPr>
                <w:sz w:val="20"/>
                <w:szCs w:val="20"/>
                <w:color w:val="auto"/>
              </w:rPr>
            </w:pPr>
            <w:r>
              <w:rPr>
                <w:rFonts w:ascii="Arial" w:cs="Arial" w:eastAsia="Arial" w:hAnsi="Arial"/>
                <w:sz w:val="18"/>
                <w:szCs w:val="18"/>
                <w:color w:val="auto"/>
              </w:rPr>
              <w:t>Impact of deemed repatriation</w:t>
            </w:r>
          </w:p>
        </w:tc>
        <w:tc>
          <w:tcPr>
            <w:tcW w:w="1480" w:type="dxa"/>
            <w:vAlign w:val="bottom"/>
          </w:tcPr>
          <w:p>
            <w:pPr>
              <w:jc w:val="right"/>
              <w:ind w:right="113"/>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21"/>
                <w:szCs w:val="21"/>
                <w:color w:val="auto"/>
              </w:rPr>
            </w:pPr>
          </w:p>
        </w:tc>
        <w:tc>
          <w:tcPr>
            <w:tcW w:w="1600" w:type="dxa"/>
            <w:vAlign w:val="bottom"/>
          </w:tcPr>
          <w:p>
            <w:pPr>
              <w:jc w:val="right"/>
              <w:ind w:right="151"/>
              <w:spacing w:after="0"/>
              <w:rPr>
                <w:sz w:val="20"/>
                <w:szCs w:val="20"/>
                <w:color w:val="auto"/>
              </w:rPr>
            </w:pPr>
            <w:r>
              <w:rPr>
                <w:rFonts w:ascii="Arial" w:cs="Arial" w:eastAsia="Arial" w:hAnsi="Arial"/>
                <w:sz w:val="18"/>
                <w:szCs w:val="18"/>
                <w:color w:val="auto"/>
              </w:rPr>
              <w:t>7.1</w:t>
            </w:r>
          </w:p>
        </w:tc>
      </w:tr>
      <w:tr>
        <w:trPr>
          <w:trHeight w:val="27"/>
        </w:trPr>
        <w:tc>
          <w:tcPr>
            <w:tcW w:w="8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Return to actual adjustments</w:t>
            </w:r>
          </w:p>
        </w:tc>
        <w:tc>
          <w:tcPr>
            <w:tcW w:w="14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w:t>
            </w:r>
          </w:p>
        </w:tc>
      </w:tr>
      <w:tr>
        <w:trPr>
          <w:trHeight w:val="243"/>
        </w:trPr>
        <w:tc>
          <w:tcPr>
            <w:tcW w:w="8140" w:type="dxa"/>
            <w:vAlign w:val="bottom"/>
          </w:tcPr>
          <w:p>
            <w:pPr>
              <w:ind w:left="380"/>
              <w:spacing w:after="0"/>
              <w:rPr>
                <w:sz w:val="20"/>
                <w:szCs w:val="20"/>
                <w:color w:val="auto"/>
              </w:rPr>
            </w:pPr>
            <w:r>
              <w:rPr>
                <w:rFonts w:ascii="Arial" w:cs="Arial" w:eastAsia="Arial" w:hAnsi="Arial"/>
                <w:sz w:val="18"/>
                <w:szCs w:val="18"/>
                <w:color w:val="auto"/>
              </w:rPr>
              <w:t>Asset impairment charges</w:t>
            </w:r>
          </w:p>
        </w:tc>
        <w:tc>
          <w:tcPr>
            <w:tcW w:w="1480" w:type="dxa"/>
            <w:vAlign w:val="bottom"/>
          </w:tcPr>
          <w:p>
            <w:pPr>
              <w:jc w:val="right"/>
              <w:ind w:right="113"/>
              <w:spacing w:after="0"/>
              <w:rPr>
                <w:sz w:val="20"/>
                <w:szCs w:val="20"/>
                <w:color w:val="auto"/>
              </w:rPr>
            </w:pPr>
            <w:r>
              <w:rPr>
                <w:rFonts w:ascii="Arial" w:cs="Arial" w:eastAsia="Arial" w:hAnsi="Arial"/>
                <w:sz w:val="18"/>
                <w:szCs w:val="18"/>
                <w:color w:val="auto"/>
              </w:rPr>
              <w:t>(73.3)</w:t>
            </w:r>
          </w:p>
        </w:tc>
        <w:tc>
          <w:tcPr>
            <w:tcW w:w="200" w:type="dxa"/>
            <w:vAlign w:val="bottom"/>
          </w:tcPr>
          <w:p>
            <w:pPr>
              <w:spacing w:after="0"/>
              <w:rPr>
                <w:sz w:val="21"/>
                <w:szCs w:val="21"/>
                <w:color w:val="auto"/>
              </w:rPr>
            </w:pPr>
          </w:p>
        </w:tc>
        <w:tc>
          <w:tcPr>
            <w:tcW w:w="160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81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81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Effective tax rate</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2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0"/>
        </w:trPr>
        <w:tc>
          <w:tcPr>
            <w:tcW w:w="8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U.S. statutory rate of 23.3% reflects the period November 1, 2017 to December 31, 2017 at the previous 35.0% rate and the period January 1, 2018 to October 31, 2018 at the new 21.0% rate.</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40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of January 31, 2019, the Company completed the accounting for the income tax effects of the Act within the one-year measurement period as allowed by the U.S. Securities and Exchange Commission Staff Accounting Bulletin No. 118. We recorded an immaterial adjustment to our transition tax during the nine months ended July 31, 2019.</w:t>
      </w:r>
    </w:p>
    <w:p>
      <w:pPr>
        <w:spacing w:after="0" w:line="12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light of the Act, we repatriated $13.9 million of excess cash from our foreign operations during the nine months ended July 31, 2019. This repatriation of excess cash was a portion of the one-time mandatory transition tax discussed above. We will continue to evaluate our foreign cash position and may repatriate additional foreign earnings in the future. With the exception of the one-time mandatory transition tax on deemed repatriation of previously tax-deferred and unremitted foreign earnings, we do not anticipate any material tax impact from any potential repatriation of previously unremitted foreign earnings.</w:t>
      </w:r>
    </w:p>
    <w:p>
      <w:pPr>
        <w:spacing w:after="0" w:line="13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of July 31, 2019, our liability for uncertain tax positions (UTP) of $0.6 million relates to certain state tax items regarding the interpretation of tax laws and regulations. Judgment is required in assessing the future tax consequences of events that have been recognized in our financial statements or tax returns. The final outcome of the future tax consequences of legal proceedings, if any, as well as the outcome of competent authority proceedings, changes in regulatory tax laws, or interpretation of those tax laws could impact our financial statements. We are subject to the effect of these matters occurring in various jurisdictions. The disallowance of the UTP would not materially affect the annual effective tax rate. We do not believe any of the UTP at July 31, 2019 will be recognized within the next twelve months.</w:t>
      </w:r>
    </w:p>
    <w:p>
      <w:pPr>
        <w:spacing w:after="0" w:line="13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evaluate the likelihood of realization of our deferred tax assets by considering both positive and negative evidence. We maintain a valuation allowance for certain state net operating losses which totaled $1.3 million at July 31,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and Environmental Compliance Costs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Under applicable state and federal laws, we may be responsible for, among other things, all or part of the costs required to remove or remediate wastes or hazardous substances at locations we, or our predecessors, have owned or operated. From time to time, we also have been alleged to be liable for all or part of the costs incurred to clean up third-party sites where there might have been an alleged improper disposal of hazardous substances. At present, we are not involved in any such matters.</w:t>
      </w:r>
    </w:p>
    <w:p>
      <w:pPr>
        <w:spacing w:after="0" w:line="13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From time to time, we incur routine expenses and capital expenditures associated with compliance with existing environmental regulations, including control of air emissions and water discharges, and plant decommissioning costs. We have not incurred any material expenses or capital expenditures related to environmental matters during the past three fiscal years, and do not expect to incur a material amount of such costs in fiscal 2019. While we will continue to have future expenditures related to environmental matters, any such amounts are impossible to reasonably estimate at this time. Based upon our experience to date, we do not believe that our compliance with environmental requirements will have a material adverse effect on our operations, financial condition or cash flows.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From time to time, we, along with our subsidiaries, are involved in various litigation matters arising in the ordinary course of our business, including those arising from or related to contractual matters, commercial disputes, intellectual property, personal injury, environmental matters, product performance or warranties, product liability, insurance coverage and personnel and employment disputes.</w:t>
      </w:r>
    </w:p>
    <w:p>
      <w:pPr>
        <w:spacing w:after="0" w:line="12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regularly review with legal counsel the status of all ongoing proceedings, and we maintain insurance against these risks to the extent deemed prudent by our management and to the extent such insurance is available. However, there is no assurance that we will prevail in these matters or that our insurers will accept full coverage of these matters, and we could, in the future, incur judgments, enter into settlements of claims, or revise our expectations regarding the outcome or insurability of matters we face, which could materially impact our results of operations.</w:t>
      </w:r>
    </w:p>
    <w:p>
      <w:pPr>
        <w:spacing w:after="0" w:line="11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have been and are currently party to multiple claims, some of which are in litigation, relating to alleged defects in a commercial sealant product that was manufactured and sold during the 2000's. During the nine months ended July 31, 2018, our insurance carrier reimbursed fees and expenses originally incurred as part of our defense of these various commercial sealant claims totaling $0.5 million. There were no corresponding reimbursements received during the nine months ended July 31, 2019. While we believe that our product was not defective and that we would prevail in these commercial sealant product claims if taken to trial, the timing, ultimate resolution and potential impact of these claims is not currently determinable. Nevertheless, after taking into account all currently available information, including our defenses, the advice of our counsel, and the extent and currently-expected availability of our existing insurance coverage, we believe that the eventual outcome of these commercial sealant claims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4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will not have a material adverse effect on our overall financial condition, results of operations or cash flows, and we have not recorded any accrual with regard to these claims.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 Instruments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derivative activities are subject to the management, direction, and control of the Chief Financial Officer and Chief Executive Officer. Certain transactions in excess of specified levels require further approval from the Board of Directors.</w:t>
      </w:r>
    </w:p>
    <w:p>
      <w:pPr>
        <w:spacing w:after="0" w:line="116"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nature of our business activities requires the management of various financial and market risks, including those related to changes in foreign currency exchange rates. We have historically used foreign currency forwards and options to mitigate or eliminate certain of those risks at our subsidiaries. We use foreign currency contracts to offset fluctuations in the value of accounts receivable and accounts payable balances that are denominated in currencies other than the United States Dollar, including the Euro, British Pound and Canadian Dollar. Currently, we do not enter into derivative transactions for speculative or trading purposes. We are exposed to credit loss in the event of nonperformance by the counterparties to our derivative transactions. We attempt to mitigate this risk by monitoring the creditworthiness of our counterparties and limiting our exposure to individual counterparties. In addition, we have established master netting agreements in certain cases to facilitate the settlement of gains and losses on specific derivative contracts.</w:t>
      </w:r>
    </w:p>
    <w:p>
      <w:pPr>
        <w:spacing w:after="0" w:line="11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We have not designated any of our derivative contracts as hedges for accounting purposes in accordance with the provisions under the Accounting Standards Codification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(ASC 815). Therefore, changes in the fair value of these contracts and the realized gains and losses are recorded in the unaudited condensed consolidated statements of income (loss) for the three and nine months ended July 31, 2019 and 2018 as follows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2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6"/>
                <w:szCs w:val="16"/>
                <w:color w:val="auto"/>
              </w:rPr>
            </w:pPr>
          </w:p>
        </w:tc>
        <w:tc>
          <w:tcPr>
            <w:tcW w:w="1920" w:type="dxa"/>
            <w:vAlign w:val="bottom"/>
            <w:gridSpan w:val="4"/>
          </w:tcPr>
          <w:p>
            <w:pPr>
              <w:jc w:val="center"/>
              <w:ind w:right="139"/>
              <w:spacing w:after="0"/>
              <w:rPr>
                <w:sz w:val="20"/>
                <w:szCs w:val="20"/>
                <w:color w:val="auto"/>
              </w:rPr>
            </w:pPr>
            <w:r>
              <w:rPr>
                <w:rFonts w:ascii="Arial" w:cs="Arial" w:eastAsia="Arial" w:hAnsi="Arial"/>
                <w:sz w:val="14"/>
                <w:szCs w:val="14"/>
                <w:b w:val="1"/>
                <w:bCs w:val="1"/>
                <w:color w:val="auto"/>
                <w:w w:val="93"/>
              </w:rPr>
              <w:t>Nine Months Ended</w:t>
            </w:r>
          </w:p>
        </w:tc>
      </w:tr>
      <w:tr>
        <w:trPr>
          <w:trHeight w:val="276"/>
        </w:trPr>
        <w:tc>
          <w:tcPr>
            <w:tcW w:w="23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center"/>
              <w:ind w:left="464"/>
              <w:spacing w:after="0"/>
              <w:rPr>
                <w:sz w:val="20"/>
                <w:szCs w:val="20"/>
                <w:color w:val="auto"/>
              </w:rPr>
            </w:pPr>
            <w:r>
              <w:rPr>
                <w:rFonts w:ascii="Arial" w:cs="Arial" w:eastAsia="Arial" w:hAnsi="Arial"/>
                <w:sz w:val="14"/>
                <w:szCs w:val="14"/>
                <w:b w:val="1"/>
                <w:bCs w:val="1"/>
                <w:color w:val="auto"/>
                <w:w w:val="93"/>
              </w:rPr>
              <w:t>July 31,</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center"/>
              <w:ind w:left="464"/>
              <w:spacing w:after="0"/>
              <w:rPr>
                <w:sz w:val="20"/>
                <w:szCs w:val="20"/>
                <w:color w:val="auto"/>
              </w:rPr>
            </w:pPr>
            <w:r>
              <w:rPr>
                <w:rFonts w:ascii="Arial" w:cs="Arial" w:eastAsia="Arial" w:hAnsi="Arial"/>
                <w:sz w:val="14"/>
                <w:szCs w:val="14"/>
                <w:b w:val="1"/>
                <w:bCs w:val="1"/>
                <w:color w:val="auto"/>
                <w:w w:val="93"/>
              </w:rPr>
              <w:t>July 31,</w:t>
            </w:r>
          </w:p>
        </w:tc>
        <w:tc>
          <w:tcPr>
            <w:tcW w:w="740" w:type="dxa"/>
            <w:vAlign w:val="bottom"/>
            <w:tcBorders>
              <w:bottom w:val="single" w:sz="8" w:color="auto"/>
            </w:tcBorders>
          </w:tcPr>
          <w:p>
            <w:pPr>
              <w:spacing w:after="0"/>
              <w:rPr>
                <w:sz w:val="24"/>
                <w:szCs w:val="24"/>
                <w:color w:val="auto"/>
              </w:rPr>
            </w:pPr>
          </w:p>
        </w:tc>
      </w:tr>
      <w:tr>
        <w:trPr>
          <w:trHeight w:val="264"/>
        </w:trPr>
        <w:tc>
          <w:tcPr>
            <w:tcW w:w="23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Location of gains (losses):</w:t>
            </w:r>
          </w:p>
        </w:tc>
        <w:tc>
          <w:tcPr>
            <w:tcW w:w="46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2018</w:t>
            </w:r>
          </w:p>
        </w:tc>
      </w:tr>
      <w:tr>
        <w:trPr>
          <w:trHeight w:val="243"/>
        </w:trPr>
        <w:tc>
          <w:tcPr>
            <w:tcW w:w="2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46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Foreign currency derivatives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2320" w:type="dxa"/>
            <w:vAlign w:val="bottom"/>
            <w:shd w:val="clear" w:color="auto" w:fill="CCEEFF"/>
          </w:tcPr>
          <w:p>
            <w:pPr>
              <w:spacing w:after="0"/>
              <w:rPr>
                <w:sz w:val="2"/>
                <w:szCs w:val="2"/>
                <w:color w:val="auto"/>
              </w:rPr>
            </w:pPr>
          </w:p>
        </w:tc>
        <w:tc>
          <w:tcPr>
            <w:tcW w:w="46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have chosen not to offset any of our derivative instruments in accordance with the provisions of ASC 815. Therefore, the assets and liabilities are presented on a gross basis on the accompanying condensed consolidated balance sheets. Less than $0.1 million of fair value related to foreign currency derivatives was included in prepaid and other current assets as of July 31, 2019 and October 31, 2018.</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notional amounts and fair value of outstanding derivative contracts at July 31, 2019 and October 31, 2018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86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4"/>
                <w:szCs w:val="14"/>
                <w:b w:val="1"/>
                <w:bCs w:val="1"/>
                <w:color w:val="auto"/>
              </w:rPr>
              <w:t>Notional as indicated</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854"/>
              <w:spacing w:after="0"/>
              <w:rPr>
                <w:sz w:val="20"/>
                <w:szCs w:val="20"/>
                <w:color w:val="auto"/>
              </w:rPr>
            </w:pPr>
            <w:r>
              <w:rPr>
                <w:rFonts w:ascii="Arial" w:cs="Arial" w:eastAsia="Arial" w:hAnsi="Arial"/>
                <w:sz w:val="14"/>
                <w:szCs w:val="14"/>
                <w:b w:val="1"/>
                <w:bCs w:val="1"/>
                <w:color w:val="auto"/>
              </w:rPr>
              <w:t>Fair Value in $</w:t>
            </w:r>
          </w:p>
        </w:tc>
      </w:tr>
      <w:tr>
        <w:trPr>
          <w:trHeight w:val="152"/>
        </w:trPr>
        <w:tc>
          <w:tcPr>
            <w:tcW w:w="35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500" w:type="dxa"/>
            <w:vAlign w:val="bottom"/>
            <w:gridSpan w:val="2"/>
          </w:tcPr>
          <w:p>
            <w:pPr>
              <w:ind w:left="420"/>
              <w:spacing w:after="0" w:line="153" w:lineRule="exact"/>
              <w:rPr>
                <w:sz w:val="20"/>
                <w:szCs w:val="20"/>
                <w:color w:val="auto"/>
              </w:rPr>
            </w:pPr>
            <w:r>
              <w:rPr>
                <w:rFonts w:ascii="Arial" w:cs="Arial" w:eastAsia="Arial" w:hAnsi="Arial"/>
                <w:sz w:val="14"/>
                <w:szCs w:val="14"/>
                <w:b w:val="1"/>
                <w:bCs w:val="1"/>
                <w:color w:val="auto"/>
              </w:rPr>
              <w:t>July 31,</w:t>
            </w:r>
          </w:p>
        </w:tc>
        <w:tc>
          <w:tcPr>
            <w:tcW w:w="158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October 31,</w:t>
            </w:r>
          </w:p>
        </w:tc>
        <w:tc>
          <w:tcPr>
            <w:tcW w:w="280" w:type="dxa"/>
            <w:vAlign w:val="bottom"/>
          </w:tcPr>
          <w:p>
            <w:pPr>
              <w:spacing w:after="0"/>
              <w:rPr>
                <w:sz w:val="13"/>
                <w:szCs w:val="13"/>
                <w:color w:val="auto"/>
              </w:rPr>
            </w:pPr>
          </w:p>
        </w:tc>
        <w:tc>
          <w:tcPr>
            <w:tcW w:w="1400" w:type="dxa"/>
            <w:vAlign w:val="bottom"/>
            <w:gridSpan w:val="3"/>
          </w:tcPr>
          <w:p>
            <w:pPr>
              <w:ind w:left="140"/>
              <w:spacing w:after="0" w:line="153" w:lineRule="exact"/>
              <w:rPr>
                <w:sz w:val="20"/>
                <w:szCs w:val="20"/>
                <w:color w:val="auto"/>
              </w:rPr>
            </w:pPr>
            <w:r>
              <w:rPr>
                <w:rFonts w:ascii="Arial" w:cs="Arial" w:eastAsia="Arial" w:hAnsi="Arial"/>
                <w:sz w:val="14"/>
                <w:szCs w:val="14"/>
                <w:b w:val="1"/>
                <w:bCs w:val="1"/>
                <w:color w:val="auto"/>
              </w:rPr>
              <w:t>July 31,</w:t>
            </w:r>
          </w:p>
        </w:tc>
        <w:tc>
          <w:tcPr>
            <w:tcW w:w="116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October 31,</w:t>
            </w:r>
          </w:p>
        </w:tc>
      </w:tr>
      <w:tr>
        <w:trPr>
          <w:trHeight w:val="192"/>
        </w:trPr>
        <w:tc>
          <w:tcPr>
            <w:tcW w:w="35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3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243"/>
        </w:trPr>
        <w:tc>
          <w:tcPr>
            <w:tcW w:w="3560" w:type="dxa"/>
            <w:vAlign w:val="bottom"/>
          </w:tcPr>
          <w:p>
            <w:pPr>
              <w:jc w:val="center"/>
              <w:ind w:right="1270"/>
              <w:spacing w:after="0"/>
              <w:rPr>
                <w:sz w:val="20"/>
                <w:szCs w:val="20"/>
                <w:color w:val="auto"/>
              </w:rPr>
            </w:pPr>
            <w:r>
              <w:rPr>
                <w:rFonts w:ascii="Arial" w:cs="Arial" w:eastAsia="Arial" w:hAnsi="Arial"/>
                <w:sz w:val="18"/>
                <w:szCs w:val="18"/>
                <w:color w:val="auto"/>
                <w:w w:val="91"/>
              </w:rPr>
              <w:t>Foreign currency derivatives:</w:t>
            </w:r>
          </w:p>
        </w:tc>
        <w:tc>
          <w:tcPr>
            <w:tcW w:w="19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35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jc w:val="center"/>
              <w:ind w:right="1250"/>
              <w:spacing w:after="0"/>
              <w:rPr>
                <w:sz w:val="20"/>
                <w:szCs w:val="20"/>
                <w:color w:val="auto"/>
              </w:rPr>
            </w:pPr>
            <w:r>
              <w:rPr>
                <w:rFonts w:ascii="Arial" w:cs="Arial" w:eastAsia="Arial" w:hAnsi="Arial"/>
                <w:sz w:val="18"/>
                <w:szCs w:val="18"/>
                <w:color w:val="auto"/>
                <w:w w:val="94"/>
              </w:rPr>
              <w:t>Sell EUR, buy USD</w:t>
            </w:r>
          </w:p>
        </w:tc>
        <w:tc>
          <w:tcPr>
            <w:tcW w:w="194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rPr>
              <w:t>EUR</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455</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3"/>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r>
      <w:tr>
        <w:trPr>
          <w:trHeight w:val="243"/>
        </w:trPr>
        <w:tc>
          <w:tcPr>
            <w:tcW w:w="3560" w:type="dxa"/>
            <w:vAlign w:val="bottom"/>
          </w:tcPr>
          <w:p>
            <w:pPr>
              <w:jc w:val="center"/>
              <w:ind w:right="1230"/>
              <w:spacing w:after="0"/>
              <w:rPr>
                <w:sz w:val="20"/>
                <w:szCs w:val="20"/>
                <w:color w:val="auto"/>
              </w:rPr>
            </w:pPr>
            <w:r>
              <w:rPr>
                <w:rFonts w:ascii="Arial" w:cs="Arial" w:eastAsia="Arial" w:hAnsi="Arial"/>
                <w:sz w:val="18"/>
                <w:szCs w:val="18"/>
                <w:color w:val="auto"/>
                <w:w w:val="95"/>
              </w:rPr>
              <w:t>Sell CAD, buy USD</w:t>
            </w:r>
          </w:p>
        </w:tc>
        <w:tc>
          <w:tcPr>
            <w:tcW w:w="1940" w:type="dxa"/>
            <w:vAlign w:val="bottom"/>
          </w:tcPr>
          <w:p>
            <w:pPr>
              <w:ind w:left="1400"/>
              <w:spacing w:after="0"/>
              <w:rPr>
                <w:sz w:val="20"/>
                <w:szCs w:val="20"/>
                <w:color w:val="auto"/>
              </w:rPr>
            </w:pPr>
            <w:r>
              <w:rPr>
                <w:rFonts w:ascii="Arial" w:cs="Arial" w:eastAsia="Arial" w:hAnsi="Arial"/>
                <w:sz w:val="18"/>
                <w:szCs w:val="18"/>
                <w:color w:val="auto"/>
              </w:rPr>
              <w:t>CAD</w:t>
            </w: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378</w:t>
            </w:r>
          </w:p>
        </w:tc>
        <w:tc>
          <w:tcPr>
            <w:tcW w:w="1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229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35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jc w:val="center"/>
              <w:ind w:right="1290"/>
              <w:spacing w:after="0"/>
              <w:rPr>
                <w:sz w:val="20"/>
                <w:szCs w:val="20"/>
                <w:color w:val="auto"/>
              </w:rPr>
            </w:pPr>
            <w:r>
              <w:rPr>
                <w:rFonts w:ascii="Arial" w:cs="Arial" w:eastAsia="Arial" w:hAnsi="Arial"/>
                <w:sz w:val="18"/>
                <w:szCs w:val="18"/>
                <w:color w:val="auto"/>
                <w:w w:val="91"/>
              </w:rPr>
              <w:t>Sell GBP, buy USD</w:t>
            </w:r>
          </w:p>
        </w:tc>
        <w:tc>
          <w:tcPr>
            <w:tcW w:w="194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GBP</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105</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3560" w:type="dxa"/>
            <w:vAlign w:val="bottom"/>
          </w:tcPr>
          <w:p>
            <w:pPr>
              <w:jc w:val="center"/>
              <w:ind w:right="1270"/>
              <w:spacing w:after="0"/>
              <w:rPr>
                <w:sz w:val="20"/>
                <w:szCs w:val="20"/>
                <w:color w:val="auto"/>
              </w:rPr>
            </w:pPr>
            <w:r>
              <w:rPr>
                <w:rFonts w:ascii="Arial" w:cs="Arial" w:eastAsia="Arial" w:hAnsi="Arial"/>
                <w:sz w:val="18"/>
                <w:szCs w:val="18"/>
                <w:color w:val="auto"/>
                <w:w w:val="93"/>
              </w:rPr>
              <w:t>Buy EUR, sell GBP</w:t>
            </w:r>
          </w:p>
        </w:tc>
        <w:tc>
          <w:tcPr>
            <w:tcW w:w="1940" w:type="dxa"/>
            <w:vAlign w:val="bottom"/>
          </w:tcPr>
          <w:p>
            <w:pPr>
              <w:ind w:left="1400"/>
              <w:spacing w:after="0"/>
              <w:rPr>
                <w:sz w:val="20"/>
                <w:szCs w:val="20"/>
                <w:color w:val="auto"/>
              </w:rPr>
            </w:pPr>
            <w:r>
              <w:rPr>
                <w:rFonts w:ascii="Arial" w:cs="Arial" w:eastAsia="Arial" w:hAnsi="Arial"/>
                <w:sz w:val="18"/>
                <w:szCs w:val="18"/>
                <w:color w:val="auto"/>
              </w:rPr>
              <w:t>EUR</w:t>
            </w: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35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jc w:val="center"/>
              <w:ind w:right="1290"/>
              <w:spacing w:after="0"/>
              <w:rPr>
                <w:sz w:val="20"/>
                <w:szCs w:val="20"/>
                <w:color w:val="auto"/>
              </w:rPr>
            </w:pPr>
            <w:r>
              <w:rPr>
                <w:rFonts w:ascii="Arial" w:cs="Arial" w:eastAsia="Arial" w:hAnsi="Arial"/>
                <w:sz w:val="18"/>
                <w:szCs w:val="18"/>
                <w:color w:val="auto"/>
                <w:w w:val="92"/>
              </w:rPr>
              <w:t>Buy GBP, sell EUR</w:t>
            </w:r>
          </w:p>
        </w:tc>
        <w:tc>
          <w:tcPr>
            <w:tcW w:w="194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rPr>
              <w:t>EUR</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3560" w:type="dxa"/>
            <w:vAlign w:val="bottom"/>
          </w:tcPr>
          <w:p>
            <w:pPr>
              <w:jc w:val="center"/>
              <w:ind w:right="1250"/>
              <w:spacing w:after="0"/>
              <w:rPr>
                <w:sz w:val="20"/>
                <w:szCs w:val="20"/>
                <w:color w:val="auto"/>
              </w:rPr>
            </w:pPr>
            <w:r>
              <w:rPr>
                <w:rFonts w:ascii="Arial" w:cs="Arial" w:eastAsia="Arial" w:hAnsi="Arial"/>
                <w:sz w:val="18"/>
                <w:szCs w:val="18"/>
                <w:color w:val="auto"/>
                <w:w w:val="94"/>
              </w:rPr>
              <w:t>Buy USD, sell EUR</w:t>
            </w:r>
          </w:p>
        </w:tc>
        <w:tc>
          <w:tcPr>
            <w:tcW w:w="1940" w:type="dxa"/>
            <w:vAlign w:val="bottom"/>
          </w:tcPr>
          <w:p>
            <w:pPr>
              <w:ind w:left="1400"/>
              <w:spacing w:after="0"/>
              <w:rPr>
                <w:sz w:val="20"/>
                <w:szCs w:val="20"/>
                <w:color w:val="auto"/>
              </w:rPr>
            </w:pPr>
            <w:r>
              <w:rPr>
                <w:rFonts w:ascii="Arial" w:cs="Arial" w:eastAsia="Arial" w:hAnsi="Arial"/>
                <w:sz w:val="18"/>
                <w:szCs w:val="18"/>
                <w:color w:val="auto"/>
              </w:rPr>
              <w:t>USD</w:t>
            </w: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35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the classification in the fair value hierarchy, see Note 10, "Fair Value Measurement of Assets and Liabilities", included herewith.</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 of Assets and Liabilities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data developed based on the best information available in the circumstances (unobservable inputs). The</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40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fair value hierarchy consists of three broad levels, which gives the highest priority to Level 1 and the lowest priority to Level 3. The three levels of the fair value hierarchy are described below:</w:t>
      </w:r>
    </w:p>
    <w:p>
      <w:pPr>
        <w:spacing w:after="0" w:line="62" w:lineRule="exact"/>
        <w:rPr>
          <w:sz w:val="20"/>
          <w:szCs w:val="20"/>
          <w:color w:val="auto"/>
        </w:rPr>
      </w:pPr>
    </w:p>
    <w:p>
      <w:pPr>
        <w:ind w:left="500" w:hanging="168"/>
        <w:spacing w:after="0"/>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1 - Unadjusted quoted prices in active markets that are accessible at the measurement date for identical, unrestricted assets or liabilities.</w:t>
      </w:r>
    </w:p>
    <w:p>
      <w:pPr>
        <w:spacing w:after="0" w:line="128" w:lineRule="exact"/>
        <w:rPr>
          <w:rFonts w:ascii="Arial" w:cs="Arial" w:eastAsia="Arial" w:hAnsi="Arial"/>
          <w:sz w:val="17"/>
          <w:szCs w:val="17"/>
          <w:color w:val="auto"/>
        </w:rPr>
      </w:pPr>
    </w:p>
    <w:p>
      <w:pPr>
        <w:jc w:val="both"/>
        <w:ind w:left="500" w:hanging="168"/>
        <w:spacing w:after="0" w:line="259"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Inputs other than quoted prices included within Level 1 that are observable for the asset or liability either directly or indirectly including quoted prices for similar assets or liabilities in active markets; quoted prices for identical or similar assets or liabilities in markets that are not active; inputs other than quoted prices that are observable for the asset or liability (e.g., interest rates) and inputs that are derived principally from or corroborated by observable market data by correlation or other means.</w:t>
      </w:r>
    </w:p>
    <w:p>
      <w:pPr>
        <w:spacing w:after="0" w:line="78" w:lineRule="exact"/>
        <w:rPr>
          <w:rFonts w:ascii="Arial" w:cs="Arial" w:eastAsia="Arial" w:hAnsi="Arial"/>
          <w:sz w:val="18"/>
          <w:szCs w:val="18"/>
          <w:color w:val="auto"/>
        </w:rPr>
      </w:pP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Inputs that are both significant to the fair value measurement and unobservable.</w:t>
      </w:r>
    </w:p>
    <w:p>
      <w:pPr>
        <w:spacing w:after="0" w:line="11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As of July 31, 2019 and October 31, 2018, foreign currency derivatives were the only instruments being measured on a recurring basis. Less than $0.1 million of foreign currency derivatives were included in total assets as of July 31, 2019 and October 31, 2018. All of our derivative contracts are valued using quoted market prices from brokers or exchanges and are classified within Level 2 of the fair value hierarchy.</w:t>
      </w:r>
    </w:p>
    <w:p>
      <w:pPr>
        <w:spacing w:after="0" w:line="11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Carrying amounts reported on the balance sheet for cash, cash equivalents, accounts receivable and accounts payable approximate fair value due to the short-term maturity of these instruments. Our outstanding debt is variable rate debt that re-prices frequently, thereby limiting our exposure to significant change in interest rate risk. As a result, the fair value of our debt instrument approximates carrying value at July 31, 2019, and October 31, 2018 (Level 3 measurement).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have established and maintain an Omnibus Incentive Plan (2008 Plan) that provides for the granting of restricted stock awards, stock options, restricted stock units, performance share awards, performance restricted stock units, and other stock-based and cash-based awards. The 2008 Plan is administered by the Compensation and Management Development Committee of the Board of Directors.</w:t>
      </w:r>
    </w:p>
    <w:p>
      <w:pPr>
        <w:spacing w:after="0" w:line="12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aggregate number of shares of common stock authorized for grant under the 2008 Plan is 7,650,000 as approved by shareholders. Any officer, key employee and/or non-employee director is eligible for awards under the 2008 Plan. We grant restricted stock units to non-employee directors on the first business day of each fiscal year. As approved by the Compensation &amp; Management Development Committee of our Board of Directors annually, we grant a mix of restricted stock awards, performance shares and/or performance restricted stock units to officers, management and key employees. We also historically granted stock options to certain officers, directors and key employees. Occasionally, we may make additional grants to key employees at other times during the year.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w:t>
      </w:r>
    </w:p>
    <w:p>
      <w:pPr>
        <w:spacing w:after="0" w:line="17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Restricted stock awards are granted to key employees and officers annually, and typically cliff vest over a three year period with service and continued employment as the only vesting criteria. The recipient of the restricted stock award is entitled to all of the rights of a shareholder, except that the award is nontransferable during the vesting period. The fair value of the restricted stock award is established on the grant date and then expensed over the vesting period resulting in an increase in additional paid-in-capital. Shares are generally issued from treasury stock at the time of grant.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non-vested restricted stock awards activity during the nine months ended July 31, 2019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94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Restricted Stock Awards</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tcPr>
          <w:p>
            <w:pPr>
              <w:jc w:val="right"/>
              <w:ind w:right="433"/>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92"/>
        </w:trPr>
        <w:tc>
          <w:tcPr>
            <w:tcW w:w="698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Grant Date Fair Value per Share</w:t>
            </w: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October 31, 2018</w:t>
            </w:r>
          </w:p>
        </w:tc>
        <w:tc>
          <w:tcPr>
            <w:tcW w:w="1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217,200</w:t>
            </w:r>
          </w:p>
        </w:tc>
        <w:tc>
          <w:tcPr>
            <w:tcW w:w="66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Granted</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124,800</w:t>
            </w:r>
          </w:p>
        </w:tc>
        <w:tc>
          <w:tcPr>
            <w:tcW w:w="66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3"/>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Forfeited</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(42,500)</w:t>
            </w:r>
          </w:p>
        </w:tc>
        <w:tc>
          <w:tcPr>
            <w:tcW w:w="66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Vested</w:t>
            </w:r>
          </w:p>
        </w:tc>
        <w:tc>
          <w:tcPr>
            <w:tcW w:w="1940" w:type="dxa"/>
            <w:vAlign w:val="bottom"/>
          </w:tcPr>
          <w:p>
            <w:pPr>
              <w:jc w:val="right"/>
              <w:spacing w:after="0"/>
              <w:rPr>
                <w:sz w:val="20"/>
                <w:szCs w:val="20"/>
                <w:color w:val="auto"/>
              </w:rPr>
            </w:pPr>
            <w:r>
              <w:rPr>
                <w:rFonts w:ascii="Arial" w:cs="Arial" w:eastAsia="Arial" w:hAnsi="Arial"/>
                <w:sz w:val="18"/>
                <w:szCs w:val="18"/>
                <w:color w:val="auto"/>
              </w:rPr>
              <w:t>(69,400)</w:t>
            </w:r>
          </w:p>
        </w:tc>
        <w:tc>
          <w:tcPr>
            <w:tcW w:w="66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3"/>
              <w:spacing w:after="0"/>
              <w:rPr>
                <w:sz w:val="20"/>
                <w:szCs w:val="20"/>
                <w:color w:val="auto"/>
              </w:rPr>
            </w:pPr>
            <w:r>
              <w:rPr>
                <w:rFonts w:ascii="Arial" w:cs="Arial" w:eastAsia="Arial" w:hAnsi="Arial"/>
                <w:sz w:val="18"/>
                <w:szCs w:val="18"/>
                <w:color w:val="auto"/>
              </w:rPr>
              <w:t>19.19</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July 31, 2019</w:t>
            </w:r>
          </w:p>
        </w:tc>
        <w:tc>
          <w:tcPr>
            <w:tcW w:w="1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230,100</w:t>
            </w:r>
          </w:p>
        </w:tc>
        <w:tc>
          <w:tcPr>
            <w:tcW w:w="66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17.02</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total weighted average grant-date fair value of restricted stock awards that vested during each of the nine month periods ended July 31, 2019 and 2018 was $1.3 million and $2.3 million, respectively. As of July 31, 2019, total unrecognized compensation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4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 related to unamortized restricted stock awards was $1.9 million. We expect to recognize this expense over the remaining weighted average vesting period of 1.9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Historically, stock options have been awarded to key employees, officers and non-employee directors. Effective May 2015, the director compensation structure was revised to eliminate the annual grant of stock options to non-employee directors. During December 2017, the Compensation &amp; Management Development Committee of the Board of Directors approved a change to the long-term incentive award program eliminating the grant of stock options and replacing this award with a grant of performance restricted stock units as further described below. As a result, stock options were not granted during the year ended October 31, 2018 or during the nine months ended July 31, 2019. Employee stock options typically vest ratably over a three-year period with service and continued employment as the vesting conditions. Our stock options may be exercised up to a maximum of ten years from the date of grant. The fair value of the stock options is determined on the grant date and expensed over the vesting period resulting in an increase in additional paid-in-capital. For employees who are nearing retirement-eligibility, we recognize stock option expense ratably over the shorter of the vesting period or the period from the grant-date to the retirement-eligibility date.</w:t>
      </w:r>
    </w:p>
    <w:p>
      <w:pPr>
        <w:spacing w:after="0" w:line="14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use a Black-Scholes pricing model to estimate the fair value of stock options. A description of the methodology for the valuation assumptions was disclosed in our Annual Report on Form 10-K for the fiscal year ended October 31, 2018.</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stock option activity for the nine months ended July 31,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Weighted Average</w:t>
            </w: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1160" w:type="dxa"/>
            <w:vAlign w:val="bottom"/>
          </w:tcPr>
          <w:p>
            <w:pPr>
              <w:jc w:val="center"/>
              <w:ind w:right="11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62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Stock Options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Remaining Contractual</w:t>
            </w:r>
          </w:p>
        </w:tc>
        <w:tc>
          <w:tcPr>
            <w:tcW w:w="200" w:type="dxa"/>
            <w:vAlign w:val="bottom"/>
          </w:tcPr>
          <w:p>
            <w:pPr>
              <w:spacing w:after="0"/>
              <w:rPr>
                <w:sz w:val="12"/>
                <w:szCs w:val="12"/>
                <w:color w:val="auto"/>
              </w:rPr>
            </w:pPr>
          </w:p>
        </w:tc>
        <w:tc>
          <w:tcPr>
            <w:tcW w:w="116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Exercise Price</w:t>
            </w:r>
          </w:p>
        </w:tc>
        <w:tc>
          <w:tcPr>
            <w:tcW w:w="2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2"/>
              </w:rPr>
              <w:t>Value (000s)</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October 31, 2018</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1,753,656</w:t>
            </w: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18.47</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38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(170,039)</w:t>
            </w: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15.94</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380"/>
              <w:spacing w:after="0"/>
              <w:rPr>
                <w:sz w:val="20"/>
                <w:szCs w:val="20"/>
                <w:color w:val="auto"/>
              </w:rPr>
            </w:pPr>
            <w:r>
              <w:rPr>
                <w:rFonts w:ascii="Arial" w:cs="Arial" w:eastAsia="Arial" w:hAnsi="Arial"/>
                <w:sz w:val="18"/>
                <w:szCs w:val="18"/>
                <w:color w:val="auto"/>
              </w:rPr>
              <w:t>Forfeited/Expired</w:t>
            </w:r>
          </w:p>
        </w:tc>
        <w:tc>
          <w:tcPr>
            <w:tcW w:w="1620" w:type="dxa"/>
            <w:vAlign w:val="bottom"/>
          </w:tcPr>
          <w:p>
            <w:pPr>
              <w:jc w:val="right"/>
              <w:spacing w:after="0"/>
              <w:rPr>
                <w:sz w:val="20"/>
                <w:szCs w:val="20"/>
                <w:color w:val="auto"/>
              </w:rPr>
            </w:pPr>
            <w:r>
              <w:rPr>
                <w:rFonts w:ascii="Arial" w:cs="Arial" w:eastAsia="Arial" w:hAnsi="Arial"/>
                <w:sz w:val="18"/>
                <w:szCs w:val="18"/>
                <w:color w:val="auto"/>
              </w:rPr>
              <w:t>(23,000)</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19.11</w:t>
            </w: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July 31, 2019</w:t>
            </w:r>
          </w:p>
        </w:tc>
        <w:tc>
          <w:tcPr>
            <w:tcW w:w="1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1,560,617</w:t>
            </w: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18.73</w:t>
            </w:r>
          </w:p>
        </w:tc>
        <w:tc>
          <w:tcPr>
            <w:tcW w:w="2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Vested or expected to vest at July 31, 2019</w:t>
            </w:r>
          </w:p>
        </w:tc>
        <w:tc>
          <w:tcPr>
            <w:tcW w:w="1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1,560,617</w:t>
            </w:r>
          </w:p>
        </w:tc>
        <w:tc>
          <w:tcPr>
            <w:tcW w:w="4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tcPr>
          <w:p>
            <w:pPr>
              <w:jc w:val="right"/>
              <w:ind w:right="34"/>
              <w:spacing w:after="0"/>
              <w:rPr>
                <w:sz w:val="20"/>
                <w:szCs w:val="20"/>
                <w:color w:val="auto"/>
              </w:rPr>
            </w:pPr>
            <w:r>
              <w:rPr>
                <w:rFonts w:ascii="Arial" w:cs="Arial" w:eastAsia="Arial" w:hAnsi="Arial"/>
                <w:sz w:val="18"/>
                <w:szCs w:val="18"/>
                <w:color w:val="auto"/>
              </w:rPr>
              <w:t>18.73</w:t>
            </w:r>
          </w:p>
        </w:tc>
        <w:tc>
          <w:tcPr>
            <w:tcW w:w="20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4.1</w:t>
            </w:r>
          </w:p>
        </w:tc>
        <w:tc>
          <w:tcPr>
            <w:tcW w:w="2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tcPr>
          <w:p>
            <w:pPr>
              <w:jc w:val="right"/>
              <w:ind w:right="19"/>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51"/>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July 31, 2019</w:t>
            </w:r>
          </w:p>
        </w:tc>
        <w:tc>
          <w:tcPr>
            <w:tcW w:w="1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1,479,145</w:t>
            </w: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18.69</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Intrinsic value is the amount by which the market price of the common stock on the date of exercise exceeds the exercise price of the stock option. The total intrinsic value of stock options exercised during the nine months ended July 31, 2019 and 2018 was less than $0.3 million and $2.0 million, respectively. The weighted-average grant date fair value of stock options that vested during the nine months ended July 31, 2019 and 2018 was $1.1 million and $1.5 million, respectively. As of July 31, 2019, substantially all compensation cost related to stock options has been recognized.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7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Restricted stock units may be awarded to key employees and officers from time to time, and annually to non-employee directors. The non-employee director restricted stock units vest immediately but are payable only upon the director's cessation of service unless an election is made by the non-employee director to settle and pay the award on an earlier specified date. Restricted stock units awarded to employees and officers typically cliff vest after a three-year period with service and continued employment as the vesting conditions. Restricted stock units are not considered outstanding shares and do not have voting rights, although the holder does receive a cash payment equivalent to the dividend paid, on a one-for-one basis, on our outstanding common shares. Once the criteria is met, each restricted stock unit is payable to the holder in cash based on the market value of one share of our common stock. Accordingly, we record a liability for the restricted stock units on our balance sheet and recognize any changes in the market value during each reporting period as compensation expense.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400"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During the nine months ended July 31, 2019 and 2018, non-employee directors received 29,065 and 18,050 restricted stock units, respectively, at a grant date fair value of $15.29 per share and $21.85 per share, respectively, which vested immediately. As of July 31, 2019, there were 4,616 non-vested restricted stock units, which were awarded in June 2019 to a key employee at a grant date fair value of $16.70. These restricted stock units will vest in December 2020. During the nine months ended July 31, 2019, we paid approximately $0.4 million to settle previously vested restricted stock units; there were no corresponding payments to settled vested restricted stock units during the comparable prior year period.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Awards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have awarded annual grants of performance shares to key employees and officers. These awards cliff vest after a three-year period. Performance share awards issued prior to fiscal 2019 vest with service and performance measures (relative total shareholder return (R-TSR) and earnings per share (EPS) growth), as vesting conditions. The number of shares earned is variable depending on the metrics achieved, and the settlement method is 50% in cash and 50% in our common stock. Performance share awards issued during fiscal 2019 vest with return on net assets (RONA) as the vesting condition and pay out 100% in cash.</w:t>
      </w:r>
    </w:p>
    <w:p>
      <w:pPr>
        <w:spacing w:after="0" w:line="13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To account for these awards, we have bifurcated the portion subject to a market condition (R-TSR) and the portion subject to an internal performance measure (EPS or RONA). We have further bifurcated these awards based on the settlement method, as the portion expected to settle in stock (equity component) and the portion expected to settle in cash (liability component).</w:t>
      </w:r>
    </w:p>
    <w:p>
      <w:pPr>
        <w:spacing w:after="0" w:line="127"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To value the shares subject to the market condition, we utilized a Monte Carlo simulation model to arrive at a grant-date fair value. This amount will be expensed over the three-year term of the award with a credit to additional paid-in-capital. To value the shares subject to the EPS and RONA performance measures, we used the value of our common stock on the date of grant as the grant-date fair value per share. This amount is being expensed over the three-year term of the award, with a credit to additional paid-in-capital, and could fluctuate depending on the number of shares ultimately expected to vest based on our assessment of the probability that the performance conditions will be achieved. The portion of the awards expected to settle in cash is recorded as a liability and is being marked to market over the three-year term of the award, and can fluctuate depending on the number of shares ultimately expected to vest. Depending on the achievement of the performance conditions, 0% to 200% of the awarded performance shares may ultimately vest.</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our performance share grants and the grant date fair value for the EPS, R-TSR and RONA performance metrics: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w w:val="98"/>
              </w:rPr>
              <w:t>Grant Date Fair Value</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620" w:type="dxa"/>
            <w:vAlign w:val="bottom"/>
            <w:vMerge w:val="restart"/>
          </w:tcPr>
          <w:p>
            <w:pPr>
              <w:ind w:left="2380"/>
              <w:spacing w:after="0"/>
              <w:rPr>
                <w:sz w:val="20"/>
                <w:szCs w:val="20"/>
                <w:color w:val="auto"/>
              </w:rPr>
            </w:pPr>
            <w:r>
              <w:rPr>
                <w:rFonts w:ascii="Arial" w:cs="Arial" w:eastAsia="Arial" w:hAnsi="Arial"/>
                <w:sz w:val="18"/>
                <w:szCs w:val="18"/>
                <w:b w:val="1"/>
                <w:bCs w:val="1"/>
                <w:color w:val="auto"/>
              </w:rPr>
              <w:t>Grant Date</w:t>
            </w:r>
          </w:p>
        </w:tc>
        <w:tc>
          <w:tcPr>
            <w:tcW w:w="120" w:type="dxa"/>
            <w:vAlign w:val="bottom"/>
            <w:vMerge w:val="restart"/>
          </w:tcPr>
          <w:p>
            <w:pPr>
              <w:spacing w:after="0"/>
              <w:rPr>
                <w:sz w:val="12"/>
                <w:szCs w:val="12"/>
                <w:color w:val="auto"/>
              </w:rPr>
            </w:pPr>
          </w:p>
        </w:tc>
        <w:tc>
          <w:tcPr>
            <w:tcW w:w="1140" w:type="dxa"/>
            <w:vAlign w:val="bottom"/>
            <w:gridSpan w:val="2"/>
          </w:tcPr>
          <w:p>
            <w:pPr>
              <w:ind w:left="300"/>
              <w:spacing w:after="0" w:line="139" w:lineRule="exact"/>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2"/>
                <w:szCs w:val="12"/>
                <w:color w:val="auto"/>
              </w:rPr>
            </w:pPr>
          </w:p>
        </w:tc>
        <w:tc>
          <w:tcPr>
            <w:tcW w:w="6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EPS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R-TSR</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RONA</w:t>
            </w:r>
          </w:p>
        </w:tc>
        <w:tc>
          <w:tcPr>
            <w:tcW w:w="100" w:type="dxa"/>
            <w:vAlign w:val="bottom"/>
            <w:vMerge w:val="restart"/>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Shares Forfeited</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Awarded</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November 30, 2016</w:t>
            </w:r>
          </w:p>
        </w:tc>
        <w:tc>
          <w:tcPr>
            <w:tcW w:w="10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186,500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42,230</w:t>
            </w:r>
          </w:p>
        </w:tc>
        <w:tc>
          <w:tcPr>
            <w:tcW w:w="0" w:type="dxa"/>
            <w:vAlign w:val="bottom"/>
          </w:tcPr>
          <w:p>
            <w:pPr>
              <w:spacing w:after="0"/>
              <w:rPr>
                <w:sz w:val="1"/>
                <w:szCs w:val="1"/>
                <w:color w:val="auto"/>
              </w:rPr>
            </w:pPr>
          </w:p>
        </w:tc>
      </w:tr>
      <w:tr>
        <w:trPr>
          <w:trHeight w:val="24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December 7, 2017</w:t>
            </w:r>
          </w:p>
        </w:tc>
        <w:tc>
          <w:tcPr>
            <w:tcW w:w="1040" w:type="dxa"/>
            <w:vAlign w:val="bottom"/>
          </w:tcPr>
          <w:p>
            <w:pPr>
              <w:ind w:left="320"/>
              <w:spacing w:after="0"/>
              <w:rPr>
                <w:sz w:val="20"/>
                <w:szCs w:val="20"/>
                <w:color w:val="auto"/>
              </w:rPr>
            </w:pPr>
            <w:r>
              <w:rPr>
                <w:rFonts w:ascii="Arial" w:cs="Arial" w:eastAsia="Arial" w:hAnsi="Arial"/>
                <w:sz w:val="18"/>
                <w:szCs w:val="18"/>
                <w:color w:val="auto"/>
              </w:rPr>
              <w:t>146,500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20.70</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21.81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33,208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December 5, 2018</w:t>
            </w:r>
          </w:p>
        </w:tc>
        <w:tc>
          <w:tcPr>
            <w:tcW w:w="1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131,500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13.63</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18,100</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On December 3, 2018 and January 25, 2019, a total of 139,164 shares vested pursuant to the December 2015 grant and a total of 4,300 shares vested pursuant to the January 2016 grant, however performance conditions resulted in no share issuances or cash payments for either of these awards. The November 2016 and December 2017 grants include a return on invested capital (ROIC) metric which, if achieved, could enhance the number of shares that are ultimately issued but cannot exceed the maximum (200%). Due to the uncertainty with regard to achieving this metric, no value has been assigned. In the event and at such time as the metric is deemed achievable, compensation expense will begin to be recognized through the remaining vesting period. We recorded compensation expense of $0.5 million for each of the three and nine months ended July 31, 2019, respectively, related to the expected payout of our performance share awards that are outstanding as of July 31, 2019. During the three months ended July 31, 2018, we recorded compensation expense of $0.4 million related to the current portion of outstanding performance share grants which will vest in future years. During the nine months ended July 31, 2018, we recorded a decrease in compensation expense of $1.2 million related to the expected payouts of performance share awards that were outstanding as of July 31, 2018.</w:t>
      </w:r>
    </w:p>
    <w:p>
      <w:pPr>
        <w:spacing w:after="0" w:line="14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Performance share awards are not considered outstanding shares and do not have voting rights, although dividends are accrued over the performance period and will be payable in cash based upon the number of performance shares ultimately earned.</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performance shares are excluded from the diluted weighted-average shares used to calculate earnings per share until the performance criteria is probable to result in the issuance of contingent shares. As of July 31, 2019, we have deemed 68,107 shares related to the November 2016 grants of performance shares as probable to vest.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Restricted Stock Units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awarded performance restricted stock units to key employees and officers beginning in December 2017. These awards cliff vest upon a three-year service period with the absolute total shareholder return of our common stock over this three-year term as the vesting criteria. The number of shares earned is variable depending on the metric achieved, and the settlement method is 100% in our common stock, with accrued dividends paid in cash at the time of vesting, assuming the shares had been outstanding throughout the performance period.</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To value the performance restricted stock units, we utilized a Monte Carlo simulation model to arrive at a grant-date fair value. This amount will be adjusted for forfeitures and expensed over the three-year term of the award with a credit to additional paid-in-capital. Depending on the achievement of the performance conditions, a minimum of 0% and a maximum of 150% of the awarded performance restricted stock units may vest. Specifically, the awards vest on a continuum with the following Absolute Total Shareholder Return (A-TSR) milestones:</w:t>
      </w:r>
    </w:p>
    <w:p>
      <w:pPr>
        <w:spacing w:after="0" w:line="29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520" w:type="dxa"/>
            <w:vAlign w:val="bottom"/>
            <w:gridSpan w:val="2"/>
          </w:tcPr>
          <w:p>
            <w:pPr>
              <w:ind w:left="20"/>
              <w:spacing w:after="0"/>
              <w:rPr>
                <w:sz w:val="20"/>
                <w:szCs w:val="20"/>
                <w:color w:val="auto"/>
              </w:rPr>
            </w:pPr>
            <w:r>
              <w:rPr>
                <w:rFonts w:ascii="Arial" w:cs="Arial" w:eastAsia="Arial" w:hAnsi="Arial"/>
                <w:sz w:val="18"/>
                <w:szCs w:val="18"/>
                <w:b w:val="1"/>
                <w:bCs w:val="1"/>
                <w:color w:val="auto"/>
              </w:rPr>
              <w:t>Vesting Level</w:t>
            </w:r>
          </w:p>
        </w:tc>
        <w:tc>
          <w:tcPr>
            <w:tcW w:w="5340" w:type="dxa"/>
            <w:vAlign w:val="bottom"/>
            <w:gridSpan w:val="2"/>
          </w:tcPr>
          <w:p>
            <w:pPr>
              <w:ind w:left="40"/>
              <w:spacing w:after="0"/>
              <w:rPr>
                <w:sz w:val="20"/>
                <w:szCs w:val="20"/>
                <w:color w:val="auto"/>
              </w:rPr>
            </w:pPr>
            <w:r>
              <w:rPr>
                <w:rFonts w:ascii="Arial" w:cs="Arial" w:eastAsia="Arial" w:hAnsi="Arial"/>
                <w:sz w:val="18"/>
                <w:szCs w:val="18"/>
                <w:b w:val="1"/>
                <w:bCs w:val="1"/>
                <w:color w:val="auto"/>
              </w:rPr>
              <w:t>Vesting Criteria</w:t>
            </w:r>
          </w:p>
        </w:tc>
        <w:tc>
          <w:tcPr>
            <w:tcW w:w="3520" w:type="dxa"/>
            <w:vAlign w:val="bottom"/>
          </w:tcPr>
          <w:p>
            <w:pPr>
              <w:ind w:left="680"/>
              <w:spacing w:after="0"/>
              <w:rPr>
                <w:sz w:val="20"/>
                <w:szCs w:val="20"/>
                <w:color w:val="auto"/>
              </w:rPr>
            </w:pPr>
            <w:r>
              <w:rPr>
                <w:rFonts w:ascii="Arial" w:cs="Arial" w:eastAsia="Arial" w:hAnsi="Arial"/>
                <w:sz w:val="18"/>
                <w:szCs w:val="18"/>
                <w:b w:val="1"/>
                <w:bCs w:val="1"/>
                <w:color w:val="auto"/>
              </w:rPr>
              <w:t>Percentage of Award Vested</w:t>
            </w:r>
          </w:p>
        </w:tc>
      </w:tr>
      <w:tr>
        <w:trPr>
          <w:trHeight w:val="27"/>
        </w:trPr>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44"/>
        </w:trPr>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Level 1</w:t>
            </w:r>
          </w:p>
        </w:tc>
        <w:tc>
          <w:tcPr>
            <w:tcW w:w="5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A-TSR greater than or equal to 50%</w:t>
            </w:r>
          </w:p>
        </w:tc>
        <w:tc>
          <w:tcPr>
            <w:tcW w:w="3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150%</w:t>
            </w:r>
          </w:p>
        </w:tc>
      </w:tr>
      <w:tr>
        <w:trPr>
          <w:trHeight w:val="243"/>
        </w:trPr>
        <w:tc>
          <w:tcPr>
            <w:tcW w:w="2520" w:type="dxa"/>
            <w:vAlign w:val="bottom"/>
            <w:gridSpan w:val="2"/>
          </w:tcPr>
          <w:p>
            <w:pPr>
              <w:ind w:left="20"/>
              <w:spacing w:after="0"/>
              <w:rPr>
                <w:sz w:val="20"/>
                <w:szCs w:val="20"/>
                <w:color w:val="auto"/>
              </w:rPr>
            </w:pPr>
            <w:r>
              <w:rPr>
                <w:rFonts w:ascii="Arial" w:cs="Arial" w:eastAsia="Arial" w:hAnsi="Arial"/>
                <w:sz w:val="18"/>
                <w:szCs w:val="18"/>
                <w:color w:val="auto"/>
              </w:rPr>
              <w:t>Level 2</w:t>
            </w:r>
          </w:p>
        </w:tc>
        <w:tc>
          <w:tcPr>
            <w:tcW w:w="5340" w:type="dxa"/>
            <w:vAlign w:val="bottom"/>
            <w:gridSpan w:val="2"/>
          </w:tcPr>
          <w:p>
            <w:pPr>
              <w:ind w:left="40"/>
              <w:spacing w:after="0"/>
              <w:rPr>
                <w:sz w:val="20"/>
                <w:szCs w:val="20"/>
                <w:color w:val="auto"/>
              </w:rPr>
            </w:pPr>
            <w:r>
              <w:rPr>
                <w:rFonts w:ascii="Arial" w:cs="Arial" w:eastAsia="Arial" w:hAnsi="Arial"/>
                <w:sz w:val="18"/>
                <w:szCs w:val="18"/>
                <w:color w:val="auto"/>
              </w:rPr>
              <w:t>A-TSR less than 50% and greater than or equal to 20%</w:t>
            </w:r>
          </w:p>
        </w:tc>
        <w:tc>
          <w:tcPr>
            <w:tcW w:w="352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Level 3</w:t>
            </w:r>
          </w:p>
        </w:tc>
        <w:tc>
          <w:tcPr>
            <w:tcW w:w="5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A-TSR less than 20% and greater than or equal to -20%</w:t>
            </w:r>
          </w:p>
        </w:tc>
        <w:tc>
          <w:tcPr>
            <w:tcW w:w="3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50%</w:t>
            </w:r>
          </w:p>
        </w:tc>
      </w:tr>
      <w:tr>
        <w:trPr>
          <w:trHeight w:val="243"/>
        </w:trPr>
        <w:tc>
          <w:tcPr>
            <w:tcW w:w="2520" w:type="dxa"/>
            <w:vAlign w:val="bottom"/>
            <w:gridSpan w:val="2"/>
          </w:tcPr>
          <w:p>
            <w:pPr>
              <w:ind w:left="20"/>
              <w:spacing w:after="0"/>
              <w:rPr>
                <w:sz w:val="20"/>
                <w:szCs w:val="20"/>
                <w:color w:val="auto"/>
              </w:rPr>
            </w:pPr>
            <w:r>
              <w:rPr>
                <w:rFonts w:ascii="Arial" w:cs="Arial" w:eastAsia="Arial" w:hAnsi="Arial"/>
                <w:sz w:val="18"/>
                <w:szCs w:val="18"/>
                <w:color w:val="auto"/>
              </w:rPr>
              <w:t>Level 4</w:t>
            </w:r>
          </w:p>
        </w:tc>
        <w:tc>
          <w:tcPr>
            <w:tcW w:w="5340" w:type="dxa"/>
            <w:vAlign w:val="bottom"/>
            <w:gridSpan w:val="2"/>
          </w:tcPr>
          <w:p>
            <w:pPr>
              <w:ind w:left="40"/>
              <w:spacing w:after="0"/>
              <w:rPr>
                <w:sz w:val="20"/>
                <w:szCs w:val="20"/>
                <w:color w:val="auto"/>
              </w:rPr>
            </w:pPr>
            <w:r>
              <w:rPr>
                <w:rFonts w:ascii="Arial" w:cs="Arial" w:eastAsia="Arial" w:hAnsi="Arial"/>
                <w:sz w:val="18"/>
                <w:szCs w:val="18"/>
                <w:color w:val="auto"/>
              </w:rPr>
              <w:t>A-TSR less than -20%</w:t>
            </w:r>
          </w:p>
        </w:tc>
        <w:tc>
          <w:tcPr>
            <w:tcW w:w="3520" w:type="dxa"/>
            <w:vAlign w:val="bottom"/>
          </w:tcPr>
          <w:p>
            <w:pPr>
              <w:jc w:val="center"/>
              <w:spacing w:after="0"/>
              <w:rPr>
                <w:sz w:val="20"/>
                <w:szCs w:val="20"/>
                <w:color w:val="auto"/>
              </w:rPr>
            </w:pPr>
            <w:r>
              <w:rPr>
                <w:rFonts w:ascii="Arial" w:cs="Arial" w:eastAsia="Arial" w:hAnsi="Arial"/>
                <w:sz w:val="18"/>
                <w:szCs w:val="18"/>
                <w:color w:val="auto"/>
                <w:w w:val="93"/>
              </w:rPr>
              <w:t>—%</w:t>
            </w:r>
          </w:p>
        </w:tc>
      </w:tr>
    </w:tbl>
    <w:p>
      <w:pPr>
        <w:spacing w:after="0" w:line="39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our performance restricted stock unit grants and the grant date fair value for the A-TSR performance metric:</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3520"/>
              <w:spacing w:after="0"/>
              <w:rPr>
                <w:sz w:val="20"/>
                <w:szCs w:val="20"/>
                <w:color w:val="auto"/>
              </w:rPr>
            </w:pPr>
            <w:r>
              <w:rPr>
                <w:rFonts w:ascii="Arial" w:cs="Arial" w:eastAsia="Arial" w:hAnsi="Arial"/>
                <w:sz w:val="18"/>
                <w:szCs w:val="18"/>
                <w:b w:val="1"/>
                <w:bCs w:val="1"/>
                <w:color w:val="auto"/>
              </w:rPr>
              <w:t>Grant Date</w:t>
            </w:r>
          </w:p>
        </w:tc>
        <w:tc>
          <w:tcPr>
            <w:tcW w:w="120" w:type="dxa"/>
            <w:vAlign w:val="bottom"/>
            <w:vMerge w:val="restart"/>
          </w:tcPr>
          <w:p>
            <w:pPr>
              <w:spacing w:after="0"/>
              <w:rPr>
                <w:sz w:val="14"/>
                <w:szCs w:val="14"/>
                <w:color w:val="auto"/>
              </w:rPr>
            </w:pPr>
          </w:p>
        </w:tc>
        <w:tc>
          <w:tcPr>
            <w:tcW w:w="114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Grand Date</w:t>
            </w: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Shares Forfeited</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Awarded</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020" w:type="dxa"/>
            <w:vAlign w:val="bottom"/>
            <w:gridSpan w:val="2"/>
          </w:tcPr>
          <w:p>
            <w:pPr>
              <w:ind w:left="40"/>
              <w:spacing w:after="0"/>
              <w:rPr>
                <w:sz w:val="20"/>
                <w:szCs w:val="20"/>
                <w:color w:val="auto"/>
              </w:rPr>
            </w:pPr>
            <w:r>
              <w:rPr>
                <w:rFonts w:ascii="Arial" w:cs="Arial" w:eastAsia="Arial" w:hAnsi="Arial"/>
                <w:sz w:val="18"/>
                <w:szCs w:val="18"/>
                <w:color w:val="auto"/>
              </w:rPr>
              <w:t>December 7, 2017</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78,200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9"/>
              <w:spacing w:after="0"/>
              <w:rPr>
                <w:sz w:val="20"/>
                <w:szCs w:val="20"/>
                <w:color w:val="auto"/>
              </w:rPr>
            </w:pPr>
            <w:r>
              <w:rPr>
                <w:rFonts w:ascii="Arial" w:cs="Arial" w:eastAsia="Arial" w:hAnsi="Arial"/>
                <w:sz w:val="18"/>
                <w:szCs w:val="18"/>
                <w:color w:val="auto"/>
              </w:rPr>
              <w:t>17.76</w:t>
            </w:r>
          </w:p>
        </w:tc>
        <w:tc>
          <w:tcPr>
            <w:tcW w:w="10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17,754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December 5, 2018</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89,200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13.63</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13,800</w:t>
            </w:r>
          </w:p>
        </w:tc>
        <w:tc>
          <w:tcPr>
            <w:tcW w:w="0" w:type="dxa"/>
            <w:vAlign w:val="bottom"/>
          </w:tcPr>
          <w:p>
            <w:pPr>
              <w:spacing w:after="0"/>
              <w:rPr>
                <w:sz w:val="1"/>
                <w:szCs w:val="1"/>
                <w:color w:val="auto"/>
              </w:rPr>
            </w:pPr>
          </w:p>
        </w:tc>
      </w:tr>
      <w:tr>
        <w:trPr>
          <w:trHeight w:val="27"/>
        </w:trPr>
        <w:tc>
          <w:tcPr>
            <w:tcW w:w="7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During the three and nine months ended July 31, 2019, we recorded compensation expense of approximately $0.2 million and $0.6 million, respectively, and $0.1 million and $0.2 million, respectively, for the comparable prior year periods related to our performance share restricted units.</w:t>
      </w:r>
    </w:p>
    <w:p>
      <w:pPr>
        <w:spacing w:after="0" w:line="9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Similar to performance shares, the performance restricted stock units are not considered outstanding shares, do not have voting rights, and are excluded from diluted weighted-average shares used to calculate earnings per share until the performance criteria is probable to result in the issuance of contingent shares.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Shares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record treasury stock purchases under the cost method whereby the entire cost of the acquired stock is recorded as treasury stock. Shares are generally issued from treasury stock at the time of grant of restricted stock awards, upon the exercise of stock options, and upon the vesting of performance shares and performance restricted stock units. On the subsequent issuance of treasury shares, we record proceeds in excess of cost as an increase in additional paid in capital. A deficiency of such proceeds relative to costs would be applied to reduce paid-in-capital associated with prior issuances to the extent available, with the remainder recorded as a charge to retained earnings. We recorded a charge to retained earnings of $0.8 million during the nine months ended July 31, 2019.</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treasury stock activity during the nine months ended July 31,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2160" w:type="dxa"/>
            <w:vAlign w:val="bottom"/>
          </w:tcPr>
          <w:p>
            <w:pPr>
              <w:jc w:val="right"/>
              <w:ind w:right="38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9"/>
        </w:trPr>
        <w:tc>
          <w:tcPr>
            <w:tcW w:w="4400" w:type="dxa"/>
            <w:vAlign w:val="bottom"/>
            <w:tcBorders>
              <w:bottom w:val="single" w:sz="8" w:color="CCEEFF"/>
            </w:tcBorders>
          </w:tcPr>
          <w:p>
            <w:pPr>
              <w:spacing w:after="0"/>
              <w:rPr>
                <w:sz w:val="18"/>
                <w:szCs w:val="18"/>
                <w:color w:val="auto"/>
              </w:rPr>
            </w:pPr>
          </w:p>
        </w:tc>
        <w:tc>
          <w:tcPr>
            <w:tcW w:w="4860" w:type="dxa"/>
            <w:vAlign w:val="bottom"/>
            <w:tcBorders>
              <w:bottom w:val="single" w:sz="8" w:color="CCEEFF"/>
            </w:tcBorders>
          </w:tcPr>
          <w:p>
            <w:pPr>
              <w:spacing w:after="0"/>
              <w:rPr>
                <w:sz w:val="18"/>
                <w:szCs w:val="18"/>
                <w:color w:val="auto"/>
              </w:rPr>
            </w:pPr>
          </w:p>
        </w:tc>
        <w:tc>
          <w:tcPr>
            <w:tcW w:w="21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July 31, 2019</w:t>
            </w:r>
          </w:p>
        </w:tc>
        <w:tc>
          <w:tcPr>
            <w:tcW w:w="0" w:type="dxa"/>
            <w:vAlign w:val="bottom"/>
          </w:tcPr>
          <w:p>
            <w:pPr>
              <w:spacing w:after="0"/>
              <w:rPr>
                <w:sz w:val="1"/>
                <w:szCs w:val="1"/>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as of November 1, 2018</w:t>
            </w:r>
          </w:p>
        </w:tc>
        <w:tc>
          <w:tcPr>
            <w:tcW w:w="70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4,094,785</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Restricted stock awards granted</w:t>
            </w:r>
          </w:p>
        </w:tc>
        <w:tc>
          <w:tcPr>
            <w:tcW w:w="7020" w:type="dxa"/>
            <w:vAlign w:val="bottom"/>
            <w:gridSpan w:val="2"/>
          </w:tcPr>
          <w:p>
            <w:pPr>
              <w:jc w:val="right"/>
              <w:spacing w:after="0"/>
              <w:rPr>
                <w:sz w:val="20"/>
                <w:szCs w:val="20"/>
                <w:color w:val="auto"/>
              </w:rPr>
            </w:pPr>
            <w:r>
              <w:rPr>
                <w:rFonts w:ascii="Arial" w:cs="Arial" w:eastAsia="Arial" w:hAnsi="Arial"/>
                <w:sz w:val="18"/>
                <w:szCs w:val="18"/>
                <w:color w:val="auto"/>
              </w:rPr>
              <w:t>(124,800)</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 exercised</w:t>
            </w:r>
          </w:p>
        </w:tc>
        <w:tc>
          <w:tcPr>
            <w:tcW w:w="7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(170,039)</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Treasury stock repurchases</w:t>
            </w:r>
          </w:p>
        </w:tc>
        <w:tc>
          <w:tcPr>
            <w:tcW w:w="7020" w:type="dxa"/>
            <w:vAlign w:val="bottom"/>
            <w:gridSpan w:val="2"/>
          </w:tcPr>
          <w:p>
            <w:pPr>
              <w:jc w:val="right"/>
              <w:ind w:right="28"/>
              <w:spacing w:after="0"/>
              <w:rPr>
                <w:sz w:val="20"/>
                <w:szCs w:val="20"/>
                <w:color w:val="auto"/>
              </w:rPr>
            </w:pPr>
            <w:r>
              <w:rPr>
                <w:rFonts w:ascii="Arial" w:cs="Arial" w:eastAsia="Arial" w:hAnsi="Arial"/>
                <w:sz w:val="18"/>
                <w:szCs w:val="18"/>
                <w:color w:val="auto"/>
              </w:rPr>
              <w:t>408,398</w:t>
            </w: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April 30, 2019</w:t>
            </w:r>
          </w:p>
        </w:tc>
        <w:tc>
          <w:tcPr>
            <w:tcW w:w="70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4,208,344</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bottom w:val="single" w:sz="8" w:color="CCEEFF"/>
            </w:tcBorders>
            <w:vMerge w:val="restart"/>
          </w:tcPr>
          <w:p>
            <w:pPr>
              <w:jc w:val="right"/>
              <w:ind w:right="3370"/>
              <w:spacing w:after="0"/>
              <w:rPr>
                <w:sz w:val="20"/>
                <w:szCs w:val="20"/>
                <w:color w:val="auto"/>
              </w:rPr>
            </w:pPr>
            <w:r>
              <w:rPr>
                <w:rFonts w:ascii="Arial" w:cs="Arial" w:eastAsia="Arial" w:hAnsi="Arial"/>
                <w:sz w:val="18"/>
                <w:szCs w:val="18"/>
                <w:color w:val="auto"/>
              </w:rPr>
              <w:t>20</w:t>
            </w:r>
          </w:p>
        </w:tc>
        <w:tc>
          <w:tcPr>
            <w:tcW w:w="2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40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Other Income</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income, included under the caption "Other, net" on the accompanying condensed consolidated statements of income (loss), consisted of the following for the three and nine months ended July 31, 2019 and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80" w:type="dxa"/>
            <w:vAlign w:val="bottom"/>
          </w:tcPr>
          <w:p>
            <w:pPr>
              <w:spacing w:after="0"/>
              <w:rPr>
                <w:sz w:val="16"/>
                <w:szCs w:val="16"/>
                <w:color w:val="auto"/>
              </w:rPr>
            </w:pPr>
          </w:p>
        </w:tc>
      </w:tr>
      <w:tr>
        <w:trPr>
          <w:trHeight w:val="276"/>
        </w:trPr>
        <w:tc>
          <w:tcPr>
            <w:tcW w:w="47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4"/>
                <w:szCs w:val="14"/>
                <w:b w:val="1"/>
                <w:bCs w:val="1"/>
                <w:color w:val="auto"/>
              </w:rPr>
              <w:t>July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July 31,</w:t>
            </w:r>
          </w:p>
        </w:tc>
        <w:tc>
          <w:tcPr>
            <w:tcW w:w="980" w:type="dxa"/>
            <w:vAlign w:val="bottom"/>
            <w:tcBorders>
              <w:bottom w:val="single" w:sz="8" w:color="auto"/>
            </w:tcBorders>
          </w:tcPr>
          <w:p>
            <w:pPr>
              <w:spacing w:after="0"/>
              <w:rPr>
                <w:sz w:val="24"/>
                <w:szCs w:val="24"/>
                <w:color w:val="auto"/>
              </w:rPr>
            </w:pPr>
          </w:p>
        </w:tc>
      </w:tr>
      <w:tr>
        <w:trPr>
          <w:trHeight w:val="264"/>
        </w:trPr>
        <w:tc>
          <w:tcPr>
            <w:tcW w:w="470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w w:val="96"/>
              </w:rPr>
              <w:t>2018</w:t>
            </w:r>
          </w:p>
        </w:tc>
      </w:tr>
      <w:tr>
        <w:trPr>
          <w:trHeight w:val="196"/>
        </w:trPr>
        <w:tc>
          <w:tcPr>
            <w:tcW w:w="4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transaction gains (losses)</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Foreign currency derivative gains (losses)</w:t>
            </w:r>
          </w:p>
        </w:tc>
        <w:tc>
          <w:tcPr>
            <w:tcW w:w="980" w:type="dxa"/>
            <w:vAlign w:val="bottom"/>
          </w:tcPr>
          <w:p>
            <w:pPr>
              <w:spacing w:after="0"/>
              <w:rPr>
                <w:sz w:val="21"/>
                <w:szCs w:val="21"/>
                <w:color w:val="auto"/>
              </w:rPr>
            </w:pPr>
          </w:p>
        </w:tc>
        <w:tc>
          <w:tcPr>
            <w:tcW w:w="640" w:type="dxa"/>
            <w:vAlign w:val="bottom"/>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service benefit</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980" w:type="dxa"/>
            <w:vAlign w:val="bottom"/>
          </w:tcPr>
          <w:p>
            <w:pPr>
              <w:spacing w:after="0"/>
              <w:rPr>
                <w:sz w:val="21"/>
                <w:szCs w:val="21"/>
                <w:color w:val="auto"/>
              </w:rPr>
            </w:pPr>
          </w:p>
        </w:tc>
        <w:tc>
          <w:tcPr>
            <w:tcW w:w="640" w:type="dxa"/>
            <w:vAlign w:val="bottom"/>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54</w:t>
            </w:r>
          </w:p>
        </w:tc>
      </w:tr>
      <w:tr>
        <w:trPr>
          <w:trHeight w:val="27"/>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r>
      <w:tr>
        <w:trPr>
          <w:trHeight w:val="257"/>
        </w:trPr>
        <w:tc>
          <w:tcPr>
            <w:tcW w:w="470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98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884</w:t>
            </w:r>
          </w:p>
        </w:tc>
      </w:tr>
      <w:tr>
        <w:trPr>
          <w:trHeight w:val="20"/>
        </w:trPr>
        <w:tc>
          <w:tcPr>
            <w:tcW w:w="4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income for the three and nine months ended July 31, 2018 has been updated to reflect the adoption of Accounting Standards Update 2017-07. For further information, see Note 15, "New Accounting Guidance".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175"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 xml:space="preserve">We present three reportable business segments in accordance with ASC Topic 280-10-50,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(ASC 280): (1) North American Fenestration segment (NA Fenestration), comprising three operating segments primarily focused on the fenestration market in North America including vinyl profiles, insulating glass spacers, screens &amp; other fenestration components; (2) European Fenestration segment (EU Fenestration), comprising our U.K.-based vinyl extrusion business, manufacturing vinyl profiles &amp; conservatories, and the European insulating glass business manufacturing insulating glass spacers; and (3) North American Cabinet Components segment (NA Cabinet Components), comprising our cabinet door and components operations. We maintain an Unallocated Corporate &amp; Other grouping which includes corporate office charges, and inter-segment eliminations, less an allocation of a portion of the general and administrative costs associated with the corporate office which have been allocated to the reportable business segments, based upon a relative measure of profitability, in order to more accurately reflect each reportable business segment's administrative cost. Certain costs are not allocated to the reportable operating segments, but remain in Unallocated Corporate &amp; Other, including transaction expenses, stock-based compensation, long-term incentive awards based on the performance of our common stock and other factors, certain severance and legal costs not deemed to be allocable to all segments, depreciation of corporate assets, interest expense, other, net, income taxes and inter-segment eliminations, and beginning in the fourth quarter of 2018, executive incentive compensation and medical expense fluctuations relative to planned costs as determined during the annual planning process. The change in allocation was incorporated during the fourth quarter of 2018, which resulted in a reduction in corporate general and administrative expense of $1.2 million and $2.1 million for the three and nine months ended July 31, 2018, respectively, which is reflected in the tables below. The accounting policies of our operating segments are the same as those used to prepare the accompanying condensed consolidated financial statements. Corporate general and administrative expense allocated during the three and nine month periods ended July 31, 2019 was $4.8 million and $14.6 million, respectively, and $4.1 million and $13.2 million, respectively, for the prior year comparable periods.</w:t>
      </w:r>
    </w:p>
    <w:p>
      <w:pPr>
        <w:spacing w:after="0" w:line="1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ASC 280 permits aggregation of operating segments based on factors including, but not limited to: (1) similar nature of products serving the building products industry, primarily the fenestration business; (2) similar production processes, although there are some differences in the amount of automation amongst operating plants; (3) similar types or classes of customers, namely the primary OEMs; (4) similar distribution methods for product delivery, although the extent of the use of third-party distributors will vary amongst the businesses; (5) similar regulatory environment; and (6) converging long-term economic similarities.</w:t>
      </w:r>
    </w:p>
    <w:p>
      <w:pPr>
        <w:spacing w:after="0" w:line="310" w:lineRule="exact"/>
        <w:rPr>
          <w:sz w:val="20"/>
          <w:szCs w:val="20"/>
          <w:color w:val="auto"/>
        </w:rPr>
      </w:pPr>
    </w:p>
    <w:p>
      <w:pPr>
        <w:ind w:right="660" w:firstLine="405"/>
        <w:spacing w:after="0" w:line="277" w:lineRule="auto"/>
        <w:rPr>
          <w:sz w:val="20"/>
          <w:szCs w:val="20"/>
          <w:color w:val="auto"/>
        </w:rPr>
      </w:pPr>
      <w:r>
        <w:rPr>
          <w:rFonts w:ascii="Arial" w:cs="Arial" w:eastAsia="Arial" w:hAnsi="Arial"/>
          <w:sz w:val="18"/>
          <w:szCs w:val="18"/>
          <w:color w:val="auto"/>
        </w:rPr>
        <w:t>Segment information for the three and nine months ended July 31, 2019 and 2018, and total assets as of July 31, 2019 and October 31, 2018 are summarized in the following table (in thousands):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 Fenestration</w:t>
            </w:r>
            <w:r>
              <w:rPr>
                <w:rFonts w:ascii="Arial" w:cs="Arial" w:eastAsia="Arial" w:hAnsi="Arial"/>
                <w:sz w:val="8"/>
                <w:szCs w:val="8"/>
                <w:b w:val="1"/>
                <w:bCs w:val="1"/>
                <w:color w:val="auto"/>
              </w:rPr>
              <w:t>(1)</w:t>
            </w:r>
          </w:p>
        </w:tc>
        <w:tc>
          <w:tcPr>
            <w:tcW w:w="120" w:type="dxa"/>
            <w:vAlign w:val="bottom"/>
          </w:tcPr>
          <w:p>
            <w:pPr>
              <w:spacing w:after="0"/>
              <w:rPr>
                <w:sz w:val="14"/>
                <w:szCs w:val="14"/>
                <w:color w:val="auto"/>
              </w:rPr>
            </w:pPr>
          </w:p>
        </w:tc>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EU Fenestration</w:t>
            </w:r>
            <w:r>
              <w:rPr>
                <w:rFonts w:ascii="Arial" w:cs="Arial" w:eastAsia="Arial" w:hAnsi="Arial"/>
                <w:sz w:val="8"/>
                <w:szCs w:val="8"/>
                <w:b w:val="1"/>
                <w:bCs w:val="1"/>
                <w:color w:val="auto"/>
              </w:rPr>
              <w:t>(1)</w:t>
            </w: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NA Cabinet Comp.</w:t>
            </w: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Unallocated Corp.</w:t>
            </w:r>
          </w:p>
        </w:tc>
        <w:tc>
          <w:tcPr>
            <w:tcW w:w="300" w:type="dxa"/>
            <w:vAlign w:val="bottom"/>
          </w:tcPr>
          <w:p>
            <w:pPr>
              <w:spacing w:after="0"/>
              <w:rPr>
                <w:sz w:val="14"/>
                <w:szCs w:val="14"/>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&amp; Other</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60" w:type="dxa"/>
            <w:vAlign w:val="bottom"/>
            <w:gridSpan w:val="6"/>
          </w:tcPr>
          <w:p>
            <w:pPr>
              <w:ind w:left="40"/>
              <w:spacing w:after="0"/>
              <w:rPr>
                <w:sz w:val="20"/>
                <w:szCs w:val="20"/>
                <w:color w:val="auto"/>
              </w:rPr>
            </w:pPr>
            <w:r>
              <w:rPr>
                <w:rFonts w:ascii="Arial" w:cs="Arial" w:eastAsia="Arial" w:hAnsi="Arial"/>
                <w:sz w:val="16"/>
                <w:szCs w:val="16"/>
                <w:b w:val="1"/>
                <w:bCs w:val="1"/>
                <w:color w:val="auto"/>
              </w:rPr>
              <w:t>Three Months Ended July 31, 2019</w:t>
            </w: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136,259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58,689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238,461</w:t>
            </w:r>
          </w:p>
        </w:tc>
        <w:tc>
          <w:tcPr>
            <w:tcW w:w="0" w:type="dxa"/>
            <w:vAlign w:val="bottom"/>
          </w:tcPr>
          <w:p>
            <w:pPr>
              <w:spacing w:after="0"/>
              <w:rPr>
                <w:sz w:val="1"/>
                <w:szCs w:val="1"/>
                <w:color w:val="auto"/>
              </w:rPr>
            </w:pPr>
          </w:p>
        </w:tc>
      </w:tr>
      <w:tr>
        <w:trPr>
          <w:trHeight w:val="243"/>
        </w:trPr>
        <w:tc>
          <w:tcPr>
            <w:tcW w:w="4460" w:type="dxa"/>
            <w:vAlign w:val="bottom"/>
            <w:gridSpan w:val="6"/>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6,578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2,213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3,258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12,182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19,110</w:t>
            </w:r>
          </w:p>
        </w:tc>
        <w:tc>
          <w:tcPr>
            <w:tcW w:w="0" w:type="dxa"/>
            <w:vAlign w:val="bottom"/>
          </w:tcPr>
          <w:p>
            <w:pPr>
              <w:spacing w:after="0"/>
              <w:rPr>
                <w:sz w:val="1"/>
                <w:szCs w:val="1"/>
                <w:color w:val="auto"/>
              </w:rPr>
            </w:pPr>
          </w:p>
        </w:tc>
      </w:tr>
      <w:tr>
        <w:trPr>
          <w:trHeight w:val="243"/>
        </w:trPr>
        <w:tc>
          <w:tcPr>
            <w:tcW w:w="4460" w:type="dxa"/>
            <w:vAlign w:val="bottom"/>
            <w:gridSpan w:val="6"/>
          </w:tcPr>
          <w:p>
            <w:pPr>
              <w:ind w:left="40"/>
              <w:spacing w:after="0"/>
              <w:rPr>
                <w:sz w:val="20"/>
                <w:szCs w:val="20"/>
                <w:color w:val="auto"/>
              </w:rPr>
            </w:pPr>
            <w:r>
              <w:rPr>
                <w:rFonts w:ascii="Arial" w:cs="Arial" w:eastAsia="Arial" w:hAnsi="Arial"/>
                <w:sz w:val="18"/>
                <w:szCs w:val="18"/>
                <w:color w:val="auto"/>
              </w:rPr>
              <w:t>Capital expenditures</w:t>
            </w:r>
          </w:p>
        </w:tc>
        <w:tc>
          <w:tcPr>
            <w:tcW w:w="1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2,299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3,962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gridSpan w:val="6"/>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July 31, 2018</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7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460" w:type="dxa"/>
            <w:vAlign w:val="bottom"/>
            <w:gridSpan w:val="6"/>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133,397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42,661</w:t>
            </w:r>
          </w:p>
        </w:tc>
        <w:tc>
          <w:tcPr>
            <w:tcW w:w="12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65,114</w:t>
            </w:r>
          </w:p>
        </w:tc>
        <w:tc>
          <w:tcPr>
            <w:tcW w:w="100" w:type="dxa"/>
            <w:vAlign w:val="bottom"/>
          </w:tcPr>
          <w:p>
            <w:pPr>
              <w:spacing w:after="0"/>
              <w:rPr>
                <w:sz w:val="21"/>
                <w:szCs w:val="21"/>
                <w:color w:val="auto"/>
              </w:rPr>
            </w:pPr>
          </w:p>
        </w:tc>
        <w:tc>
          <w:tcPr>
            <w:tcW w:w="240" w:type="dxa"/>
            <w:vAlign w:val="bottom"/>
          </w:tcPr>
          <w:p>
            <w:pPr>
              <w:jc w:val="right"/>
              <w:ind w:right="33"/>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(1,351)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239,821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12,691</w:t>
            </w:r>
          </w:p>
        </w:tc>
        <w:tc>
          <w:tcPr>
            <w:tcW w:w="0" w:type="dxa"/>
            <w:vAlign w:val="bottom"/>
          </w:tcPr>
          <w:p>
            <w:pPr>
              <w:spacing w:after="0"/>
              <w:rPr>
                <w:sz w:val="1"/>
                <w:szCs w:val="1"/>
                <w:color w:val="auto"/>
              </w:rPr>
            </w:pPr>
          </w:p>
        </w:tc>
      </w:tr>
      <w:tr>
        <w:trPr>
          <w:trHeight w:val="270"/>
        </w:trPr>
        <w:tc>
          <w:tcPr>
            <w:tcW w:w="4460" w:type="dxa"/>
            <w:vAlign w:val="bottom"/>
            <w:gridSpan w:val="6"/>
          </w:tcPr>
          <w:p>
            <w:pPr>
              <w:ind w:left="40"/>
              <w:spacing w:after="0"/>
              <w:rPr>
                <w:sz w:val="20"/>
                <w:szCs w:val="20"/>
                <w:color w:val="auto"/>
              </w:rPr>
            </w:pPr>
            <w:r>
              <w:rPr>
                <w:rFonts w:ascii="Arial" w:cs="Arial" w:eastAsia="Arial" w:hAnsi="Arial"/>
                <w:sz w:val="18"/>
                <w:szCs w:val="18"/>
                <w:color w:val="auto"/>
              </w:rPr>
              <w:t xml:space="preserve">Operating income (loss) </w:t>
            </w:r>
            <w:r>
              <w:rPr>
                <w:rFonts w:ascii="Arial" w:cs="Arial" w:eastAsia="Arial" w:hAnsi="Arial"/>
                <w:sz w:val="21"/>
                <w:szCs w:val="21"/>
                <w:b w:val="1"/>
                <w:bCs w:val="1"/>
                <w:color w:val="auto"/>
                <w:vertAlign w:val="superscript"/>
              </w:rPr>
              <w:t>(2)</w:t>
            </w:r>
          </w:p>
        </w:tc>
        <w:tc>
          <w:tcPr>
            <w:tcW w:w="140" w:type="dxa"/>
            <w:vAlign w:val="bottom"/>
          </w:tcPr>
          <w:p>
            <w:pPr>
              <w:spacing w:after="0"/>
              <w:rPr>
                <w:sz w:val="23"/>
                <w:szCs w:val="23"/>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12,712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4,177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3,623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(3,682)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16,830</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5,885</w:t>
            </w:r>
          </w:p>
        </w:tc>
        <w:tc>
          <w:tcPr>
            <w:tcW w:w="0" w:type="dxa"/>
            <w:vAlign w:val="bottom"/>
          </w:tcPr>
          <w:p>
            <w:pPr>
              <w:spacing w:after="0"/>
              <w:rPr>
                <w:sz w:val="1"/>
                <w:szCs w:val="1"/>
                <w:color w:val="auto"/>
              </w:rPr>
            </w:pPr>
          </w:p>
        </w:tc>
      </w:tr>
      <w:tr>
        <w:trPr>
          <w:trHeight w:val="203"/>
        </w:trPr>
        <w:tc>
          <w:tcPr>
            <w:tcW w:w="4460" w:type="dxa"/>
            <w:vAlign w:val="bottom"/>
            <w:gridSpan w:val="6"/>
          </w:tcPr>
          <w:p>
            <w:pPr>
              <w:ind w:left="40"/>
              <w:spacing w:after="0"/>
              <w:rPr>
                <w:sz w:val="20"/>
                <w:szCs w:val="20"/>
                <w:color w:val="auto"/>
              </w:rPr>
            </w:pPr>
            <w:r>
              <w:rPr>
                <w:rFonts w:ascii="Arial" w:cs="Arial" w:eastAsia="Arial" w:hAnsi="Arial"/>
                <w:sz w:val="16"/>
                <w:szCs w:val="16"/>
                <w:b w:val="1"/>
                <w:bCs w:val="1"/>
                <w:color w:val="auto"/>
              </w:rPr>
              <w:t>Nine Months Ended July 31, 2019</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360,654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121,203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175,377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653,472</w:t>
            </w:r>
          </w:p>
        </w:tc>
        <w:tc>
          <w:tcPr>
            <w:tcW w:w="0" w:type="dxa"/>
            <w:vAlign w:val="bottom"/>
          </w:tcPr>
          <w:p>
            <w:pPr>
              <w:spacing w:after="0"/>
              <w:rPr>
                <w:sz w:val="1"/>
                <w:szCs w:val="1"/>
                <w:color w:val="auto"/>
              </w:rPr>
            </w:pPr>
          </w:p>
        </w:tc>
      </w:tr>
      <w:tr>
        <w:trPr>
          <w:trHeight w:val="243"/>
        </w:trPr>
        <w:tc>
          <w:tcPr>
            <w:tcW w:w="4460" w:type="dxa"/>
            <w:vAlign w:val="bottom"/>
            <w:gridSpan w:val="6"/>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20,208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6,669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9,902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37,158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24,048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0" w:type="dxa"/>
            <w:vAlign w:val="bottom"/>
          </w:tcPr>
          <w:p>
            <w:pPr>
              <w:spacing w:after="0"/>
              <w:rPr>
                <w:sz w:val="1"/>
                <w:szCs w:val="1"/>
                <w:color w:val="auto"/>
              </w:rPr>
            </w:pPr>
          </w:p>
        </w:tc>
      </w:tr>
      <w:tr>
        <w:trPr>
          <w:trHeight w:val="243"/>
        </w:trPr>
        <w:tc>
          <w:tcPr>
            <w:tcW w:w="4460" w:type="dxa"/>
            <w:vAlign w:val="bottom"/>
            <w:gridSpan w:val="6"/>
          </w:tcPr>
          <w:p>
            <w:pPr>
              <w:ind w:left="40"/>
              <w:spacing w:after="0"/>
              <w:rPr>
                <w:sz w:val="20"/>
                <w:szCs w:val="20"/>
                <w:color w:val="auto"/>
              </w:rPr>
            </w:pPr>
            <w:r>
              <w:rPr>
                <w:rFonts w:ascii="Arial" w:cs="Arial" w:eastAsia="Arial" w:hAnsi="Arial"/>
                <w:sz w:val="18"/>
                <w:szCs w:val="18"/>
                <w:color w:val="auto"/>
              </w:rPr>
              <w:t>Capital expenditures</w:t>
            </w:r>
          </w:p>
        </w:tc>
        <w:tc>
          <w:tcPr>
            <w:tcW w:w="1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8,672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4,825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3,251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16,984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gridSpan w:val="6"/>
            <w:shd w:val="clear" w:color="auto" w:fill="CCEEFF"/>
          </w:tcPr>
          <w:p>
            <w:pPr>
              <w:ind w:left="40"/>
              <w:spacing w:after="0"/>
              <w:rPr>
                <w:sz w:val="20"/>
                <w:szCs w:val="20"/>
                <w:color w:val="auto"/>
              </w:rPr>
            </w:pPr>
            <w:r>
              <w:rPr>
                <w:rFonts w:ascii="Arial" w:cs="Arial" w:eastAsia="Arial" w:hAnsi="Arial"/>
                <w:sz w:val="16"/>
                <w:szCs w:val="16"/>
                <w:b w:val="1"/>
                <w:bCs w:val="1"/>
                <w:color w:val="auto"/>
              </w:rPr>
              <w:t>Nine Months Ended July 31, 2018</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7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460" w:type="dxa"/>
            <w:vAlign w:val="bottom"/>
            <w:gridSpan w:val="6"/>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350,280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115,481</w:t>
            </w:r>
          </w:p>
        </w:tc>
        <w:tc>
          <w:tcPr>
            <w:tcW w:w="12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183,705</w:t>
            </w:r>
          </w:p>
        </w:tc>
        <w:tc>
          <w:tcPr>
            <w:tcW w:w="100" w:type="dxa"/>
            <w:vAlign w:val="bottom"/>
          </w:tcPr>
          <w:p>
            <w:pPr>
              <w:spacing w:after="0"/>
              <w:rPr>
                <w:sz w:val="21"/>
                <w:szCs w:val="21"/>
                <w:color w:val="auto"/>
              </w:rPr>
            </w:pPr>
          </w:p>
        </w:tc>
        <w:tc>
          <w:tcPr>
            <w:tcW w:w="240" w:type="dxa"/>
            <w:vAlign w:val="bottom"/>
          </w:tcPr>
          <w:p>
            <w:pPr>
              <w:jc w:val="right"/>
              <w:ind w:right="33"/>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(3,767)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645,699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39,274</w:t>
            </w:r>
          </w:p>
        </w:tc>
        <w:tc>
          <w:tcPr>
            <w:tcW w:w="0" w:type="dxa"/>
            <w:vAlign w:val="bottom"/>
          </w:tcPr>
          <w:p>
            <w:pPr>
              <w:spacing w:after="0"/>
              <w:rPr>
                <w:sz w:val="1"/>
                <w:szCs w:val="1"/>
                <w:color w:val="auto"/>
              </w:rPr>
            </w:pPr>
          </w:p>
        </w:tc>
      </w:tr>
      <w:tr>
        <w:trPr>
          <w:trHeight w:val="243"/>
        </w:trPr>
        <w:tc>
          <w:tcPr>
            <w:tcW w:w="4460" w:type="dxa"/>
            <w:vAlign w:val="bottom"/>
            <w:gridSpan w:val="6"/>
          </w:tcPr>
          <w:p>
            <w:pPr>
              <w:ind w:left="40"/>
              <w:spacing w:after="0"/>
              <w:rPr>
                <w:sz w:val="20"/>
                <w:szCs w:val="20"/>
                <w:color w:val="auto"/>
              </w:rPr>
            </w:pPr>
            <w:r>
              <w:rPr>
                <w:rFonts w:ascii="Arial" w:cs="Arial" w:eastAsia="Arial" w:hAnsi="Arial"/>
                <w:sz w:val="18"/>
                <w:szCs w:val="18"/>
                <w:color w:val="auto"/>
              </w:rPr>
              <w:t>Operating income (loss)</w:t>
            </w:r>
          </w:p>
        </w:tc>
        <w:tc>
          <w:tcPr>
            <w:tcW w:w="1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19,960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8,094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24,000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4,562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21,098</w:t>
            </w:r>
          </w:p>
        </w:tc>
        <w:tc>
          <w:tcPr>
            <w:tcW w:w="0" w:type="dxa"/>
            <w:vAlign w:val="bottom"/>
          </w:tcPr>
          <w:p>
            <w:pPr>
              <w:spacing w:after="0"/>
              <w:rPr>
                <w:sz w:val="1"/>
                <w:szCs w:val="1"/>
                <w:color w:val="auto"/>
              </w:rPr>
            </w:pPr>
          </w:p>
        </w:tc>
      </w:tr>
      <w:tr>
        <w:trPr>
          <w:trHeight w:val="203"/>
        </w:trPr>
        <w:tc>
          <w:tcPr>
            <w:tcW w:w="4460" w:type="dxa"/>
            <w:vAlign w:val="bottom"/>
            <w:gridSpan w:val="6"/>
          </w:tcPr>
          <w:p>
            <w:pPr>
              <w:ind w:left="40"/>
              <w:spacing w:after="0"/>
              <w:rPr>
                <w:sz w:val="20"/>
                <w:szCs w:val="20"/>
                <w:color w:val="auto"/>
              </w:rPr>
            </w:pPr>
            <w:r>
              <w:rPr>
                <w:rFonts w:ascii="Arial" w:cs="Arial" w:eastAsia="Arial" w:hAnsi="Arial"/>
                <w:sz w:val="16"/>
                <w:szCs w:val="16"/>
                <w:b w:val="1"/>
                <w:bCs w:val="1"/>
                <w:color w:val="auto"/>
              </w:rPr>
              <w:t>As of July 31, 2019</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235,443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203,696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236,236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680,064</w:t>
            </w:r>
          </w:p>
        </w:tc>
        <w:tc>
          <w:tcPr>
            <w:tcW w:w="0" w:type="dxa"/>
            <w:vAlign w:val="bottom"/>
          </w:tcPr>
          <w:p>
            <w:pPr>
              <w:spacing w:after="0"/>
              <w:rPr>
                <w:sz w:val="1"/>
                <w:szCs w:val="1"/>
                <w:color w:val="auto"/>
              </w:rPr>
            </w:pPr>
          </w:p>
        </w:tc>
      </w:tr>
      <w:tr>
        <w:trPr>
          <w:trHeight w:val="203"/>
        </w:trPr>
        <w:tc>
          <w:tcPr>
            <w:tcW w:w="4460" w:type="dxa"/>
            <w:vAlign w:val="bottom"/>
            <w:gridSpan w:val="6"/>
          </w:tcPr>
          <w:p>
            <w:pPr>
              <w:ind w:left="40"/>
              <w:spacing w:after="0"/>
              <w:rPr>
                <w:sz w:val="20"/>
                <w:szCs w:val="20"/>
                <w:color w:val="auto"/>
              </w:rPr>
            </w:pPr>
            <w:r>
              <w:rPr>
                <w:rFonts w:ascii="Arial" w:cs="Arial" w:eastAsia="Arial" w:hAnsi="Arial"/>
                <w:sz w:val="16"/>
                <w:szCs w:val="16"/>
                <w:b w:val="1"/>
                <w:bCs w:val="1"/>
                <w:color w:val="auto"/>
              </w:rPr>
              <w:t>As of October 31, 2018</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460" w:type="dxa"/>
            <w:vAlign w:val="bottom"/>
            <w:gridSpan w:val="6"/>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Total assets </w:t>
            </w:r>
            <w:r>
              <w:rPr>
                <w:rFonts w:ascii="Arial" w:cs="Arial" w:eastAsia="Arial" w:hAnsi="Arial"/>
                <w:sz w:val="25"/>
                <w:szCs w:val="25"/>
                <w:color w:val="auto"/>
                <w:vertAlign w:val="superscript"/>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239,915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214,704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272,313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16,282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743,214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ind w:left="600" w:hanging="187"/>
        <w:spacing w:after="0"/>
        <w:tabs>
          <w:tab w:leader="none" w:pos="600"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NA Fenestration and EU Fenestration were previously named "NA Engineered Components" and "EU Engineered Components".</w:t>
      </w:r>
    </w:p>
    <w:p>
      <w:pPr>
        <w:spacing w:after="0" w:line="323" w:lineRule="exact"/>
        <w:rPr>
          <w:rFonts w:ascii="Arial" w:cs="Arial" w:eastAsia="Arial" w:hAnsi="Arial"/>
          <w:sz w:val="22"/>
          <w:szCs w:val="22"/>
          <w:color w:val="auto"/>
          <w:vertAlign w:val="superscript"/>
        </w:rPr>
      </w:pPr>
    </w:p>
    <w:p>
      <w:pPr>
        <w:ind w:left="420" w:hanging="7"/>
        <w:spacing w:after="0" w:line="252" w:lineRule="auto"/>
        <w:tabs>
          <w:tab w:leader="none" w:pos="612"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Results have been updated to reflect the adoption of Accounting Standards Update 2017-07. For further details, see Note 15, "New Accounting Guidance", located herewith. Results have also been updated to reflect a decrease in corporate general and administrative allocations, as noted above.</w:t>
      </w:r>
    </w:p>
    <w:p>
      <w:pPr>
        <w:spacing w:after="0" w:line="310" w:lineRule="exact"/>
        <w:rPr>
          <w:rFonts w:ascii="Arial" w:cs="Arial" w:eastAsia="Arial" w:hAnsi="Arial"/>
          <w:sz w:val="22"/>
          <w:szCs w:val="22"/>
          <w:color w:val="auto"/>
          <w:vertAlign w:val="superscript"/>
        </w:rPr>
      </w:pPr>
    </w:p>
    <w:p>
      <w:pPr>
        <w:ind w:left="420" w:hanging="7"/>
        <w:spacing w:after="0" w:line="227" w:lineRule="auto"/>
        <w:tabs>
          <w:tab w:leader="none" w:pos="612" w:val="left"/>
        </w:tabs>
        <w:numPr>
          <w:ilvl w:val="0"/>
          <w:numId w:val="4"/>
        </w:numPr>
        <w:rPr>
          <w:rFonts w:ascii="Arial" w:cs="Arial" w:eastAsia="Arial" w:hAnsi="Arial"/>
          <w:sz w:val="24"/>
          <w:szCs w:val="24"/>
          <w:color w:val="auto"/>
          <w:vertAlign w:val="superscript"/>
        </w:rPr>
      </w:pPr>
      <w:r>
        <w:rPr>
          <w:rFonts w:ascii="Arial" w:cs="Arial" w:eastAsia="Arial" w:hAnsi="Arial"/>
          <w:sz w:val="17"/>
          <w:szCs w:val="17"/>
          <w:color w:val="auto"/>
        </w:rPr>
        <w:t>Total assets as of October 31, 2018 have been updated to reflect an accounting change to the FIFO inventory cost method. For further details, see Note 2, "Inventories", located herewith.</w:t>
      </w:r>
    </w:p>
    <w:p>
      <w:pPr>
        <w:spacing w:after="0" w:line="32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summarizes the change in the carrying amount of goodwill by reportable business segment for the nine months ended July 31, 2019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2"/>
              </w:rPr>
              <w:t>NA Fenestration</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1"/>
              </w:rPr>
              <w:t>EU Fenestration</w:t>
            </w:r>
          </w:p>
        </w:tc>
        <w:tc>
          <w:tcPr>
            <w:tcW w:w="120" w:type="dxa"/>
            <w:vAlign w:val="bottom"/>
            <w:vMerge w:val="restart"/>
          </w:tcPr>
          <w:p>
            <w:pPr>
              <w:spacing w:after="0"/>
              <w:rPr>
                <w:sz w:val="14"/>
                <w:szCs w:val="14"/>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NA Cabinet Comp.</w:t>
            </w:r>
          </w:p>
        </w:tc>
        <w:tc>
          <w:tcPr>
            <w:tcW w:w="100" w:type="dxa"/>
            <w:vAlign w:val="bottom"/>
            <w:vMerge w:val="restart"/>
          </w:tcPr>
          <w:p>
            <w:pPr>
              <w:spacing w:after="0"/>
              <w:rPr>
                <w:sz w:val="14"/>
                <w:szCs w:val="14"/>
                <w:color w:val="auto"/>
              </w:rPr>
            </w:pP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rPr>
              <w:t>Unallocated Corp.</w:t>
            </w:r>
          </w:p>
        </w:tc>
        <w:tc>
          <w:tcPr>
            <w:tcW w:w="300" w:type="dxa"/>
            <w:vAlign w:val="bottom"/>
          </w:tcPr>
          <w:p>
            <w:pPr>
              <w:spacing w:after="0"/>
              <w:rPr>
                <w:sz w:val="14"/>
                <w:szCs w:val="14"/>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&amp; Other</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October 31,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38,712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67,168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113,747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219,627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Asset impairment charge</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(29,978)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(29,978)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Balance as of July 31, 2019</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38,712</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64,348</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83,769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186,829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4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further details of Goodwill, see Note 3, "Goodwill &amp; Intangible Assets", located herewith.</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did not allocate non-operating loss or income tax benefit to the reportable segments. The following table reconciles operating income (loss) as reported above to net income (loss) for the three and nine months ended July 31, 2019 and 2018:</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192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July 31,</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July 31,</w:t>
            </w:r>
          </w:p>
        </w:tc>
        <w:tc>
          <w:tcPr>
            <w:tcW w:w="740" w:type="dxa"/>
            <w:vAlign w:val="bottom"/>
            <w:tcBorders>
              <w:bottom w:val="single" w:sz="8" w:color="auto"/>
            </w:tcBorders>
          </w:tcPr>
          <w:p>
            <w:pPr>
              <w:spacing w:after="0"/>
              <w:rPr>
                <w:sz w:val="24"/>
                <w:szCs w:val="24"/>
                <w:color w:val="auto"/>
              </w:rPr>
            </w:pPr>
          </w:p>
        </w:tc>
      </w:tr>
      <w:tr>
        <w:trPr>
          <w:trHeight w:val="264"/>
        </w:trPr>
        <w:tc>
          <w:tcPr>
            <w:tcW w:w="69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r>
      <w:tr>
        <w:trPr>
          <w:trHeight w:val="196"/>
        </w:trPr>
        <w:tc>
          <w:tcPr>
            <w:tcW w:w="6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0" w:type="dxa"/>
            <w:vAlign w:val="bottom"/>
            <w:gridSpan w:val="5"/>
          </w:tcPr>
          <w:p>
            <w:pPr>
              <w:ind w:left="36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19,110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16,830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24,000</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(7,584)</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884</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(5,926)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2,536</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11,841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10,753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19,836</w:t>
            </w: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Earnings Per Share</w:t>
      </w:r>
    </w:p>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compute basic earnings (loss) per share by dividing net income (loss) by the weighted average number of common shares outstanding during the period. Diluted earnings per common and potential common shares include the weighted average of additional shares associated with the incremental effect of dilutive employee stock options, non-vested restricted stock as determined using the treasury stock method prescribed by U.S. GAAP and contingent shares associated with performance share awards, if dilutive.</w:t>
      </w:r>
    </w:p>
    <w:p>
      <w:pPr>
        <w:spacing w:after="0" w:line="10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Basic and diluted earnings (loss) per share for the three and nine months ended July 31, 2019 and 2018 were calculated as follows (in thousands, except per share data):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 Income</w:t>
            </w:r>
          </w:p>
        </w:tc>
        <w:tc>
          <w:tcPr>
            <w:tcW w:w="1580" w:type="dxa"/>
            <w:vAlign w:val="bottom"/>
          </w:tcPr>
          <w:p>
            <w:pPr>
              <w:jc w:val="right"/>
              <w:ind w:right="132"/>
              <w:spacing w:after="0"/>
              <w:rPr>
                <w:sz w:val="20"/>
                <w:szCs w:val="20"/>
                <w:color w:val="auto"/>
              </w:rPr>
            </w:pPr>
            <w:r>
              <w:rPr>
                <w:rFonts w:ascii="Arial" w:cs="Arial" w:eastAsia="Arial" w:hAnsi="Arial"/>
                <w:sz w:val="14"/>
                <w:szCs w:val="14"/>
                <w:b w:val="1"/>
                <w:bCs w:val="1"/>
                <w:color w:val="auto"/>
              </w:rPr>
              <w:t>Weighted Average</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580" w:type="dxa"/>
            <w:vAlign w:val="bottom"/>
          </w:tcPr>
          <w:p>
            <w:pPr>
              <w:jc w:val="right"/>
              <w:ind w:right="492"/>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740" w:type="dxa"/>
            <w:vAlign w:val="bottom"/>
            <w:gridSpan w:val="4"/>
          </w:tcPr>
          <w:p>
            <w:pPr>
              <w:ind w:left="40"/>
              <w:spacing w:after="0"/>
              <w:rPr>
                <w:sz w:val="20"/>
                <w:szCs w:val="20"/>
                <w:color w:val="auto"/>
              </w:rPr>
            </w:pPr>
            <w:r>
              <w:rPr>
                <w:rFonts w:ascii="Arial" w:cs="Arial" w:eastAsia="Arial" w:hAnsi="Arial"/>
                <w:sz w:val="16"/>
                <w:szCs w:val="16"/>
                <w:b w:val="1"/>
                <w:bCs w:val="1"/>
                <w:color w:val="auto"/>
              </w:rPr>
              <w:t>Three Months Ended July 31, 2019</w:t>
            </w: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3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11,841</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32,899</w:t>
            </w:r>
          </w:p>
        </w:tc>
        <w:tc>
          <w:tcPr>
            <w:tcW w:w="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i w:val="1"/>
                <w:iCs w:val="1"/>
                <w:color w:val="auto"/>
              </w:rPr>
              <w:t>Effect of dilutive securities:</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Restricted stock awards</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Performance shares</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Diluted earnings per common share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11,841</w:t>
            </w:r>
          </w:p>
        </w:tc>
        <w:tc>
          <w:tcPr>
            <w:tcW w:w="220" w:type="dxa"/>
            <w:vAlign w:val="bottom"/>
          </w:tcPr>
          <w:p>
            <w:pPr>
              <w:spacing w:after="0"/>
              <w:rPr>
                <w:sz w:val="24"/>
                <w:szCs w:val="24"/>
                <w:color w:val="auto"/>
              </w:rPr>
            </w:pPr>
          </w:p>
        </w:tc>
        <w:tc>
          <w:tcPr>
            <w:tcW w:w="1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33,162</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163"/>
        </w:trPr>
        <w:tc>
          <w:tcPr>
            <w:tcW w:w="40" w:type="dxa"/>
            <w:vAlign w:val="bottom"/>
            <w:tcBorders>
              <w:top w:val="single" w:sz="8" w:color="CCEEFF"/>
            </w:tcBorders>
            <w:shd w:val="clear" w:color="auto" w:fill="CCEEFF"/>
          </w:tcPr>
          <w:p>
            <w:pPr>
              <w:spacing w:after="0"/>
              <w:rPr>
                <w:sz w:val="14"/>
                <w:szCs w:val="14"/>
                <w:color w:val="auto"/>
              </w:rPr>
            </w:pPr>
          </w:p>
        </w:tc>
        <w:tc>
          <w:tcPr>
            <w:tcW w:w="23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2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740" w:type="dxa"/>
            <w:vAlign w:val="bottom"/>
            <w:gridSpan w:val="4"/>
          </w:tcPr>
          <w:p>
            <w:pPr>
              <w:ind w:left="40"/>
              <w:spacing w:after="0"/>
              <w:rPr>
                <w:sz w:val="20"/>
                <w:szCs w:val="20"/>
                <w:color w:val="auto"/>
              </w:rPr>
            </w:pPr>
            <w:r>
              <w:rPr>
                <w:rFonts w:ascii="Arial" w:cs="Arial" w:eastAsia="Arial" w:hAnsi="Arial"/>
                <w:sz w:val="16"/>
                <w:szCs w:val="16"/>
                <w:b w:val="1"/>
                <w:bCs w:val="1"/>
                <w:color w:val="auto"/>
              </w:rPr>
              <w:t>Three Months Ended July 31, 2018</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3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10,753</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34,840</w:t>
            </w:r>
          </w:p>
        </w:tc>
        <w:tc>
          <w:tcPr>
            <w:tcW w:w="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i w:val="1"/>
                <w:iCs w:val="1"/>
                <w:color w:val="auto"/>
              </w:rPr>
              <w:t>Effect of dilutive securities:</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Restricted stock awards</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10,753</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35,120</w:t>
            </w:r>
          </w:p>
        </w:tc>
        <w:tc>
          <w:tcPr>
            <w:tcW w:w="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740" w:type="dxa"/>
            <w:vAlign w:val="bottom"/>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Nine Months Ended July 31, 2019</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3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2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Basic loss per common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(15,782)</w:t>
            </w: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32,984</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gridSpan w:val="4"/>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Diluted loss per common share </w:t>
            </w:r>
            <w:r>
              <w:rPr>
                <w:rFonts w:ascii="Arial" w:cs="Arial" w:eastAsia="Arial" w:hAnsi="Arial"/>
                <w:sz w:val="25"/>
                <w:szCs w:val="25"/>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(15,782)</w:t>
            </w:r>
          </w:p>
        </w:tc>
        <w:tc>
          <w:tcPr>
            <w:tcW w:w="2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32,984</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740" w:type="dxa"/>
            <w:vAlign w:val="bottom"/>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Nine Months Ended July 31, 2018</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3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2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Basic earnings per common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19,836</w:t>
            </w: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34,766</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i w:val="1"/>
                <w:iCs w:val="1"/>
                <w:color w:val="auto"/>
              </w:rPr>
              <w:t>Effect of dilutive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Stock options</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226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Restricted stock awards</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Diluted earnings per common share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19,836</w:t>
            </w:r>
          </w:p>
        </w:tc>
        <w:tc>
          <w:tcPr>
            <w:tcW w:w="22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35,125</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8"/>
        <w:spacing w:after="0" w:line="268" w:lineRule="auto"/>
        <w:tabs>
          <w:tab w:leader="none" w:pos="192" w:val="left"/>
        </w:tabs>
        <w:numPr>
          <w:ilvl w:val="0"/>
          <w:numId w:val="5"/>
        </w:numPr>
        <w:rPr>
          <w:rFonts w:ascii="Arial" w:cs="Arial" w:eastAsia="Arial" w:hAnsi="Arial"/>
          <w:sz w:val="22"/>
          <w:szCs w:val="22"/>
          <w:color w:val="auto"/>
          <w:vertAlign w:val="superscript"/>
        </w:rPr>
      </w:pPr>
      <w:r>
        <w:rPr>
          <w:rFonts w:ascii="Arial" w:cs="Arial" w:eastAsia="Arial" w:hAnsi="Arial"/>
          <w:sz w:val="16"/>
          <w:szCs w:val="16"/>
          <w:color w:val="auto"/>
        </w:rPr>
        <w:t>The computation of diluted earnings per share excludes outstanding stock options and other common stock equivalents when their inclusion would be anti-dilutive. This is always the case when an entity incurs a net loss. During the nine months ended July 31, 2019, 30,844 shares of common stock equivalent and 120,927 shares of restricted stock were excluded from the computation of diluted earnings per share. In addition, 68,107 potentially dilutive contingent shares related to performance share awards for each of the nine months ended July 31, 2019 were excluded.</w:t>
      </w:r>
    </w:p>
    <w:p>
      <w:pPr>
        <w:spacing w:after="0" w:line="10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had common stock equivalents that were potentially dilutive in future earnings per share calculations of 1,155,941 and 1,419,408 for the three and nine months ended July 31, 2019, respectively, and 1,015,946 and 972,606, respectively, for the prior year comparable periods. Such dilution will be dependent on the excess of the market price of our stock over the exercise price and other components of the treasury stock method.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New Accounting Guidance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Recently Adopted</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In May 2017, the Financial Accounting Standards Board (FASB) issued Accounting Standards Update (ASU) No. 2017-09, </w:t>
      </w:r>
      <w:r>
        <w:rPr>
          <w:rFonts w:ascii="Arial" w:cs="Arial" w:eastAsia="Arial" w:hAnsi="Arial"/>
          <w:sz w:val="18"/>
          <w:szCs w:val="18"/>
          <w:i w:val="1"/>
          <w:iCs w:val="1"/>
          <w:color w:val="auto"/>
        </w:rPr>
        <w:t>Compensation - Stock</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(Topic 718)</w:t>
      </w:r>
      <w:r>
        <w:rPr>
          <w:rFonts w:ascii="Arial" w:cs="Arial" w:eastAsia="Arial" w:hAnsi="Arial"/>
          <w:sz w:val="18"/>
          <w:szCs w:val="18"/>
          <w:color w:val="auto"/>
        </w:rPr>
        <w:t>, which provides guidance as to when changes in share-based payment awards under Topic 718 should be accounted for as a</w:t>
      </w:r>
      <w:r>
        <w:rPr>
          <w:rFonts w:ascii="Arial" w:cs="Arial" w:eastAsia="Arial" w:hAnsi="Arial"/>
          <w:sz w:val="18"/>
          <w:szCs w:val="18"/>
          <w:i w:val="1"/>
          <w:iCs w:val="1"/>
          <w:color w:val="auto"/>
        </w:rPr>
        <w:t xml:space="preserve"> </w:t>
      </w:r>
      <w:r>
        <w:rPr>
          <w:rFonts w:ascii="Arial" w:cs="Arial" w:eastAsia="Arial" w:hAnsi="Arial"/>
          <w:sz w:val="18"/>
          <w:szCs w:val="18"/>
          <w:color w:val="auto"/>
        </w:rPr>
        <w:t>modification of the award. Essentially, the changes should be considered a modification unless specific criteria are met. We adopted this guidance as of November 1, 2018 with no impact to the financial statements.</w:t>
      </w:r>
    </w:p>
    <w:p>
      <w:pPr>
        <w:spacing w:after="0" w:line="10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 xml:space="preserve">In March 2017, the FASB issued ASU No. 2017-07, </w:t>
      </w:r>
      <w:r>
        <w:rPr>
          <w:rFonts w:ascii="Arial" w:cs="Arial" w:eastAsia="Arial" w:hAnsi="Arial"/>
          <w:sz w:val="16"/>
          <w:szCs w:val="16"/>
          <w:i w:val="1"/>
          <w:iCs w:val="1"/>
          <w:color w:val="auto"/>
        </w:rPr>
        <w:t>Compensation - Retirement Benefits (Topic 715)</w:t>
      </w:r>
      <w:r>
        <w:rPr>
          <w:rFonts w:ascii="Arial" w:cs="Arial" w:eastAsia="Arial" w:hAnsi="Arial"/>
          <w:sz w:val="16"/>
          <w:szCs w:val="16"/>
          <w:color w:val="auto"/>
        </w:rPr>
        <w:t>, Improving the Presentation of Net Periodic Pension Cost and Net Periodic Postretirement Benefit Cost. This update provides explicit guidance on how to present the service cost component and other components of net benefit cost in the income statement and allows only the service cost component of net benefit cost to be eligible for capitalization. We adopted this change retrospectively as of November 1, 2018, resulting in a reclassification for the three and nine months ended July 31, 2018 of $0.2 million and $0.6 million of benefit, respectively, from the "Cost of sales" line item and approximately $0.1 million and $0.2 million of benefit for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3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corresponding periods from the "Selling, general and administrative" line item to the "Other, net" line item on the accompanying condensed consolidated statement of income.</w:t>
      </w:r>
    </w:p>
    <w:p>
      <w:pPr>
        <w:spacing w:after="0" w:line="8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In January 2017, the FASB issued ASU 2017-01, </w:t>
      </w:r>
      <w:r>
        <w:rPr>
          <w:rFonts w:ascii="Arial" w:cs="Arial" w:eastAsia="Arial" w:hAnsi="Arial"/>
          <w:sz w:val="18"/>
          <w:szCs w:val="18"/>
          <w:i w:val="1"/>
          <w:iCs w:val="1"/>
          <w:color w:val="auto"/>
        </w:rPr>
        <w:t>Business Combinations (Topic 805)</w:t>
      </w:r>
      <w:r>
        <w:rPr>
          <w:rFonts w:ascii="Arial" w:cs="Arial" w:eastAsia="Arial" w:hAnsi="Arial"/>
          <w:sz w:val="18"/>
          <w:szCs w:val="18"/>
          <w:color w:val="auto"/>
        </w:rPr>
        <w:t>, which provides clarity when determining whether a set of assets and activities constitutes a business. Specifically, if substantially all of the fair value of the gross assets acquired (or disposed of) is concentrated in a single identifiable asset or a group of similar identifiable assets, the set is not deemed to be a business. We adopted this change prospectively as of November 1, 2018 with no impact to the financial statements.</w:t>
      </w:r>
    </w:p>
    <w:p>
      <w:pPr>
        <w:spacing w:after="0" w:line="106"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In January 2017, the FASB issued ASU 2017-04, Intangibles - Goodwill and Other (Topic 350). This guidance simplifies the current two-step goodwill impairment test by eliminating the second step. Essentially, the entity compares the fair value of a reporting unit with its carrying value amount and recognizes an impairment charge for the amount by which the carrying value exceeds the fair value. The resulting loss is limited to the amount of goodwill. This guidance also eliminates the requirement for a reporting unit with zero or negative carrying value to perform a qualitative assessment of goodwill and apply step-two of the goodwill impairment test if the qualitative assessment fails. Thus, the same impairment assessment will be applied to all reporting units (even if the carrying value is zero or negative). We prospectively adopted this guidance as of February 1, 2019 with no material impact to the consolidated financial statements. See Note 3, "Goodwill &amp; Intangible Assets," for further details of the goodwill impairment analysis performed during the three months ended April 30, 2019.</w:t>
      </w:r>
    </w:p>
    <w:p>
      <w:pPr>
        <w:spacing w:after="0" w:line="11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Classification of Certain Cash Receipts and Cash</w:t>
      </w:r>
      <w:r>
        <w:rPr>
          <w:rFonts w:ascii="Arial" w:cs="Arial" w:eastAsia="Arial" w:hAnsi="Arial"/>
          <w:sz w:val="18"/>
          <w:szCs w:val="18"/>
          <w:color w:val="auto"/>
        </w:rPr>
        <w:t xml:space="preserve"> </w:t>
      </w:r>
      <w:r>
        <w:rPr>
          <w:rFonts w:ascii="Arial" w:cs="Arial" w:eastAsia="Arial" w:hAnsi="Arial"/>
          <w:sz w:val="18"/>
          <w:szCs w:val="18"/>
          <w:i w:val="1"/>
          <w:iCs w:val="1"/>
          <w:color w:val="auto"/>
        </w:rPr>
        <w:t>Payments</w:t>
      </w:r>
      <w:r>
        <w:rPr>
          <w:rFonts w:ascii="Arial" w:cs="Arial" w:eastAsia="Arial" w:hAnsi="Arial"/>
          <w:sz w:val="18"/>
          <w:szCs w:val="18"/>
          <w:color w:val="auto"/>
        </w:rPr>
        <w:t>. This amendment is intended to reduce diversity in practice as to how certain cash receipts and cash payments are presented and classified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of cash flows by providing guidance for several specific cash flow issues. We adopted this change retrospectively as of November 1, 2018 with no impact to the financial statements.</w:t>
      </w:r>
    </w:p>
    <w:p>
      <w:pPr>
        <w:spacing w:after="0" w:line="106"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In May 2014, the FASB issued ASU No. 2014-09, Revenue from Contracts with Customers. This guidance prescribes a methodology to determine when revenue is recognizable and constitutes a principles-based approach to revenue recognition based on the consideration to which the entity expects to be entitled in exchange for goods or services. In addition, this guidance requires additional disclosure in the notes to the financial statements with regard to the methodology applied. This pronouncement essentially superseded and replaced existing revenue recognition rules in U.S. GAAP, including industry-specific guidance. We adopted this guidance using the modified retrospective approach on November 1, 2018. Based on our evaluation, we have concluded that the adoption of this new guidance did not have a material impact on our consolidated financial statements. For additional information, refer to Note 1, “Nature of Operations and Basis of Presentation - Revenue from Contracts with Customers”.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Not Yet Adopted</w:t>
      </w:r>
    </w:p>
    <w:p>
      <w:pPr>
        <w:spacing w:after="0" w:line="14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 February 2016, the FASB established Topic 842, Leases, by issuing ASU No. 2016-02, which requires lessees to recognize leases on-balance sheet and disclose key information about leasing arrangements. The new standard establishes a right-of-use model (ROU) that requires a lessee to recognize a ROU asset and lease liability on the balance sheet for all leases with a term longer than 12 months. Leases will be classified as finance or operating, with classification affecting the pattern and classification of expense recognition in the income statement.</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new standard is effective for us on November 1, 2019, with early adoption permitted. A modified retrospective transition approach is required, applying the new standard to all leases existing at the date of initial application. We expect to adopt the new standard on November 1, 2019 and use the effective date as our date of initial application. Consequently, financial information will not be updated and the disclosures required under the new standard will not be provided for dates and periods prior to November 1, 2019.</w:t>
      </w:r>
    </w:p>
    <w:p>
      <w:pPr>
        <w:spacing w:after="0" w:line="10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new standard provides a number of optional practical expedients in transition. We expect to elect all of the new standard’s available transition practical expedients.</w:t>
      </w:r>
    </w:p>
    <w:p>
      <w:pPr>
        <w:spacing w:after="0" w:line="8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expect that this standard will have a material effect on our financial statements. While we continue to assess all of the effects of adoption, we currently believe the most significant effects on our financial statements relate to the recognition of new ROU assets and lease liabilities on our balance sheet for our operating leases and providing significant new disclosures about our leasing activities. We do not expect a significant change in our leasing activities between now and adoption.</w:t>
      </w:r>
    </w:p>
    <w:p>
      <w:pPr>
        <w:spacing w:after="0" w:line="106"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On adoption, we currently expect to recognize additional operating liabilities ranging from $40.0 million to $60.0 million, with corresponding ROU assets of the same amount based on the present value of the remaining minimum rental payments under current leasing standards for existing operating leases.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37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new standard also provides practical expedients for an entity’s ongoing accounting. We currently expect to elect the short-term lease recognition exemption for all leases that qualify. This means, for those leases that qualify, we will not recognize ROU assets or lease liabilities, and this includes not recognizing ROU assets or lease liabilities for existing short-term leases of those assets in transition. We also currently expect to elect the practical expedient to not separate lease and non-lease components for all of our leases.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Unless the context indicates otherwise, references to "Quanex", the "Company", "we", "us" and "our" refer to the consolidated business operations of Quanex Building Products Corporation and its subsidiaries.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 xml:space="preserve">Certain of the statements contained in this document and in documents incorporated by reference herein, including those made under the caption </w:t>
      </w: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are “forward-looking” statements as defined under the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Litigation Reform Act of 1995. Generally, the words “expect,” “believe,” “intend,” “estimate,” “anticipate,” “project,” “will” and similar expressions identify forward-looking statements, which generally are not historical in nature. Forward looking statements are (1) all statements which address future operating performance, (2) events or developments that we expect or anticipate will occur in the future, including statements relating to volume, sales, operating income and earnings per share, and (3) statements expressing general outlook about future operating results. Forward-looking statements are subject to certain risks and uncertainties that could cause actual results to differ materially from our historical experience and our current projections or expectations. As and when made, we believe that these forward-looking statements are reasonable. However, caution should be taken not to place undue reliance on any such forward-looking statements since such statements speak only as of the date when made and there can be no assurance that such forward-looking statements will occur. We are not obligated to publicly update or revise any forward-looking statements, whether as a result of new information, future events or otherwise.</w:t>
      </w:r>
    </w:p>
    <w:p>
      <w:pPr>
        <w:spacing w:after="0" w:line="13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Factors that could cause actual results to differ materially from those expressed or implied by the forward-looking statements include, but are not limited to the following:</w:t>
      </w:r>
    </w:p>
    <w:p>
      <w:pPr>
        <w:spacing w:after="0" w:line="22" w:lineRule="exact"/>
        <w:rPr>
          <w:sz w:val="20"/>
          <w:szCs w:val="20"/>
          <w:color w:val="auto"/>
        </w:rPr>
      </w:pPr>
    </w:p>
    <w:p>
      <w:pPr>
        <w:ind w:left="660" w:right="20" w:hanging="166"/>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market conditions, particularly in the new home construction, and residential remodeling and replacement (R&amp;R) activity markets in the U.S., U.K. and Germany;</w:t>
      </w:r>
    </w:p>
    <w:p>
      <w:pPr>
        <w:spacing w:after="0" w:line="48"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non-pass-through raw material costs;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domestic and international economic conditions;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purchases by our principal customers;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an effective system of internal controls;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successfully implement our internal operating plans and acquisition strategies;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successfully implement our plans with respect to information technology (IT) systems and processes;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control costs and increase profitability;</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environmental laws and regulations;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warranty obligations;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energy costs;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tax laws, and interpretations thereof;</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service our debt facilities and remain in good standing with our lenders;</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availability or applicability of our insurance coverage;</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a good relationship with our suppliers, subcontractors, and key customers; and</w:t>
      </w:r>
    </w:p>
    <w:p>
      <w:pPr>
        <w:spacing w:after="0" w:line="103"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resolution of litigation and other legal proceedings.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For information on additional factors that could cause actual results to differ materially, please refer to the section entitled </w:t>
      </w:r>
      <w:r>
        <w:rPr>
          <w:rFonts w:ascii="Arial" w:cs="Arial" w:eastAsia="Arial" w:hAnsi="Arial"/>
          <w:sz w:val="18"/>
          <w:szCs w:val="18"/>
          <w:i w:val="1"/>
          <w:iCs w:val="1"/>
          <w:color w:val="auto"/>
        </w:rPr>
        <w:t>“Item 1A. Risk Factors</w:t>
      </w:r>
      <w:r>
        <w:rPr>
          <w:rFonts w:ascii="Arial" w:cs="Arial" w:eastAsia="Arial" w:hAnsi="Arial"/>
          <w:sz w:val="18"/>
          <w:szCs w:val="18"/>
          <w:color w:val="auto"/>
        </w:rPr>
        <w:t>” in our Annual Report on Form 10-K for the fiscal year ended October 31, 2018.</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Third-Party Information</w:t>
      </w:r>
    </w:p>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this report, we rely on and refer to information regarding industry data obtained from market research, publicly available information, industry publications, U.S. government sources and other third parties. Although we believe this information is reliable, we cannot guarantee the accuracy or completeness of the information and have not independently verified it.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discussion and analysis should be read in conjunction with the accompanying unaudited condensed consolidated financial statements and related notes as of July 31, 2019, and for the nine months ended July 31, 2019 and 2018, included elsewhere herein. For additional information pertaining to our business, including risk factors which should be considered before investing in our common stock, refer to our Annual Report on Form 10-K for the fiscal year ended October 31, 2018.</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manufacture components for original equipment manufacturers (OEMs) in the building products industry. These components can be categorized as window and door (fenestration) components and kitchen and bath cabinet components. Examples of fenestration components include (1) energy-efficient flexible insulating glass spacers, (2) extruded vinyl profiles, (3) window and door screens, and (4) precision-formed metal and wood products. We also manufacture cabinet doors and other components for OEMs in the kitchen and bathroom cabinet industry. In addition, we provide certain other non-fenestration components and products, which include solar panel sealants, trim moldings, vinyl decking, fencing, water retention barriers, and conservatory roof components. We use low-cost, short lead-time production processes and engineering expertise to provide our customers with specialized products for their specific window, door, and cabinet applications. We believe these capabilities provide us with unique competitive advantages. We serve a primary customer base in North America and the U.K., and also serve customers in international markets through our operating plants in the U.K. and Germany, as well as through sales and marketing efforts in other countries.</w:t>
      </w:r>
    </w:p>
    <w:p>
      <w:pPr>
        <w:spacing w:after="0" w:line="128" w:lineRule="exact"/>
        <w:rPr>
          <w:sz w:val="20"/>
          <w:szCs w:val="20"/>
          <w:color w:val="auto"/>
        </w:rPr>
      </w:pPr>
    </w:p>
    <w:p>
      <w:pPr>
        <w:jc w:val="both"/>
        <w:ind w:firstLine="392"/>
        <w:spacing w:after="0" w:line="287" w:lineRule="auto"/>
        <w:rPr>
          <w:sz w:val="20"/>
          <w:szCs w:val="20"/>
          <w:color w:val="auto"/>
        </w:rPr>
      </w:pPr>
      <w:r>
        <w:rPr>
          <w:rFonts w:ascii="Arial" w:cs="Arial" w:eastAsia="Arial" w:hAnsi="Arial"/>
          <w:sz w:val="16"/>
          <w:szCs w:val="16"/>
          <w:color w:val="auto"/>
        </w:rPr>
        <w:t>We currently have three reportable business segments: (1) North American Fenestration segment (NA Fenestration), comprising three operating segments primarily focused on the fenestration market in North America manufacturing vinyl profiles, insulating glass spacers, screens &amp; other fenestration components; (2) European Fenestration segment (EU Fenestration), comprising our U.K.-based vinyl extrusion business, manufacturing vinyl profiles and conservatories, and the European insulating glass business manufacturing insulating glass spacers; and (3) North American Cabinet Components segment (NA Cabinet Components), comprising our cabinet door and components operations. We maintain a grouping called Unallocated Corporate &amp; Other, which includes transaction expenses, stock-based compensation, long-term incentive awards based on performance of our common stock and other factors, certain severance and legal costs not allocable to our operating segments, depreciation of corporate assets, interest expense, other, net, income taxes and inter-segment eliminations, and beginning in 2018, executive incentive compensation and medical expense fluctuations relative to planned costs as determined during the annual planning process. Other corporate general and administrative costs have been allocated to the reportable business segments, based upon a relative measure of profitability in order to more accurately reflect each reportable business segment's administrative costs. The accounting policies of our operating segments are the same as those used to prepare our accompanying condensed consolidated financial statements.</w:t>
      </w:r>
    </w:p>
    <w:p>
      <w:pPr>
        <w:spacing w:after="0" w:line="119"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In an effort to focus on protecting margins and improving cash flows, we implemented a strategy to reduce our sales volume with certain low-margin customers. During 2017, we rationalized capacity and closed two U.S. vinyl plants and two cabinet door plants, relocating assets to improve overall operational efficiency. Pursuant to these restructuring efforts, we expensed $0.1 million and $0.3 million during the three and nine months ended July 31, 2019 and $0.2 million and $0.9 million for the comparable prior year periods.</w:t>
      </w:r>
    </w:p>
    <w:p>
      <w:pPr>
        <w:spacing w:after="0" w:line="13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continue to invest in organic growth initiatives, enhance our product offerings, provide new complementary technology, enhance our leadership position within the markets we serve, and expand into new markets or service lines. We have disposed of non-core businesses in the past, and continue to evaluate our business portfolio to ensure that we are investing in markets where we believe there is potential future growth.</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Transactions and Events</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December 22, 2017, President Trump signed into law the Tax Cuts and Jobs Act (the Act) that included sweeping tax reform which affected U.S. corporations, including a reduction of the statutory federal corporate tax rate from 35% to 21%. We made an initial assessment of the Act and recorded a discrete benefit of $6.5 million, which included a charge of $1.2 million for a one-time mandatory transition tax on deemed repatriation of previously tax-deferred and unremitted foreign earnings during the fiscal year ended October 31, 2018. We completed the accounting for the income tax effects of the Act and recorded a charge of $0.6 million for the re-measurement of the one-time mandatory transition tax during the nine months ended July 31, 2019. The Act also imposed additional tax law changes that became effective during fiscal 2019, which include new requirements for a global intangible low-taxed income provision (GILTI) and a deduction for foreign-derived intangible income (FDII), which resulted in a net charge of $1.4 million during the nine months ended July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Overview and Outlook</w:t>
      </w:r>
    </w:p>
    <w:p>
      <w:pPr>
        <w:spacing w:after="0" w:line="14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believe the primary drivers of our operating results continue to be North American new home construction and residential remodeling and replacement (R&amp;R) activity. We believe that housing starts and window shipments are indicators of activity levels in the homebuilding and window industries, and we use this data, as published by or derived from third-party sources, to evaluate the market. We have historically evaluated the market using data from the National Association of Homebuilders (NAHB) with regard to housing starts, and published reports by Ducker Worldwide, LLC (Ducker), a consulting and research firm, with regard to window shipments in the U.S. We obtain market data from Freedonia Group, Catalina Research and KCMA, each a consulting and research firm, for insight into the U.S. residential wood cabinet demand.</w:t>
      </w:r>
    </w:p>
    <w:p>
      <w:pPr>
        <w:spacing w:after="0" w:line="124"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The NAHB has forecasted calendar-year housing starts (excluding manufactured units) to increase slightly through 2021. Ducker indicated that window shipments in the R&amp;R market are expected to decline slightly during the calendar year ended 2019, increase 1% during 2020 and remain flat during 2021. Derived from reports published by Ducker, the overall decline in window shipments for the trailing twelve months ended June 30, 2019 was 0.8%. During this period, R&amp;R activity and new construction decreased 0.1% and 1.5%, respectively. Catalina Research estimates that residential semi-custom cabinet demand in the U.S. will decline slightly through 2020.</w:t>
      </w:r>
    </w:p>
    <w:p>
      <w:pPr>
        <w:spacing w:after="0" w:line="107"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We utilize several commodities in our business for which pricing can fluctuate, including polyvinyl resin (PVC), titanium dioxide (TiO2), petroleum products, aluminum and wood. For the majority of our customers and critical suppliers, we have price adjusters in place which effectively share the base pass-through price changes for our primary commodities with our customers commensurate with the market at large. Our long-term exposure to these price fluctuations is somewhat mitigated due to the contractual component of the adjuster program. However, these adjusters are not in place with all customers and for all commodities, and there is a level of exposure to such volatility due to the lag associated with the timing of price updates in accordance with our customer agreements, particularly with regard to hardwoods. In addition, some of these commodities, such as silicone, are in high demand, particularly in Europe, which can affect the cost of the raw materials, a portion of which we may not be able to fully recover.</w:t>
      </w:r>
    </w:p>
    <w:p>
      <w:pPr>
        <w:spacing w:after="0" w:line="97"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7"/>
          <w:szCs w:val="17"/>
          <w:color w:val="auto"/>
        </w:rPr>
        <w:t>On June 23, 2016, voters in the U.K. voted for the U.K. to exit the European Union (E.U.) (referred to as Brexit). The U.K. is currently due to leave the E.U. on October 31, 2019, but the actual timing, terms of its withdrawal and the nature of its future with the E.U. are still being debated. Since the 2016 vote, the primary impact on Quanex’s financial performance has been related to foreign currency fluctuations of the British Pound Sterling. This fluctuation has driven foreign currency translation impacts, as well as raw material cost increases from upstream suppliers located outside of the U.K.</w:t>
      </w:r>
    </w:p>
    <w:p>
      <w:pPr>
        <w:spacing w:after="0" w:line="90" w:lineRule="exact"/>
        <w:rPr>
          <w:sz w:val="20"/>
          <w:szCs w:val="20"/>
          <w:color w:val="auto"/>
        </w:rPr>
      </w:pPr>
    </w:p>
    <w:p>
      <w:pPr>
        <w:jc w:val="both"/>
        <w:ind w:firstLine="392"/>
        <w:spacing w:after="0" w:line="269" w:lineRule="auto"/>
        <w:rPr>
          <w:sz w:val="20"/>
          <w:szCs w:val="20"/>
          <w:color w:val="auto"/>
        </w:rPr>
      </w:pPr>
      <w:r>
        <w:rPr>
          <w:rFonts w:ascii="Arial" w:cs="Arial" w:eastAsia="Arial" w:hAnsi="Arial"/>
          <w:sz w:val="17"/>
          <w:szCs w:val="17"/>
          <w:color w:val="auto"/>
        </w:rPr>
        <w:t>Given the lack of comparable precedent, it is difficult for us to predict the future impacts on our U.K. based operations, which accounted for approximately 14% of our total sales for the year ended October 31, 2018. Due to the fact that we manufacture and sell a majority of our U.K. products within the U.K., there is minimal risk to our ability to physically deliver goods and complete sales. As such, we believe we are well positioned within the U.K. to respond to potential changes to underlying demand as a result of the final Brexit outcome. The primary focus for our U.K. operations centers on the availability and pricing of raw materials. While we source the majority of our raw materials from within the U.K., many of the primary upstream raw materials our vendors utilize are being sourced from outside of the U.K., which could expose us to cross-border issues and raw material price impacts due to foreign currency volatility. If the U.K. exits the E.U. without an agreement (referred to as a hard Brexit), there could be complete closure of the U.K. border which could have wide-spread negative ramifications for the U.K. We do not expect a full closure to occur and instead assume at a minimum that trading with certain countries will continue uninterrupted. Since we purchase the same raw materials utilized in our U.K. facilities at our other non-U.K. facilities and source raw materials from multiple countries, we believe we are prepared to utilize our existing Quanex-wide supply infrastructure to minimize potential supply disruptions as much as possible.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July 31, 2019 Compared to Three Months Ended July 31, 2018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gridSpan w:val="4"/>
          </w:tcPr>
          <w:p>
            <w:pPr>
              <w:jc w:val="right"/>
              <w:spacing w:after="0"/>
              <w:rPr>
                <w:sz w:val="20"/>
                <w:szCs w:val="20"/>
                <w:color w:val="auto"/>
              </w:rPr>
            </w:pPr>
            <w:r>
              <w:rPr>
                <w:rFonts w:ascii="Arial" w:cs="Arial" w:eastAsia="Arial" w:hAnsi="Arial"/>
                <w:sz w:val="16"/>
                <w:szCs w:val="16"/>
                <w:b w:val="1"/>
                <w:bCs w:val="1"/>
                <w:color w:val="auto"/>
                <w:w w:val="94"/>
              </w:rPr>
              <w:t>Three Months Ended July 31,</w:t>
            </w:r>
          </w:p>
        </w:tc>
        <w:tc>
          <w:tcPr>
            <w:tcW w:w="1380" w:type="dxa"/>
            <w:vAlign w:val="bottom"/>
          </w:tcPr>
          <w:p>
            <w:pPr>
              <w:spacing w:after="0"/>
              <w:rPr>
                <w:sz w:val="18"/>
                <w:szCs w:val="18"/>
                <w:color w:val="auto"/>
              </w:rPr>
            </w:pPr>
          </w:p>
        </w:tc>
      </w:tr>
      <w:tr>
        <w:trPr>
          <w:trHeight w:val="33"/>
        </w:trPr>
        <w:tc>
          <w:tcPr>
            <w:tcW w:w="6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8"/>
        </w:trPr>
        <w:tc>
          <w:tcPr>
            <w:tcW w:w="64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Change $</w:t>
            </w:r>
          </w:p>
        </w:tc>
        <w:tc>
          <w:tcPr>
            <w:tcW w:w="13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 Variance</w:t>
            </w:r>
          </w:p>
        </w:tc>
      </w:tr>
      <w:tr>
        <w:trPr>
          <w:trHeight w:val="250"/>
        </w:trPr>
        <w:tc>
          <w:tcPr>
            <w:tcW w:w="6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0" w:type="dxa"/>
            <w:vAlign w:val="bottom"/>
            <w:gridSpan w:val="4"/>
          </w:tcPr>
          <w:p>
            <w:pPr>
              <w:jc w:val="right"/>
              <w:ind w:right="412"/>
              <w:spacing w:after="0"/>
              <w:rPr>
                <w:sz w:val="20"/>
                <w:szCs w:val="20"/>
                <w:color w:val="auto"/>
              </w:rPr>
            </w:pPr>
            <w:r>
              <w:rPr>
                <w:rFonts w:ascii="Arial" w:cs="Arial" w:eastAsia="Arial" w:hAnsi="Arial"/>
                <w:sz w:val="14"/>
                <w:szCs w:val="14"/>
                <w:b w:val="1"/>
                <w:bCs w:val="1"/>
                <w:color w:val="auto"/>
              </w:rPr>
              <w:t>(Dollars in millions)</w:t>
            </w:r>
          </w:p>
        </w:tc>
        <w:tc>
          <w:tcPr>
            <w:tcW w:w="1380" w:type="dxa"/>
            <w:vAlign w:val="bottom"/>
          </w:tcPr>
          <w:p>
            <w:pPr>
              <w:spacing w:after="0"/>
              <w:rPr>
                <w:sz w:val="21"/>
                <w:szCs w:val="21"/>
                <w:color w:val="auto"/>
              </w:rPr>
            </w:pPr>
          </w:p>
        </w:tc>
      </w:tr>
      <w:tr>
        <w:trPr>
          <w:trHeight w:val="256"/>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Cost of sales (excluding depreciation and amortization)</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181.4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185.8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w:t>
            </w: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Restructuring charges</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c>
          <w:tcPr>
            <w:tcW w:w="1380" w:type="dxa"/>
            <w:vAlign w:val="bottom"/>
          </w:tcPr>
          <w:p>
            <w:pPr>
              <w:jc w:val="right"/>
              <w:spacing w:after="0"/>
              <w:rPr>
                <w:sz w:val="20"/>
                <w:szCs w:val="20"/>
                <w:color w:val="auto"/>
              </w:rPr>
            </w:pPr>
            <w:r>
              <w:rPr>
                <w:rFonts w:ascii="Arial" w:cs="Arial" w:eastAsia="Arial" w:hAnsi="Arial"/>
                <w:sz w:val="18"/>
                <w:szCs w:val="18"/>
                <w:color w:val="auto"/>
              </w:rPr>
              <w:t>50 %</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37"/>
        </w:trPr>
        <w:tc>
          <w:tcPr>
            <w:tcW w:w="64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w:t>
            </w:r>
          </w:p>
        </w:tc>
        <w:tc>
          <w:tcPr>
            <w:tcW w:w="138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380" w:type="dxa"/>
            <w:vAlign w:val="bottom"/>
          </w:tcPr>
          <w:p>
            <w:pPr>
              <w:jc w:val="right"/>
              <w:spacing w:after="0"/>
              <w:rPr>
                <w:sz w:val="20"/>
                <w:szCs w:val="20"/>
                <w:color w:val="auto"/>
              </w:rPr>
            </w:pPr>
            <w:r>
              <w:rPr>
                <w:rFonts w:ascii="Arial" w:cs="Arial" w:eastAsia="Arial" w:hAnsi="Arial"/>
                <w:sz w:val="18"/>
                <w:szCs w:val="18"/>
                <w:color w:val="auto"/>
              </w:rPr>
              <w:t>50 %</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57"/>
        </w:trPr>
        <w:tc>
          <w:tcPr>
            <w:tcW w:w="64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w:t>
            </w:r>
          </w:p>
        </w:tc>
        <w:tc>
          <w:tcPr>
            <w:tcW w:w="138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0"/>
        </w:trPr>
        <w:tc>
          <w:tcPr>
            <w:tcW w:w="6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period-over-period results by reportable segment follow.</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Related to Operating Income by Reportable Segment: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NA Fenestration</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gridSpan w:val="4"/>
          </w:tcPr>
          <w:p>
            <w:pPr>
              <w:jc w:val="right"/>
              <w:ind w:right="153"/>
              <w:spacing w:after="0"/>
              <w:rPr>
                <w:sz w:val="20"/>
                <w:szCs w:val="20"/>
                <w:color w:val="auto"/>
              </w:rPr>
            </w:pPr>
            <w:r>
              <w:rPr>
                <w:rFonts w:ascii="Arial" w:cs="Arial" w:eastAsia="Arial" w:hAnsi="Arial"/>
                <w:sz w:val="16"/>
                <w:szCs w:val="16"/>
                <w:b w:val="1"/>
                <w:bCs w:val="1"/>
                <w:color w:val="auto"/>
                <w:w w:val="93"/>
              </w:rPr>
              <w:t>Three Months Ended July 31,</w:t>
            </w:r>
          </w:p>
        </w:tc>
        <w:tc>
          <w:tcPr>
            <w:tcW w:w="124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64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8"/>
              </w:rPr>
              <w:t>$ Change</w:t>
            </w: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 Variance</w:t>
            </w:r>
          </w:p>
        </w:tc>
      </w:tr>
      <w:tr>
        <w:trPr>
          <w:trHeight w:val="173"/>
        </w:trPr>
        <w:tc>
          <w:tcPr>
            <w:tcW w:w="6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20" w:type="dxa"/>
            <w:vAlign w:val="bottom"/>
            <w:gridSpan w:val="4"/>
          </w:tcPr>
          <w:p>
            <w:pPr>
              <w:jc w:val="right"/>
              <w:ind w:right="633"/>
              <w:spacing w:after="0"/>
              <w:rPr>
                <w:sz w:val="20"/>
                <w:szCs w:val="20"/>
                <w:color w:val="auto"/>
              </w:rPr>
            </w:pPr>
            <w:r>
              <w:rPr>
                <w:rFonts w:ascii="Arial" w:cs="Arial" w:eastAsia="Arial" w:hAnsi="Arial"/>
                <w:sz w:val="13"/>
                <w:szCs w:val="13"/>
                <w:b w:val="1"/>
                <w:bCs w:val="1"/>
                <w:color w:val="auto"/>
              </w:rPr>
              <w:t>(Dollars in millions)</w:t>
            </w:r>
          </w:p>
        </w:tc>
        <w:tc>
          <w:tcPr>
            <w:tcW w:w="1240" w:type="dxa"/>
            <w:vAlign w:val="bottom"/>
          </w:tcPr>
          <w:p>
            <w:pPr>
              <w:spacing w:after="0"/>
              <w:rPr>
                <w:sz w:val="15"/>
                <w:szCs w:val="15"/>
                <w:color w:val="auto"/>
              </w:rPr>
            </w:pPr>
          </w:p>
        </w:tc>
      </w:tr>
      <w:tr>
        <w:trPr>
          <w:trHeight w:val="259"/>
        </w:trPr>
        <w:tc>
          <w:tcPr>
            <w:tcW w:w="6400" w:type="dxa"/>
            <w:vAlign w:val="bottom"/>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4"/>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3.0</w:t>
            </w:r>
          </w:p>
        </w:tc>
        <w:tc>
          <w:tcPr>
            <w:tcW w:w="1240" w:type="dxa"/>
            <w:vAlign w:val="bottom"/>
          </w:tcPr>
          <w:p>
            <w:pPr>
              <w:jc w:val="center"/>
              <w:ind w:left="33"/>
              <w:spacing w:after="0"/>
              <w:rPr>
                <w:sz w:val="20"/>
                <w:szCs w:val="20"/>
                <w:color w:val="auto"/>
              </w:rPr>
            </w:pPr>
            <w:r>
              <w:rPr>
                <w:rFonts w:ascii="Arial" w:cs="Arial" w:eastAsia="Arial" w:hAnsi="Arial"/>
                <w:sz w:val="18"/>
                <w:szCs w:val="18"/>
                <w:color w:val="auto"/>
                <w:w w:val="92"/>
              </w:rPr>
              <w:t>2%</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(excluding 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101.2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0.5</w:t>
            </w:r>
          </w:p>
        </w:tc>
        <w:tc>
          <w:tcPr>
            <w:tcW w:w="124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99"/>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14"/>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(0.6)</w:t>
            </w:r>
          </w:p>
        </w:tc>
        <w:tc>
          <w:tcPr>
            <w:tcW w:w="1240" w:type="dxa"/>
            <w:vAlign w:val="bottom"/>
          </w:tcPr>
          <w:p>
            <w:pPr>
              <w:jc w:val="center"/>
              <w:ind w:left="33"/>
              <w:spacing w:after="0"/>
              <w:rPr>
                <w:sz w:val="20"/>
                <w:szCs w:val="20"/>
                <w:color w:val="auto"/>
              </w:rPr>
            </w:pPr>
            <w:r>
              <w:rPr>
                <w:rFonts w:ascii="Arial" w:cs="Arial" w:eastAsia="Arial" w:hAnsi="Arial"/>
                <w:sz w:val="18"/>
                <w:szCs w:val="18"/>
                <w:color w:val="auto"/>
                <w:w w:val="92"/>
              </w:rPr>
              <w:t>5%</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4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94"/>
              </w:rPr>
              <w:t>50%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14"/>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c>
          <w:tcPr>
            <w:tcW w:w="1240" w:type="dxa"/>
            <w:vAlign w:val="bottom"/>
          </w:tcPr>
          <w:p>
            <w:pPr>
              <w:jc w:val="center"/>
              <w:ind w:left="33"/>
              <w:spacing w:after="0"/>
              <w:rPr>
                <w:sz w:val="20"/>
                <w:szCs w:val="20"/>
                <w:color w:val="auto"/>
              </w:rPr>
            </w:pPr>
            <w:r>
              <w:rPr>
                <w:rFonts w:ascii="Arial" w:cs="Arial" w:eastAsia="Arial" w:hAnsi="Arial"/>
                <w:sz w:val="18"/>
                <w:szCs w:val="18"/>
                <w:color w:val="auto"/>
                <w:w w:val="92"/>
              </w:rPr>
              <w:t>1%</w:t>
            </w:r>
          </w:p>
        </w:tc>
      </w:tr>
      <w:tr>
        <w:trPr>
          <w:trHeight w:val="27"/>
        </w:trPr>
        <w:tc>
          <w:tcPr>
            <w:tcW w:w="6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3.3</w:t>
            </w:r>
          </w:p>
        </w:tc>
        <w:tc>
          <w:tcPr>
            <w:tcW w:w="124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94"/>
              </w:rPr>
              <w:t>26%</w:t>
            </w:r>
          </w:p>
        </w:tc>
      </w:tr>
      <w:tr>
        <w:trPr>
          <w:trHeight w:val="20"/>
        </w:trPr>
        <w:tc>
          <w:tcPr>
            <w:tcW w:w="6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Operating income margin</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increased $3.0 million, or 2%, for the three months ended July 31, 2019 compared to the same period in 2018, which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price increases.</w:t>
      </w:r>
    </w:p>
    <w:p>
      <w:pPr>
        <w:spacing w:after="0" w:line="89"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i w:val="1"/>
          <w:iCs w:val="1"/>
          <w:color w:val="auto"/>
        </w:rPr>
        <w:t xml:space="preserve">Cost of Sales. </w:t>
      </w:r>
      <w:r>
        <w:rPr>
          <w:rFonts w:ascii="Arial" w:cs="Arial" w:eastAsia="Arial" w:hAnsi="Arial"/>
          <w:sz w:val="17"/>
          <w:szCs w:val="17"/>
          <w:color w:val="auto"/>
        </w:rPr>
        <w:t>The cost of sales increased $0.5 million when comparing the three months ended July 31, 2019 to the same period in 2018. Cost of sales</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increased primarily due to inflationary cost increases for raw materials, of which a portion are recovered through surcharges.</w:t>
      </w:r>
    </w:p>
    <w:p>
      <w:pPr>
        <w:spacing w:after="0" w:line="6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Selling, General and Administrative. S</w:t>
      </w:r>
      <w:r>
        <w:rPr>
          <w:rFonts w:ascii="Arial" w:cs="Arial" w:eastAsia="Arial" w:hAnsi="Arial"/>
          <w:sz w:val="18"/>
          <w:szCs w:val="18"/>
          <w:color w:val="auto"/>
        </w:rPr>
        <w:t>elling, general and administrative expenses decreased $0.6 million, or 5%, when comparing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July 31, 2019 to the same period in 2018. This decrease was due primarily to lower compensation.</w:t>
      </w:r>
    </w:p>
    <w:p>
      <w:pPr>
        <w:spacing w:after="0" w:line="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Restructuring Charges. </w:t>
      </w:r>
      <w:r>
        <w:rPr>
          <w:rFonts w:ascii="Arial" w:cs="Arial" w:eastAsia="Arial" w:hAnsi="Arial"/>
          <w:sz w:val="18"/>
          <w:szCs w:val="18"/>
          <w:color w:val="auto"/>
        </w:rPr>
        <w:t>Restructuring charges of $0.1 million primarily relate to facility lease expense for a vinyl extrusion plant which was closed in</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2017 in the U.S. that has not been sublet or otherwise exited as of July 31, 2019. Restructuring charges of $0.2 million incurred for the three months ended July 31, 2018 relate to two such plants in the prior year.</w:t>
      </w:r>
    </w:p>
    <w:p>
      <w:pPr>
        <w:spacing w:after="0" w:line="10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decreased slightly when comparing the three months ended July 31, 2019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2018 reflecting the run-off of depreciation expense related to existing assets and disposals during the period.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EU Fenestration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gridSpan w:val="4"/>
          </w:tcPr>
          <w:p>
            <w:pPr>
              <w:jc w:val="right"/>
              <w:ind w:right="154"/>
              <w:spacing w:after="0"/>
              <w:rPr>
                <w:sz w:val="20"/>
                <w:szCs w:val="20"/>
                <w:color w:val="auto"/>
              </w:rPr>
            </w:pPr>
            <w:r>
              <w:rPr>
                <w:rFonts w:ascii="Arial" w:cs="Arial" w:eastAsia="Arial" w:hAnsi="Arial"/>
                <w:sz w:val="16"/>
                <w:szCs w:val="16"/>
                <w:b w:val="1"/>
                <w:bCs w:val="1"/>
                <w:color w:val="auto"/>
                <w:w w:val="93"/>
              </w:rPr>
              <w:t>Three Months Ended July 31,</w:t>
            </w:r>
          </w:p>
        </w:tc>
        <w:tc>
          <w:tcPr>
            <w:tcW w:w="124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64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8"/>
              </w:rPr>
              <w:t>$ Change</w:t>
            </w: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Variance %</w:t>
            </w:r>
          </w:p>
        </w:tc>
      </w:tr>
      <w:tr>
        <w:trPr>
          <w:trHeight w:val="173"/>
        </w:trPr>
        <w:tc>
          <w:tcPr>
            <w:tcW w:w="6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20" w:type="dxa"/>
            <w:vAlign w:val="bottom"/>
            <w:gridSpan w:val="4"/>
          </w:tcPr>
          <w:p>
            <w:pPr>
              <w:jc w:val="right"/>
              <w:ind w:right="634"/>
              <w:spacing w:after="0"/>
              <w:rPr>
                <w:sz w:val="20"/>
                <w:szCs w:val="20"/>
                <w:color w:val="auto"/>
              </w:rPr>
            </w:pPr>
            <w:r>
              <w:rPr>
                <w:rFonts w:ascii="Arial" w:cs="Arial" w:eastAsia="Arial" w:hAnsi="Arial"/>
                <w:sz w:val="13"/>
                <w:szCs w:val="13"/>
                <w:b w:val="1"/>
                <w:bCs w:val="1"/>
                <w:color w:val="auto"/>
              </w:rPr>
              <w:t>(Dollars in millions)</w:t>
            </w:r>
          </w:p>
        </w:tc>
        <w:tc>
          <w:tcPr>
            <w:tcW w:w="1240" w:type="dxa"/>
            <w:vAlign w:val="bottom"/>
          </w:tcPr>
          <w:p>
            <w:pPr>
              <w:spacing w:after="0"/>
              <w:rPr>
                <w:sz w:val="15"/>
                <w:szCs w:val="15"/>
                <w:color w:val="auto"/>
              </w:rPr>
            </w:pPr>
          </w:p>
        </w:tc>
      </w:tr>
      <w:tr>
        <w:trPr>
          <w:trHeight w:val="259"/>
        </w:trPr>
        <w:tc>
          <w:tcPr>
            <w:tcW w:w="6400" w:type="dxa"/>
            <w:vAlign w:val="bottom"/>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5"/>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1.6</w:t>
            </w:r>
          </w:p>
        </w:tc>
        <w:tc>
          <w:tcPr>
            <w:tcW w:w="1240" w:type="dxa"/>
            <w:vAlign w:val="bottom"/>
          </w:tcPr>
          <w:p>
            <w:pPr>
              <w:jc w:val="center"/>
              <w:ind w:left="34"/>
              <w:spacing w:after="0"/>
              <w:rPr>
                <w:sz w:val="20"/>
                <w:szCs w:val="20"/>
                <w:color w:val="auto"/>
              </w:rPr>
            </w:pPr>
            <w:r>
              <w:rPr>
                <w:rFonts w:ascii="Arial" w:cs="Arial" w:eastAsia="Arial" w:hAnsi="Arial"/>
                <w:sz w:val="18"/>
                <w:szCs w:val="18"/>
                <w:color w:val="auto"/>
                <w:w w:val="92"/>
              </w:rPr>
              <w:t>4%</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(excluding 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4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w w:val="99"/>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15"/>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0.7</w:t>
            </w:r>
          </w:p>
        </w:tc>
        <w:tc>
          <w:tcPr>
            <w:tcW w:w="1240" w:type="dxa"/>
            <w:vAlign w:val="bottom"/>
          </w:tcPr>
          <w:p>
            <w:pPr>
              <w:jc w:val="center"/>
              <w:ind w:left="14"/>
              <w:spacing w:after="0"/>
              <w:rPr>
                <w:sz w:val="20"/>
                <w:szCs w:val="20"/>
                <w:color w:val="auto"/>
              </w:rPr>
            </w:pPr>
            <w:r>
              <w:rPr>
                <w:rFonts w:ascii="Arial" w:cs="Arial" w:eastAsia="Arial" w:hAnsi="Arial"/>
                <w:sz w:val="18"/>
                <w:szCs w:val="18"/>
                <w:color w:val="auto"/>
                <w:w w:val="95"/>
              </w:rPr>
              <w:t>(13)%</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40" w:type="dxa"/>
            <w:vAlign w:val="bottom"/>
            <w:tcBorders>
              <w:bottom w:val="single" w:sz="8" w:color="CCEEFF"/>
            </w:tcBorders>
            <w:shd w:val="clear" w:color="auto" w:fill="CCEEFF"/>
          </w:tcPr>
          <w:p>
            <w:pPr>
              <w:jc w:val="center"/>
              <w:ind w:left="34"/>
              <w:spacing w:after="0"/>
              <w:rPr>
                <w:sz w:val="20"/>
                <w:szCs w:val="20"/>
                <w:color w:val="auto"/>
              </w:rPr>
            </w:pPr>
            <w:r>
              <w:rPr>
                <w:rFonts w:ascii="Arial" w:cs="Arial" w:eastAsia="Arial" w:hAnsi="Arial"/>
                <w:sz w:val="18"/>
                <w:szCs w:val="18"/>
                <w:color w:val="auto"/>
                <w:w w:val="92"/>
              </w:rPr>
              <w:t>8%</w:t>
            </w:r>
          </w:p>
        </w:tc>
      </w:tr>
      <w:tr>
        <w:trPr>
          <w:trHeight w:val="297"/>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1.2</w:t>
            </w:r>
          </w:p>
        </w:tc>
        <w:tc>
          <w:tcPr>
            <w:tcW w:w="1240" w:type="dxa"/>
            <w:vAlign w:val="bottom"/>
            <w:tcBorders>
              <w:bottom w:val="single" w:sz="8" w:color="CCEEFF"/>
            </w:tcBorders>
          </w:tcPr>
          <w:p>
            <w:pPr>
              <w:jc w:val="center"/>
              <w:ind w:left="14"/>
              <w:spacing w:after="0"/>
              <w:rPr>
                <w:sz w:val="20"/>
                <w:szCs w:val="20"/>
                <w:color w:val="auto"/>
              </w:rPr>
            </w:pPr>
            <w:r>
              <w:rPr>
                <w:rFonts w:ascii="Arial" w:cs="Arial" w:eastAsia="Arial" w:hAnsi="Arial"/>
                <w:sz w:val="18"/>
                <w:szCs w:val="18"/>
                <w:color w:val="auto"/>
                <w:w w:val="94"/>
              </w:rPr>
              <w:t>29%</w:t>
            </w:r>
          </w:p>
        </w:tc>
      </w:tr>
      <w:tr>
        <w:trPr>
          <w:trHeight w:val="230"/>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income margin</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7"/>
        </w:trPr>
        <w:tc>
          <w:tcPr>
            <w:tcW w:w="64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Net sales increased $1.6 million, or 4%, when comparing the three months ended July 31, 2019 to the same period in 2018. This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reflects $1.6 million of volume increases and $2.1 million of base price increases, partially offset by $2.1 million of foreign currency exchange rate changes.</w:t>
      </w:r>
    </w:p>
    <w:p>
      <w:pPr>
        <w:spacing w:after="0" w:line="4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The cost of sales decreased $0.1 million for the three months ended July 31, 2019 compared to the same period in 2018,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foreign currency exchange rate changes.</w:t>
      </w:r>
    </w:p>
    <w:p>
      <w:pPr>
        <w:spacing w:after="0" w:line="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expense increased $0.7 million, or 13%, for the three months ended July 31,</w:t>
      </w:r>
      <w:r>
        <w:rPr>
          <w:rFonts w:ascii="Arial" w:cs="Arial" w:eastAsia="Arial" w:hAnsi="Arial"/>
          <w:sz w:val="18"/>
          <w:szCs w:val="18"/>
          <w:i w:val="1"/>
          <w:iCs w:val="1"/>
          <w:color w:val="auto"/>
        </w:rPr>
        <w:t xml:space="preserve"> </w:t>
      </w:r>
      <w:r>
        <w:rPr>
          <w:rFonts w:ascii="Arial" w:cs="Arial" w:eastAsia="Arial" w:hAnsi="Arial"/>
          <w:sz w:val="18"/>
          <w:szCs w:val="18"/>
          <w:color w:val="auto"/>
        </w:rPr>
        <w:t>2019 compared to the same period in 2018. The increase was primarily attributable to selling costs at our U.K. vinyl business, which were partially offset by foreign currency exchange rate changes.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for the three months ended July 31, 2019 decreased $0.2 million, or 8%, when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in 2018 primarily due to the effect of foreign currency exchange rate changes.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NA Cabinet Components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gridSpan w:val="4"/>
          </w:tcPr>
          <w:p>
            <w:pPr>
              <w:jc w:val="right"/>
              <w:ind w:right="154"/>
              <w:spacing w:after="0"/>
              <w:rPr>
                <w:sz w:val="20"/>
                <w:szCs w:val="20"/>
                <w:color w:val="auto"/>
              </w:rPr>
            </w:pPr>
            <w:r>
              <w:rPr>
                <w:rFonts w:ascii="Arial" w:cs="Arial" w:eastAsia="Arial" w:hAnsi="Arial"/>
                <w:sz w:val="16"/>
                <w:szCs w:val="16"/>
                <w:b w:val="1"/>
                <w:bCs w:val="1"/>
                <w:color w:val="auto"/>
                <w:w w:val="93"/>
              </w:rPr>
              <w:t>Three Months Ended July 31,</w:t>
            </w:r>
          </w:p>
        </w:tc>
        <w:tc>
          <w:tcPr>
            <w:tcW w:w="124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64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8"/>
              </w:rPr>
              <w:t>$ Change</w:t>
            </w: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Variance %</w:t>
            </w:r>
          </w:p>
        </w:tc>
      </w:tr>
      <w:tr>
        <w:trPr>
          <w:trHeight w:val="173"/>
        </w:trPr>
        <w:tc>
          <w:tcPr>
            <w:tcW w:w="6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20" w:type="dxa"/>
            <w:vAlign w:val="bottom"/>
            <w:gridSpan w:val="4"/>
          </w:tcPr>
          <w:p>
            <w:pPr>
              <w:jc w:val="right"/>
              <w:ind w:right="634"/>
              <w:spacing w:after="0"/>
              <w:rPr>
                <w:sz w:val="20"/>
                <w:szCs w:val="20"/>
                <w:color w:val="auto"/>
              </w:rPr>
            </w:pPr>
            <w:r>
              <w:rPr>
                <w:rFonts w:ascii="Arial" w:cs="Arial" w:eastAsia="Arial" w:hAnsi="Arial"/>
                <w:sz w:val="13"/>
                <w:szCs w:val="13"/>
                <w:b w:val="1"/>
                <w:bCs w:val="1"/>
                <w:color w:val="auto"/>
              </w:rPr>
              <w:t>(Dollars in millions)</w:t>
            </w:r>
          </w:p>
        </w:tc>
        <w:tc>
          <w:tcPr>
            <w:tcW w:w="1240" w:type="dxa"/>
            <w:vAlign w:val="bottom"/>
          </w:tcPr>
          <w:p>
            <w:pPr>
              <w:spacing w:after="0"/>
              <w:rPr>
                <w:sz w:val="15"/>
                <w:szCs w:val="15"/>
                <w:color w:val="auto"/>
              </w:rPr>
            </w:pPr>
          </w:p>
        </w:tc>
      </w:tr>
      <w:tr>
        <w:trPr>
          <w:trHeight w:val="259"/>
        </w:trPr>
        <w:tc>
          <w:tcPr>
            <w:tcW w:w="6400" w:type="dxa"/>
            <w:vAlign w:val="bottom"/>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5"/>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(6.4)</w:t>
            </w:r>
          </w:p>
        </w:tc>
        <w:tc>
          <w:tcPr>
            <w:tcW w:w="1240" w:type="dxa"/>
            <w:vAlign w:val="bottom"/>
          </w:tcPr>
          <w:p>
            <w:pPr>
              <w:jc w:val="center"/>
              <w:ind w:left="14"/>
              <w:spacing w:after="0"/>
              <w:rPr>
                <w:sz w:val="20"/>
                <w:szCs w:val="20"/>
                <w:color w:val="auto"/>
              </w:rPr>
            </w:pPr>
            <w:r>
              <w:rPr>
                <w:rFonts w:ascii="Arial" w:cs="Arial" w:eastAsia="Arial" w:hAnsi="Arial"/>
                <w:sz w:val="18"/>
                <w:szCs w:val="18"/>
                <w:color w:val="auto"/>
                <w:w w:val="95"/>
              </w:rPr>
              <w:t>(10)%</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(excluding 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4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w w:val="94"/>
              </w:rPr>
              <w:t>10%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15"/>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1240" w:type="dxa"/>
            <w:vAlign w:val="bottom"/>
          </w:tcPr>
          <w:p>
            <w:pPr>
              <w:jc w:val="center"/>
              <w:ind w:left="14"/>
              <w:spacing w:after="0"/>
              <w:rPr>
                <w:sz w:val="20"/>
                <w:szCs w:val="20"/>
                <w:color w:val="auto"/>
              </w:rPr>
            </w:pPr>
            <w:r>
              <w:rPr>
                <w:rFonts w:ascii="Arial" w:cs="Arial" w:eastAsia="Arial" w:hAnsi="Arial"/>
                <w:sz w:val="18"/>
                <w:szCs w:val="18"/>
                <w:color w:val="auto"/>
                <w:w w:val="95"/>
              </w:rPr>
              <w:t>(36)%</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40" w:type="dxa"/>
            <w:vAlign w:val="bottom"/>
            <w:tcBorders>
              <w:bottom w:val="single" w:sz="8" w:color="CCEEFF"/>
            </w:tcBorders>
            <w:shd w:val="clear" w:color="auto" w:fill="CCEEFF"/>
          </w:tcPr>
          <w:p>
            <w:pPr>
              <w:jc w:val="center"/>
              <w:ind w:left="34"/>
              <w:spacing w:after="0"/>
              <w:rPr>
                <w:sz w:val="20"/>
                <w:szCs w:val="20"/>
                <w:color w:val="auto"/>
              </w:rPr>
            </w:pPr>
            <w:r>
              <w:rPr>
                <w:rFonts w:ascii="Arial" w:cs="Arial" w:eastAsia="Arial" w:hAnsi="Arial"/>
                <w:sz w:val="18"/>
                <w:szCs w:val="18"/>
                <w:color w:val="auto"/>
                <w:w w:val="92"/>
              </w:rPr>
              <w:t>3%</w:t>
            </w:r>
          </w:p>
        </w:tc>
      </w:tr>
      <w:tr>
        <w:trPr>
          <w:trHeight w:val="297"/>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40" w:type="dxa"/>
            <w:vAlign w:val="bottom"/>
            <w:tcBorders>
              <w:bottom w:val="single" w:sz="8" w:color="CCEEFF"/>
            </w:tcBorders>
          </w:tcPr>
          <w:p>
            <w:pPr>
              <w:jc w:val="center"/>
              <w:ind w:left="14"/>
              <w:spacing w:after="0"/>
              <w:rPr>
                <w:sz w:val="20"/>
                <w:szCs w:val="20"/>
                <w:color w:val="auto"/>
              </w:rPr>
            </w:pPr>
            <w:r>
              <w:rPr>
                <w:rFonts w:ascii="Arial" w:cs="Arial" w:eastAsia="Arial" w:hAnsi="Arial"/>
                <w:sz w:val="18"/>
                <w:szCs w:val="18"/>
                <w:color w:val="auto"/>
                <w:w w:val="94"/>
              </w:rPr>
              <w:t>58%</w:t>
            </w:r>
          </w:p>
        </w:tc>
      </w:tr>
      <w:tr>
        <w:trPr>
          <w:trHeight w:val="230"/>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income margin</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7"/>
        </w:trPr>
        <w:tc>
          <w:tcPr>
            <w:tcW w:w="64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decreased $6.4 million for the three months ended July 31, 2019 compared to the same period in 2018 as a result of lower volume,</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related to the industry shift from semi-custom to stock cabinets.</w:t>
      </w:r>
    </w:p>
    <w:p>
      <w:pPr>
        <w:spacing w:after="0" w:line="8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i w:val="1"/>
          <w:iCs w:val="1"/>
          <w:color w:val="auto"/>
        </w:rPr>
        <w:t>Cost of Sales</w:t>
      </w:r>
      <w:r>
        <w:rPr>
          <w:rFonts w:ascii="Arial" w:cs="Arial" w:eastAsia="Arial" w:hAnsi="Arial"/>
          <w:sz w:val="18"/>
          <w:szCs w:val="18"/>
          <w:color w:val="auto"/>
        </w:rPr>
        <w:t>. Cost of sales decreased $5.4 million, or 10%, for the three months ended July 31, 2019 compared with the same period in 2018 as a result</w:t>
      </w:r>
      <w:r>
        <w:rPr>
          <w:rFonts w:ascii="Arial" w:cs="Arial" w:eastAsia="Arial" w:hAnsi="Arial"/>
          <w:sz w:val="18"/>
          <w:szCs w:val="18"/>
          <w:i w:val="1"/>
          <w:iCs w:val="1"/>
          <w:color w:val="auto"/>
        </w:rPr>
        <w:t xml:space="preserve"> </w:t>
      </w:r>
      <w:r>
        <w:rPr>
          <w:rFonts w:ascii="Arial" w:cs="Arial" w:eastAsia="Arial" w:hAnsi="Arial"/>
          <w:sz w:val="18"/>
          <w:szCs w:val="18"/>
          <w:color w:val="auto"/>
        </w:rPr>
        <w:t>of lower volume.</w:t>
      </w:r>
    </w:p>
    <w:p>
      <w:pPr>
        <w:spacing w:after="0" w:line="89"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i w:val="1"/>
          <w:iCs w:val="1"/>
          <w:color w:val="auto"/>
        </w:rPr>
        <w:t>Selling, General and Administrative</w:t>
      </w:r>
      <w:r>
        <w:rPr>
          <w:rFonts w:ascii="Arial" w:cs="Arial" w:eastAsia="Arial" w:hAnsi="Arial"/>
          <w:sz w:val="16"/>
          <w:szCs w:val="16"/>
          <w:color w:val="auto"/>
        </w:rPr>
        <w:t>. Selling, general and administrative expense increased $1.2 million, or 36%, for the three months ended July 31,</w:t>
      </w:r>
      <w:r>
        <w:rPr>
          <w:rFonts w:ascii="Arial" w:cs="Arial" w:eastAsia="Arial" w:hAnsi="Arial"/>
          <w:sz w:val="16"/>
          <w:szCs w:val="16"/>
          <w:i w:val="1"/>
          <w:iCs w:val="1"/>
          <w:color w:val="auto"/>
        </w:rPr>
        <w:t xml:space="preserve"> </w:t>
      </w:r>
      <w:r>
        <w:rPr>
          <w:rFonts w:ascii="Arial" w:cs="Arial" w:eastAsia="Arial" w:hAnsi="Arial"/>
          <w:sz w:val="16"/>
          <w:szCs w:val="16"/>
          <w:color w:val="auto"/>
        </w:rPr>
        <w:t>2019 compared to the same period in 2018, primarily driven by the timing of incentive accruals, higher worker’s compensation and higher benefit costs.</w:t>
      </w:r>
    </w:p>
    <w:p>
      <w:pPr>
        <w:spacing w:after="0" w:line="43"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i w:val="1"/>
          <w:iCs w:val="1"/>
          <w:color w:val="auto"/>
        </w:rPr>
        <w:t>Depreciation and Amortization</w:t>
      </w:r>
      <w:r>
        <w:rPr>
          <w:rFonts w:ascii="Arial" w:cs="Arial" w:eastAsia="Arial" w:hAnsi="Arial"/>
          <w:sz w:val="17"/>
          <w:szCs w:val="17"/>
          <w:color w:val="auto"/>
        </w:rPr>
        <w:t>. Depreciation and amortization expense decreased slightly for the three months ended July 31, 2019 compared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same period in 2018, reflecting the run-off of depreciation expense related to existing assets and disposals during the period.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Unallocated Corporate &amp; Other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4"/>
          </w:tcPr>
          <w:p>
            <w:pPr>
              <w:jc w:val="right"/>
              <w:ind w:right="94"/>
              <w:spacing w:after="0"/>
              <w:rPr>
                <w:sz w:val="20"/>
                <w:szCs w:val="20"/>
                <w:color w:val="auto"/>
              </w:rPr>
            </w:pPr>
            <w:r>
              <w:rPr>
                <w:rFonts w:ascii="Arial" w:cs="Arial" w:eastAsia="Arial" w:hAnsi="Arial"/>
                <w:sz w:val="16"/>
                <w:szCs w:val="16"/>
                <w:b w:val="1"/>
                <w:bCs w:val="1"/>
                <w:color w:val="auto"/>
                <w:w w:val="92"/>
              </w:rPr>
              <w:t>Three Months Ended July 31,</w:t>
            </w:r>
          </w:p>
        </w:tc>
        <w:tc>
          <w:tcPr>
            <w:tcW w:w="1240" w:type="dxa"/>
            <w:vAlign w:val="bottom"/>
          </w:tcPr>
          <w:p>
            <w:pPr>
              <w:spacing w:after="0"/>
              <w:rPr>
                <w:sz w:val="18"/>
                <w:szCs w:val="18"/>
                <w:color w:val="auto"/>
              </w:rPr>
            </w:pPr>
          </w:p>
        </w:tc>
      </w:tr>
      <w:tr>
        <w:trPr>
          <w:trHeight w:val="33"/>
        </w:trPr>
        <w:tc>
          <w:tcPr>
            <w:tcW w:w="65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652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6"/>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8"/>
              </w:rPr>
              <w:t>$ Change</w:t>
            </w: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Variance %</w:t>
            </w:r>
          </w:p>
        </w:tc>
      </w:tr>
      <w:tr>
        <w:trPr>
          <w:trHeight w:val="173"/>
        </w:trPr>
        <w:tc>
          <w:tcPr>
            <w:tcW w:w="6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gridSpan w:val="4"/>
          </w:tcPr>
          <w:p>
            <w:pPr>
              <w:jc w:val="right"/>
              <w:ind w:right="574"/>
              <w:spacing w:after="0"/>
              <w:rPr>
                <w:sz w:val="20"/>
                <w:szCs w:val="20"/>
                <w:color w:val="auto"/>
              </w:rPr>
            </w:pPr>
            <w:r>
              <w:rPr>
                <w:rFonts w:ascii="Arial" w:cs="Arial" w:eastAsia="Arial" w:hAnsi="Arial"/>
                <w:sz w:val="13"/>
                <w:szCs w:val="13"/>
                <w:b w:val="1"/>
                <w:bCs w:val="1"/>
                <w:color w:val="auto"/>
              </w:rPr>
              <w:t>(Dollars in millions)</w:t>
            </w:r>
          </w:p>
        </w:tc>
        <w:tc>
          <w:tcPr>
            <w:tcW w:w="1240" w:type="dxa"/>
            <w:vAlign w:val="bottom"/>
          </w:tcPr>
          <w:p>
            <w:pPr>
              <w:spacing w:after="0"/>
              <w:rPr>
                <w:sz w:val="15"/>
                <w:szCs w:val="15"/>
                <w:color w:val="auto"/>
              </w:rPr>
            </w:pPr>
          </w:p>
        </w:tc>
      </w:tr>
      <w:tr>
        <w:trPr>
          <w:trHeight w:val="259"/>
        </w:trPr>
        <w:tc>
          <w:tcPr>
            <w:tcW w:w="6520" w:type="dxa"/>
            <w:vAlign w:val="bottom"/>
          </w:tcPr>
          <w:p>
            <w:pPr>
              <w:ind w:left="40"/>
              <w:spacing w:after="0"/>
              <w:rPr>
                <w:sz w:val="20"/>
                <w:szCs w:val="20"/>
                <w:color w:val="auto"/>
              </w:rPr>
            </w:pPr>
            <w:r>
              <w:rPr>
                <w:rFonts w:ascii="Arial" w:cs="Arial" w:eastAsia="Arial" w:hAnsi="Arial"/>
                <w:sz w:val="18"/>
                <w:szCs w:val="18"/>
                <w:color w:val="auto"/>
              </w:rPr>
              <w:t>Net sales</w:t>
            </w:r>
          </w:p>
        </w:tc>
        <w:tc>
          <w:tcPr>
            <w:tcW w:w="760" w:type="dxa"/>
            <w:vAlign w:val="bottom"/>
          </w:tcPr>
          <w:p>
            <w:pPr>
              <w:jc w:val="right"/>
              <w:ind w:right="553"/>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1"/>
              </w:rPr>
              <w:t>(0.8)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0.5</w:t>
            </w:r>
          </w:p>
        </w:tc>
        <w:tc>
          <w:tcPr>
            <w:tcW w:w="1240" w:type="dxa"/>
            <w:vAlign w:val="bottom"/>
          </w:tcPr>
          <w:p>
            <w:pPr>
              <w:jc w:val="center"/>
              <w:ind w:left="14"/>
              <w:spacing w:after="0"/>
              <w:rPr>
                <w:sz w:val="20"/>
                <w:szCs w:val="20"/>
                <w:color w:val="auto"/>
              </w:rPr>
            </w:pPr>
            <w:r>
              <w:rPr>
                <w:rFonts w:ascii="Arial" w:cs="Arial" w:eastAsia="Arial" w:hAnsi="Arial"/>
                <w:sz w:val="18"/>
                <w:szCs w:val="18"/>
                <w:color w:val="auto"/>
                <w:w w:val="94"/>
              </w:rPr>
              <w:t>38%</w:t>
            </w:r>
          </w:p>
        </w:tc>
      </w:tr>
      <w:tr>
        <w:trPr>
          <w:trHeight w:val="27"/>
        </w:trPr>
        <w:tc>
          <w:tcPr>
            <w:tcW w:w="6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(excluding depreciation and amortization)</w:t>
            </w:r>
          </w:p>
        </w:tc>
        <w:tc>
          <w:tcPr>
            <w:tcW w:w="7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0.6</w:t>
            </w:r>
          </w:p>
        </w:tc>
        <w:tc>
          <w:tcPr>
            <w:tcW w:w="124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w w:val="95"/>
              </w:rPr>
              <w:t>(60)%</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76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1240" w:type="dxa"/>
            <w:vAlign w:val="bottom"/>
          </w:tcPr>
          <w:p>
            <w:pPr>
              <w:jc w:val="center"/>
              <w:ind w:left="34"/>
              <w:spacing w:after="0"/>
              <w:rPr>
                <w:sz w:val="20"/>
                <w:szCs w:val="20"/>
                <w:color w:val="auto"/>
              </w:rPr>
            </w:pPr>
            <w:r>
              <w:rPr>
                <w:rFonts w:ascii="Arial" w:cs="Arial" w:eastAsia="Arial" w:hAnsi="Arial"/>
                <w:sz w:val="18"/>
                <w:szCs w:val="18"/>
                <w:color w:val="auto"/>
                <w:w w:val="94"/>
              </w:rPr>
              <w:t>(3)%</w:t>
            </w:r>
          </w:p>
        </w:tc>
      </w:tr>
      <w:tr>
        <w:trPr>
          <w:trHeight w:val="27"/>
        </w:trPr>
        <w:tc>
          <w:tcPr>
            <w:tcW w:w="6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7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4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w w:val="94"/>
              </w:rPr>
              <w:t>50%</w:t>
            </w: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76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40" w:type="dxa"/>
            <w:vAlign w:val="bottom"/>
          </w:tcPr>
          <w:p>
            <w:pPr>
              <w:jc w:val="center"/>
              <w:ind w:left="34"/>
              <w:spacing w:after="0"/>
              <w:rPr>
                <w:sz w:val="20"/>
                <w:szCs w:val="20"/>
                <w:color w:val="auto"/>
              </w:rPr>
            </w:pPr>
            <w:r>
              <w:rPr>
                <w:rFonts w:ascii="Arial" w:cs="Arial" w:eastAsia="Arial" w:hAnsi="Arial"/>
                <w:sz w:val="18"/>
                <w:szCs w:val="18"/>
                <w:color w:val="auto"/>
                <w:w w:val="94"/>
              </w:rPr>
              <w:t>(3)%</w:t>
            </w:r>
          </w:p>
        </w:tc>
      </w:tr>
      <w:tr>
        <w:trPr>
          <w:trHeight w:val="20"/>
        </w:trPr>
        <w:tc>
          <w:tcPr>
            <w:tcW w:w="6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Net sales for Unallocated Corporate &amp; Other represents the elimination of inter-segment sales for the three months ended July 31, 2019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Cost of Sales</w:t>
      </w:r>
      <w:r>
        <w:rPr>
          <w:rFonts w:ascii="Arial" w:cs="Arial" w:eastAsia="Arial" w:hAnsi="Arial"/>
          <w:sz w:val="16"/>
          <w:szCs w:val="16"/>
          <w:color w:val="auto"/>
        </w:rPr>
        <w:t>. Cost of sales for Unallocated Corporate &amp; Other consists of the elimination of inter-segment sales, profit in inventory, and other costs.</w:t>
      </w:r>
    </w:p>
    <w:p>
      <w:pPr>
        <w:spacing w:after="0" w:line="1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Selling, General and Administrative</w:t>
      </w:r>
      <w:r>
        <w:rPr>
          <w:rFonts w:ascii="Arial" w:cs="Arial" w:eastAsia="Arial" w:hAnsi="Arial"/>
          <w:sz w:val="18"/>
          <w:szCs w:val="18"/>
          <w:color w:val="auto"/>
        </w:rPr>
        <w:t>. Selling, general and administrative expenses increased $0.1 million for the three months ended July 31, 2019</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in 2018. Increases in severance charges of $1.2 million were offset by lower transaction charges, lower incentive accruals, and lower stock based compensation expense from stock price fluctuations and expected payouts.</w:t>
      </w:r>
    </w:p>
    <w:p>
      <w:pPr>
        <w:spacing w:after="0" w:line="12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decreased $0.1 million, for the three months ended July 31, 2019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in 2018, reflecting the run-off of depreciation expense related to existing assets and disposals during the period.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related to Non-Operating Items:</w:t>
      </w:r>
    </w:p>
    <w:p>
      <w:pPr>
        <w:spacing w:after="0" w:line="21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remained flat for the three months ended July 31, 2019 compared to the same period in 2018. A lower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balance was partially offset by higher interest rates during the period.</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Other, net</w:t>
      </w:r>
      <w:r>
        <w:rPr>
          <w:rFonts w:ascii="Arial" w:cs="Arial" w:eastAsia="Arial" w:hAnsi="Arial"/>
          <w:sz w:val="18"/>
          <w:szCs w:val="18"/>
          <w:color w:val="auto"/>
        </w:rPr>
        <w:t>. The increase in other, net of $0.1 million at July 31, 2019 compared to the same period in 2018 relates primarily to the impact of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transaction gains.</w:t>
      </w:r>
    </w:p>
    <w:p>
      <w:pPr>
        <w:spacing w:after="0" w:line="11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 We recorded income tax expense of $5.0 million on pre-tax income of $16.8 million for the three months ended July 31, 2019, an</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rate of 29.5% and income tax expense of $3.6 million on pre-tax income of $14.4 million for the three months ended July 31, 2018, an effective rate of 25.2%. The difference in the effective rates between these periods relates to the net charge of $1.4 million related to GILTI and FDII.</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July 31, 2019 Compared to Nine Months Ended July 31, 2018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4"/>
          </w:tcPr>
          <w:p>
            <w:pPr>
              <w:jc w:val="right"/>
              <w:ind w:right="31"/>
              <w:spacing w:after="0"/>
              <w:rPr>
                <w:sz w:val="20"/>
                <w:szCs w:val="20"/>
                <w:color w:val="auto"/>
              </w:rPr>
            </w:pPr>
            <w:r>
              <w:rPr>
                <w:rFonts w:ascii="Arial" w:cs="Arial" w:eastAsia="Arial" w:hAnsi="Arial"/>
                <w:sz w:val="16"/>
                <w:szCs w:val="16"/>
                <w:b w:val="1"/>
                <w:bCs w:val="1"/>
                <w:color w:val="auto"/>
                <w:w w:val="95"/>
              </w:rPr>
              <w:t>Nine Months Ended July 31,</w:t>
            </w:r>
          </w:p>
        </w:tc>
        <w:tc>
          <w:tcPr>
            <w:tcW w:w="1380" w:type="dxa"/>
            <w:vAlign w:val="bottom"/>
          </w:tcPr>
          <w:p>
            <w:pPr>
              <w:spacing w:after="0"/>
              <w:rPr>
                <w:sz w:val="18"/>
                <w:szCs w:val="18"/>
                <w:color w:val="auto"/>
              </w:rPr>
            </w:pPr>
          </w:p>
        </w:tc>
      </w:tr>
      <w:tr>
        <w:trPr>
          <w:trHeight w:val="33"/>
        </w:trPr>
        <w:tc>
          <w:tcPr>
            <w:tcW w:w="6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8"/>
        </w:trPr>
        <w:tc>
          <w:tcPr>
            <w:tcW w:w="64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Change $</w:t>
            </w:r>
          </w:p>
        </w:tc>
        <w:tc>
          <w:tcPr>
            <w:tcW w:w="13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 Variance</w:t>
            </w:r>
          </w:p>
        </w:tc>
      </w:tr>
      <w:tr>
        <w:trPr>
          <w:trHeight w:val="250"/>
        </w:trPr>
        <w:tc>
          <w:tcPr>
            <w:tcW w:w="6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8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(Dollars in millions)</w:t>
            </w:r>
          </w:p>
        </w:tc>
        <w:tc>
          <w:tcPr>
            <w:tcW w:w="1380" w:type="dxa"/>
            <w:vAlign w:val="bottom"/>
          </w:tcPr>
          <w:p>
            <w:pPr>
              <w:spacing w:after="0"/>
              <w:rPr>
                <w:sz w:val="21"/>
                <w:szCs w:val="21"/>
                <w:color w:val="auto"/>
              </w:rPr>
            </w:pPr>
          </w:p>
        </w:tc>
      </w:tr>
      <w:tr>
        <w:trPr>
          <w:trHeight w:val="256"/>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653.4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645.7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Cost of sales (excluding depreciation and amortization)</w:t>
            </w: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511.3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509.4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3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Restructuring charges</w:t>
            </w: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(0.6)</w:t>
            </w:r>
          </w:p>
        </w:tc>
        <w:tc>
          <w:tcPr>
            <w:tcW w:w="1380" w:type="dxa"/>
            <w:vAlign w:val="bottom"/>
          </w:tcPr>
          <w:p>
            <w:pPr>
              <w:jc w:val="right"/>
              <w:spacing w:after="0"/>
              <w:rPr>
                <w:sz w:val="20"/>
                <w:szCs w:val="20"/>
                <w:color w:val="auto"/>
              </w:rPr>
            </w:pPr>
            <w:r>
              <w:rPr>
                <w:rFonts w:ascii="Arial" w:cs="Arial" w:eastAsia="Arial" w:hAnsi="Arial"/>
                <w:sz w:val="18"/>
                <w:szCs w:val="18"/>
                <w:color w:val="auto"/>
              </w:rPr>
              <w:t>67 %</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Asset impairment charges</w:t>
            </w: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30.0</w:t>
            </w:r>
          </w:p>
        </w:tc>
        <w:tc>
          <w:tcPr>
            <w:tcW w:w="13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6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44"/>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w:t>
            </w:r>
          </w:p>
        </w:tc>
        <w:tc>
          <w:tcPr>
            <w:tcW w:w="1380" w:type="dxa"/>
            <w:vAlign w:val="bottom"/>
          </w:tcPr>
          <w:p>
            <w:pPr>
              <w:jc w:val="right"/>
              <w:spacing w:after="0"/>
              <w:rPr>
                <w:sz w:val="20"/>
                <w:szCs w:val="20"/>
                <w:color w:val="auto"/>
              </w:rPr>
            </w:pPr>
            <w:r>
              <w:rPr>
                <w:rFonts w:ascii="Arial" w:cs="Arial" w:eastAsia="Arial" w:hAnsi="Arial"/>
                <w:sz w:val="18"/>
                <w:szCs w:val="18"/>
                <w:color w:val="auto"/>
              </w:rPr>
              <w:t>(336)%</w:t>
            </w:r>
          </w:p>
        </w:tc>
      </w:tr>
      <w:tr>
        <w:trPr>
          <w:trHeight w:val="27"/>
        </w:trPr>
        <w:tc>
          <w:tcPr>
            <w:tcW w:w="6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57"/>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180 %</w:t>
            </w:r>
          </w:p>
        </w:tc>
      </w:tr>
      <w:tr>
        <w:trPr>
          <w:trHeight w:val="20"/>
        </w:trPr>
        <w:tc>
          <w:tcPr>
            <w:tcW w:w="6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period-over-period results by reportable segment follow.</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Related to Operating Income by Reportable Segment: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NA Fenestration</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gridSpan w:val="4"/>
          </w:tcPr>
          <w:p>
            <w:pPr>
              <w:jc w:val="right"/>
              <w:ind w:right="193"/>
              <w:spacing w:after="0"/>
              <w:rPr>
                <w:sz w:val="20"/>
                <w:szCs w:val="20"/>
                <w:color w:val="auto"/>
              </w:rPr>
            </w:pPr>
            <w:r>
              <w:rPr>
                <w:rFonts w:ascii="Arial" w:cs="Arial" w:eastAsia="Arial" w:hAnsi="Arial"/>
                <w:sz w:val="16"/>
                <w:szCs w:val="16"/>
                <w:b w:val="1"/>
                <w:bCs w:val="1"/>
                <w:color w:val="auto"/>
                <w:w w:val="94"/>
              </w:rPr>
              <w:t>Nine Months Ended July 31,</w:t>
            </w:r>
          </w:p>
        </w:tc>
        <w:tc>
          <w:tcPr>
            <w:tcW w:w="124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8"/>
        </w:trPr>
        <w:tc>
          <w:tcPr>
            <w:tcW w:w="64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8"/>
              </w:rPr>
              <w:t>$ Change</w:t>
            </w: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 Variance</w:t>
            </w:r>
          </w:p>
        </w:tc>
      </w:tr>
      <w:tr>
        <w:trPr>
          <w:trHeight w:val="173"/>
        </w:trPr>
        <w:tc>
          <w:tcPr>
            <w:tcW w:w="6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00" w:type="dxa"/>
            <w:vAlign w:val="bottom"/>
            <w:gridSpan w:val="4"/>
          </w:tcPr>
          <w:p>
            <w:pPr>
              <w:jc w:val="right"/>
              <w:ind w:right="633"/>
              <w:spacing w:after="0"/>
              <w:rPr>
                <w:sz w:val="20"/>
                <w:szCs w:val="20"/>
                <w:color w:val="auto"/>
              </w:rPr>
            </w:pPr>
            <w:r>
              <w:rPr>
                <w:rFonts w:ascii="Arial" w:cs="Arial" w:eastAsia="Arial" w:hAnsi="Arial"/>
                <w:sz w:val="13"/>
                <w:szCs w:val="13"/>
                <w:b w:val="1"/>
                <w:bCs w:val="1"/>
                <w:color w:val="auto"/>
              </w:rPr>
              <w:t>(Dollars in millions)</w:t>
            </w:r>
          </w:p>
        </w:tc>
        <w:tc>
          <w:tcPr>
            <w:tcW w:w="1240" w:type="dxa"/>
            <w:vAlign w:val="bottom"/>
          </w:tcPr>
          <w:p>
            <w:pPr>
              <w:spacing w:after="0"/>
              <w:rPr>
                <w:sz w:val="15"/>
                <w:szCs w:val="15"/>
                <w:color w:val="auto"/>
              </w:rPr>
            </w:pPr>
          </w:p>
        </w:tc>
      </w:tr>
      <w:tr>
        <w:trPr>
          <w:trHeight w:val="259"/>
        </w:trPr>
        <w:tc>
          <w:tcPr>
            <w:tcW w:w="6400" w:type="dxa"/>
            <w:vAlign w:val="bottom"/>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360.6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5"/>
              <w:spacing w:after="0"/>
              <w:rPr>
                <w:sz w:val="20"/>
                <w:szCs w:val="20"/>
                <w:color w:val="auto"/>
              </w:rPr>
            </w:pPr>
            <w:r>
              <w:rPr>
                <w:rFonts w:ascii="Arial" w:cs="Arial" w:eastAsia="Arial" w:hAnsi="Arial"/>
                <w:sz w:val="18"/>
                <w:szCs w:val="18"/>
                <w:color w:val="auto"/>
              </w:rPr>
              <w:t>350.3</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10.3</w:t>
            </w:r>
          </w:p>
        </w:tc>
        <w:tc>
          <w:tcPr>
            <w:tcW w:w="1240" w:type="dxa"/>
            <w:vAlign w:val="bottom"/>
          </w:tcPr>
          <w:p>
            <w:pPr>
              <w:jc w:val="center"/>
              <w:ind w:left="33"/>
              <w:spacing w:after="0"/>
              <w:rPr>
                <w:sz w:val="20"/>
                <w:szCs w:val="20"/>
                <w:color w:val="auto"/>
              </w:rPr>
            </w:pPr>
            <w:r>
              <w:rPr>
                <w:rFonts w:ascii="Arial" w:cs="Arial" w:eastAsia="Arial" w:hAnsi="Arial"/>
                <w:sz w:val="18"/>
                <w:szCs w:val="18"/>
                <w:color w:val="auto"/>
                <w:w w:val="92"/>
              </w:rPr>
              <w:t>3%</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(excluding 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278.9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269.6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w:t>
            </w:r>
          </w:p>
        </w:tc>
        <w:tc>
          <w:tcPr>
            <w:tcW w:w="1240" w:type="dxa"/>
            <w:vAlign w:val="bottom"/>
            <w:tcBorders>
              <w:bottom w:val="single" w:sz="8" w:color="CCEEFF"/>
            </w:tcBorders>
            <w:shd w:val="clear" w:color="auto" w:fill="CCEEFF"/>
          </w:tcPr>
          <w:p>
            <w:pPr>
              <w:jc w:val="center"/>
              <w:ind w:left="33"/>
              <w:spacing w:after="0"/>
              <w:rPr>
                <w:sz w:val="20"/>
                <w:szCs w:val="20"/>
                <w:color w:val="auto"/>
              </w:rPr>
            </w:pPr>
            <w:r>
              <w:rPr>
                <w:rFonts w:ascii="Arial" w:cs="Arial" w:eastAsia="Arial" w:hAnsi="Arial"/>
                <w:sz w:val="18"/>
                <w:szCs w:val="18"/>
                <w:color w:val="auto"/>
                <w:w w:val="94"/>
              </w:rPr>
              <w:t>(3)%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5"/>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1240" w:type="dxa"/>
            <w:vAlign w:val="bottom"/>
          </w:tcPr>
          <w:p>
            <w:pPr>
              <w:jc w:val="center"/>
              <w:ind w:left="33"/>
              <w:spacing w:after="0"/>
              <w:rPr>
                <w:sz w:val="20"/>
                <w:szCs w:val="20"/>
                <w:color w:val="auto"/>
              </w:rPr>
            </w:pPr>
            <w:r>
              <w:rPr>
                <w:rFonts w:ascii="Arial" w:cs="Arial" w:eastAsia="Arial" w:hAnsi="Arial"/>
                <w:sz w:val="18"/>
                <w:szCs w:val="18"/>
                <w:color w:val="auto"/>
                <w:w w:val="92"/>
              </w:rPr>
              <w:t>5%</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4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94"/>
              </w:rPr>
              <w:t>63%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5"/>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w:t>
            </w:r>
          </w:p>
        </w:tc>
        <w:tc>
          <w:tcPr>
            <w:tcW w:w="1240" w:type="dxa"/>
            <w:vAlign w:val="bottom"/>
          </w:tcPr>
          <w:p>
            <w:pPr>
              <w:jc w:val="center"/>
              <w:ind w:left="33"/>
              <w:spacing w:after="0"/>
              <w:rPr>
                <w:sz w:val="20"/>
                <w:szCs w:val="20"/>
                <w:color w:val="auto"/>
              </w:rPr>
            </w:pPr>
            <w:r>
              <w:rPr>
                <w:rFonts w:ascii="Arial" w:cs="Arial" w:eastAsia="Arial" w:hAnsi="Arial"/>
                <w:sz w:val="18"/>
                <w:szCs w:val="18"/>
                <w:color w:val="auto"/>
                <w:w w:val="92"/>
              </w:rPr>
              <w:t>2%</w:t>
            </w:r>
          </w:p>
        </w:tc>
      </w:tr>
      <w:tr>
        <w:trPr>
          <w:trHeight w:val="27"/>
        </w:trPr>
        <w:tc>
          <w:tcPr>
            <w:tcW w:w="6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4.0</w:t>
            </w:r>
          </w:p>
        </w:tc>
        <w:tc>
          <w:tcPr>
            <w:tcW w:w="124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94"/>
              </w:rPr>
              <w:t>20%</w:t>
            </w:r>
          </w:p>
        </w:tc>
      </w:tr>
      <w:tr>
        <w:trPr>
          <w:trHeight w:val="20"/>
        </w:trPr>
        <w:tc>
          <w:tcPr>
            <w:tcW w:w="6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Operating income margin</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increased $10.3 million, or 3%, for the nine months ended July 31, 2019 compared to the same period in 2018. We experienced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$5.6 million related to price, $3.9 million of revenue growth driven both by new volume and market growth, and an increase of $0.9 million related to surcharges.</w:t>
      </w:r>
    </w:p>
    <w:p>
      <w:pPr>
        <w:spacing w:after="0" w:line="100"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The cost of sales increased $9.3 million, or 3%, when comparing the nine months ended July 31, 2019 to the same period in 2018. Cost of</w:t>
      </w:r>
      <w:r>
        <w:rPr>
          <w:rFonts w:ascii="Arial" w:cs="Arial" w:eastAsia="Arial" w:hAnsi="Arial"/>
          <w:sz w:val="18"/>
          <w:szCs w:val="18"/>
          <w:i w:val="1"/>
          <w:iCs w:val="1"/>
          <w:color w:val="auto"/>
        </w:rPr>
        <w:t xml:space="preserve"> </w:t>
      </w:r>
      <w:r>
        <w:rPr>
          <w:rFonts w:ascii="Arial" w:cs="Arial" w:eastAsia="Arial" w:hAnsi="Arial"/>
          <w:sz w:val="18"/>
          <w:szCs w:val="18"/>
          <w:color w:val="auto"/>
        </w:rPr>
        <w:t>sales increased due to the corresponding increase in volume coupled with inflationary cost increases. A portion of the raw material increases are recovered through surcharges.</w:t>
      </w:r>
    </w:p>
    <w:p>
      <w:pPr>
        <w:spacing w:after="0" w:line="100"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i w:val="1"/>
          <w:iCs w:val="1"/>
          <w:color w:val="auto"/>
        </w:rPr>
        <w:t>Selling, General and Administrative. S</w:t>
      </w:r>
      <w:r>
        <w:rPr>
          <w:rFonts w:ascii="Arial" w:cs="Arial" w:eastAsia="Arial" w:hAnsi="Arial"/>
          <w:sz w:val="16"/>
          <w:szCs w:val="16"/>
          <w:color w:val="auto"/>
        </w:rPr>
        <w:t>elling, general and administrative expenses decreased $2.1 million, or 5%, when comparing the nine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July 31, 2019 to the same period in 2018. This decrease was due primarily to lower compensation expenses as a result of a reduction in headcount.</w:t>
      </w:r>
    </w:p>
    <w:p>
      <w:pPr>
        <w:spacing w:after="0" w:line="4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i w:val="1"/>
          <w:iCs w:val="1"/>
          <w:color w:val="auto"/>
        </w:rPr>
        <w:t xml:space="preserve">Restructuring Charges. </w:t>
      </w:r>
      <w:r>
        <w:rPr>
          <w:rFonts w:ascii="Arial" w:cs="Arial" w:eastAsia="Arial" w:hAnsi="Arial"/>
          <w:sz w:val="17"/>
          <w:szCs w:val="17"/>
          <w:color w:val="auto"/>
        </w:rPr>
        <w:t>Restructuring charges of $0.3 million incurred during the nine months ended July 31, 2019 primarily relate to facility lease</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related to a vinyl extrusion plant which was closed in January 2017 in the U.S. that has not been sublet or otherwise exited as of July 31, 2019. Restructuring charges of $0.8 million incurred for the nine months ended July 31, 2018 relate to two such plants in the prior year.</w:t>
      </w:r>
    </w:p>
    <w:p>
      <w:pPr>
        <w:spacing w:after="0" w:line="8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decreased $0.4 million when comparing the nine months ended July 31, 2019</w:t>
      </w:r>
      <w:r>
        <w:rPr>
          <w:rFonts w:ascii="Arial" w:cs="Arial" w:eastAsia="Arial" w:hAnsi="Arial"/>
          <w:sz w:val="18"/>
          <w:szCs w:val="18"/>
          <w:i w:val="1"/>
          <w:iCs w:val="1"/>
          <w:color w:val="auto"/>
        </w:rPr>
        <w:t xml:space="preserve"> </w:t>
      </w:r>
      <w:r>
        <w:rPr>
          <w:rFonts w:ascii="Arial" w:cs="Arial" w:eastAsia="Arial" w:hAnsi="Arial"/>
          <w:sz w:val="18"/>
          <w:szCs w:val="18"/>
          <w:color w:val="auto"/>
        </w:rPr>
        <w:t>and 2018, reflecting the run-off of depreciation expense related to existing assets and disposals during the period.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EU Fenestration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gridSpan w:val="4"/>
          </w:tcPr>
          <w:p>
            <w:pPr>
              <w:jc w:val="right"/>
              <w:ind w:right="194"/>
              <w:spacing w:after="0"/>
              <w:rPr>
                <w:sz w:val="20"/>
                <w:szCs w:val="20"/>
                <w:color w:val="auto"/>
              </w:rPr>
            </w:pPr>
            <w:r>
              <w:rPr>
                <w:rFonts w:ascii="Arial" w:cs="Arial" w:eastAsia="Arial" w:hAnsi="Arial"/>
                <w:sz w:val="16"/>
                <w:szCs w:val="16"/>
                <w:b w:val="1"/>
                <w:bCs w:val="1"/>
                <w:color w:val="auto"/>
                <w:w w:val="94"/>
              </w:rPr>
              <w:t>Nine Months Ended July 31,</w:t>
            </w:r>
          </w:p>
        </w:tc>
        <w:tc>
          <w:tcPr>
            <w:tcW w:w="124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8"/>
        </w:trPr>
        <w:tc>
          <w:tcPr>
            <w:tcW w:w="64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8"/>
              </w:rPr>
              <w:t>$ Change</w:t>
            </w: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Variance %</w:t>
            </w:r>
          </w:p>
        </w:tc>
      </w:tr>
      <w:tr>
        <w:trPr>
          <w:trHeight w:val="173"/>
        </w:trPr>
        <w:tc>
          <w:tcPr>
            <w:tcW w:w="6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00" w:type="dxa"/>
            <w:vAlign w:val="bottom"/>
            <w:gridSpan w:val="4"/>
          </w:tcPr>
          <w:p>
            <w:pPr>
              <w:jc w:val="right"/>
              <w:ind w:right="634"/>
              <w:spacing w:after="0"/>
              <w:rPr>
                <w:sz w:val="20"/>
                <w:szCs w:val="20"/>
                <w:color w:val="auto"/>
              </w:rPr>
            </w:pPr>
            <w:r>
              <w:rPr>
                <w:rFonts w:ascii="Arial" w:cs="Arial" w:eastAsia="Arial" w:hAnsi="Arial"/>
                <w:sz w:val="13"/>
                <w:szCs w:val="13"/>
                <w:b w:val="1"/>
                <w:bCs w:val="1"/>
                <w:color w:val="auto"/>
              </w:rPr>
              <w:t>(Dollars in millions)</w:t>
            </w:r>
          </w:p>
        </w:tc>
        <w:tc>
          <w:tcPr>
            <w:tcW w:w="1240" w:type="dxa"/>
            <w:vAlign w:val="bottom"/>
          </w:tcPr>
          <w:p>
            <w:pPr>
              <w:spacing w:after="0"/>
              <w:rPr>
                <w:sz w:val="15"/>
                <w:szCs w:val="15"/>
                <w:color w:val="auto"/>
              </w:rPr>
            </w:pPr>
          </w:p>
        </w:tc>
      </w:tr>
      <w:tr>
        <w:trPr>
          <w:trHeight w:val="259"/>
        </w:trPr>
        <w:tc>
          <w:tcPr>
            <w:tcW w:w="6400" w:type="dxa"/>
            <w:vAlign w:val="bottom"/>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3"/>
              <w:spacing w:after="0"/>
              <w:rPr>
                <w:sz w:val="20"/>
                <w:szCs w:val="20"/>
                <w:color w:val="auto"/>
              </w:rPr>
            </w:pPr>
            <w:r>
              <w:rPr>
                <w:rFonts w:ascii="Arial" w:cs="Arial" w:eastAsia="Arial" w:hAnsi="Arial"/>
                <w:sz w:val="18"/>
                <w:szCs w:val="18"/>
                <w:color w:val="auto"/>
              </w:rPr>
              <w:t>121.2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6"/>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5.7</w:t>
            </w:r>
          </w:p>
        </w:tc>
        <w:tc>
          <w:tcPr>
            <w:tcW w:w="1240" w:type="dxa"/>
            <w:vAlign w:val="bottom"/>
          </w:tcPr>
          <w:p>
            <w:pPr>
              <w:jc w:val="center"/>
              <w:ind w:left="34"/>
              <w:spacing w:after="0"/>
              <w:rPr>
                <w:sz w:val="20"/>
                <w:szCs w:val="20"/>
                <w:color w:val="auto"/>
              </w:rPr>
            </w:pPr>
            <w:r>
              <w:rPr>
                <w:rFonts w:ascii="Arial" w:cs="Arial" w:eastAsia="Arial" w:hAnsi="Arial"/>
                <w:sz w:val="18"/>
                <w:szCs w:val="18"/>
                <w:color w:val="auto"/>
                <w:w w:val="92"/>
              </w:rPr>
              <w:t>5%</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(excluding 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0.8</w:t>
            </w:r>
          </w:p>
        </w:tc>
        <w:tc>
          <w:tcPr>
            <w:tcW w:w="1240" w:type="dxa"/>
            <w:vAlign w:val="bottom"/>
            <w:tcBorders>
              <w:bottom w:val="single" w:sz="8" w:color="CCEEFF"/>
            </w:tcBorders>
            <w:shd w:val="clear" w:color="auto" w:fill="CCEEFF"/>
          </w:tcPr>
          <w:p>
            <w:pPr>
              <w:jc w:val="center"/>
              <w:ind w:left="34"/>
              <w:spacing w:after="0"/>
              <w:rPr>
                <w:sz w:val="20"/>
                <w:szCs w:val="20"/>
                <w:color w:val="auto"/>
              </w:rPr>
            </w:pPr>
            <w:r>
              <w:rPr>
                <w:rFonts w:ascii="Arial" w:cs="Arial" w:eastAsia="Arial" w:hAnsi="Arial"/>
                <w:sz w:val="18"/>
                <w:szCs w:val="18"/>
                <w:color w:val="auto"/>
                <w:w w:val="94"/>
              </w:rPr>
              <w:t>(1)%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940" w:type="dxa"/>
            <w:vAlign w:val="bottom"/>
          </w:tcPr>
          <w:p>
            <w:pPr>
              <w:jc w:val="right"/>
              <w:ind w:right="113"/>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6"/>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0.6</w:t>
            </w:r>
          </w:p>
        </w:tc>
        <w:tc>
          <w:tcPr>
            <w:tcW w:w="1240" w:type="dxa"/>
            <w:vAlign w:val="bottom"/>
          </w:tcPr>
          <w:p>
            <w:pPr>
              <w:jc w:val="center"/>
              <w:ind w:left="34"/>
              <w:spacing w:after="0"/>
              <w:rPr>
                <w:sz w:val="20"/>
                <w:szCs w:val="20"/>
                <w:color w:val="auto"/>
              </w:rPr>
            </w:pPr>
            <w:r>
              <w:rPr>
                <w:rFonts w:ascii="Arial" w:cs="Arial" w:eastAsia="Arial" w:hAnsi="Arial"/>
                <w:sz w:val="18"/>
                <w:szCs w:val="18"/>
                <w:color w:val="auto"/>
                <w:w w:val="94"/>
              </w:rPr>
              <w:t>(4)%</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40" w:type="dxa"/>
            <w:vAlign w:val="bottom"/>
            <w:tcBorders>
              <w:bottom w:val="single" w:sz="8" w:color="CCEEFF"/>
            </w:tcBorders>
            <w:shd w:val="clear" w:color="auto" w:fill="CCEEFF"/>
          </w:tcPr>
          <w:p>
            <w:pPr>
              <w:jc w:val="center"/>
              <w:ind w:left="34"/>
              <w:spacing w:after="0"/>
              <w:rPr>
                <w:sz w:val="20"/>
                <w:szCs w:val="20"/>
                <w:color w:val="auto"/>
              </w:rPr>
            </w:pPr>
            <w:r>
              <w:rPr>
                <w:rFonts w:ascii="Arial" w:cs="Arial" w:eastAsia="Arial" w:hAnsi="Arial"/>
                <w:sz w:val="18"/>
                <w:szCs w:val="18"/>
                <w:color w:val="auto"/>
                <w:w w:val="92"/>
              </w:rPr>
              <w:t>8%</w:t>
            </w:r>
          </w:p>
        </w:tc>
      </w:tr>
      <w:tr>
        <w:trPr>
          <w:trHeight w:val="297"/>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4.9</w:t>
            </w:r>
          </w:p>
        </w:tc>
        <w:tc>
          <w:tcPr>
            <w:tcW w:w="1240" w:type="dxa"/>
            <w:vAlign w:val="bottom"/>
            <w:tcBorders>
              <w:bottom w:val="single" w:sz="8" w:color="CCEEFF"/>
            </w:tcBorders>
          </w:tcPr>
          <w:p>
            <w:pPr>
              <w:jc w:val="center"/>
              <w:ind w:left="14"/>
              <w:spacing w:after="0"/>
              <w:rPr>
                <w:sz w:val="20"/>
                <w:szCs w:val="20"/>
                <w:color w:val="auto"/>
              </w:rPr>
            </w:pPr>
            <w:r>
              <w:rPr>
                <w:rFonts w:ascii="Arial" w:cs="Arial" w:eastAsia="Arial" w:hAnsi="Arial"/>
                <w:sz w:val="18"/>
                <w:szCs w:val="18"/>
                <w:color w:val="auto"/>
                <w:w w:val="94"/>
              </w:rPr>
              <w:t>60%</w:t>
            </w:r>
          </w:p>
        </w:tc>
      </w:tr>
      <w:tr>
        <w:trPr>
          <w:trHeight w:val="230"/>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income margin</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7"/>
        </w:trPr>
        <w:tc>
          <w:tcPr>
            <w:tcW w:w="64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increased $5.7 million, or 5%, when comparing the nine months ended July 31, 2019 to the same period in 2018. This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reflects $6.8 million of volume increases and $5.4 million of base price increases, partially offset by $6.5 million of unfavorable foreign currency rate changes.</w:t>
      </w:r>
    </w:p>
    <w:p>
      <w:pPr>
        <w:spacing w:after="0" w:line="100"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i w:val="1"/>
          <w:iCs w:val="1"/>
          <w:color w:val="auto"/>
        </w:rPr>
        <w:t xml:space="preserve">Cost of Sales. </w:t>
      </w:r>
      <w:r>
        <w:rPr>
          <w:rFonts w:ascii="Arial" w:cs="Arial" w:eastAsia="Arial" w:hAnsi="Arial"/>
          <w:sz w:val="16"/>
          <w:szCs w:val="16"/>
          <w:color w:val="auto"/>
        </w:rPr>
        <w:t>The cost of sales increased $0.8 million, or 1%, for the nine months ended July 31, 2019 compared to the same period in 2018. The</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was primarily attributable to a corresponding increase in volume of products sold, partially offset by foreign currency exchange rate changes.</w:t>
      </w:r>
    </w:p>
    <w:p>
      <w:pPr>
        <w:spacing w:after="0" w:line="4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expense decreased $0.6 million for the nine months ended July 31, 2019</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in 2018 due to foreign currency exchange rate changes.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for the nine months ended July 31, 2019 declined $0.6 million, or 8%, when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in 2018 due to exchange rate changes coupled with assets becoming fully depreciated.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NA Cabinet Components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gridSpan w:val="4"/>
          </w:tcPr>
          <w:p>
            <w:pPr>
              <w:jc w:val="right"/>
              <w:ind w:right="213"/>
              <w:spacing w:after="0"/>
              <w:rPr>
                <w:sz w:val="20"/>
                <w:szCs w:val="20"/>
                <w:color w:val="auto"/>
              </w:rPr>
            </w:pPr>
            <w:r>
              <w:rPr>
                <w:rFonts w:ascii="Arial" w:cs="Arial" w:eastAsia="Arial" w:hAnsi="Arial"/>
                <w:sz w:val="16"/>
                <w:szCs w:val="16"/>
                <w:b w:val="1"/>
                <w:bCs w:val="1"/>
                <w:color w:val="auto"/>
                <w:w w:val="93"/>
              </w:rPr>
              <w:t>Nine Months Ended July 31,</w:t>
            </w:r>
          </w:p>
        </w:tc>
        <w:tc>
          <w:tcPr>
            <w:tcW w:w="1240" w:type="dxa"/>
            <w:vAlign w:val="bottom"/>
          </w:tcPr>
          <w:p>
            <w:pPr>
              <w:spacing w:after="0"/>
              <w:rPr>
                <w:sz w:val="18"/>
                <w:szCs w:val="18"/>
                <w:color w:val="auto"/>
              </w:rPr>
            </w:pPr>
          </w:p>
        </w:tc>
      </w:tr>
      <w:tr>
        <w:trPr>
          <w:trHeight w:val="33"/>
        </w:trPr>
        <w:tc>
          <w:tcPr>
            <w:tcW w:w="6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8"/>
        </w:trPr>
        <w:tc>
          <w:tcPr>
            <w:tcW w:w="63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8"/>
              </w:rPr>
              <w:t>$ Change</w:t>
            </w: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Variance %</w:t>
            </w:r>
          </w:p>
        </w:tc>
      </w:tr>
      <w:tr>
        <w:trPr>
          <w:trHeight w:val="173"/>
        </w:trPr>
        <w:tc>
          <w:tcPr>
            <w:tcW w:w="6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00" w:type="dxa"/>
            <w:vAlign w:val="bottom"/>
            <w:gridSpan w:val="4"/>
          </w:tcPr>
          <w:p>
            <w:pPr>
              <w:jc w:val="right"/>
              <w:ind w:right="653"/>
              <w:spacing w:after="0"/>
              <w:rPr>
                <w:sz w:val="20"/>
                <w:szCs w:val="20"/>
                <w:color w:val="auto"/>
              </w:rPr>
            </w:pPr>
            <w:r>
              <w:rPr>
                <w:rFonts w:ascii="Arial" w:cs="Arial" w:eastAsia="Arial" w:hAnsi="Arial"/>
                <w:sz w:val="13"/>
                <w:szCs w:val="13"/>
                <w:b w:val="1"/>
                <w:bCs w:val="1"/>
                <w:color w:val="auto"/>
              </w:rPr>
              <w:t>(Dollars in millions)</w:t>
            </w:r>
          </w:p>
        </w:tc>
        <w:tc>
          <w:tcPr>
            <w:tcW w:w="1240" w:type="dxa"/>
            <w:vAlign w:val="bottom"/>
          </w:tcPr>
          <w:p>
            <w:pPr>
              <w:spacing w:after="0"/>
              <w:rPr>
                <w:sz w:val="15"/>
                <w:szCs w:val="15"/>
                <w:color w:val="auto"/>
              </w:rPr>
            </w:pPr>
          </w:p>
        </w:tc>
      </w:tr>
      <w:tr>
        <w:trPr>
          <w:trHeight w:val="259"/>
        </w:trPr>
        <w:tc>
          <w:tcPr>
            <w:tcW w:w="6360" w:type="dxa"/>
            <w:vAlign w:val="bottom"/>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175.4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5"/>
              <w:spacing w:after="0"/>
              <w:rPr>
                <w:sz w:val="20"/>
                <w:szCs w:val="20"/>
                <w:color w:val="auto"/>
              </w:rPr>
            </w:pPr>
            <w:r>
              <w:rPr>
                <w:rFonts w:ascii="Arial" w:cs="Arial" w:eastAsia="Arial" w:hAnsi="Arial"/>
                <w:sz w:val="18"/>
                <w:szCs w:val="18"/>
                <w:color w:val="auto"/>
              </w:rPr>
              <w:t>183.7</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(8.3)</w:t>
            </w:r>
          </w:p>
        </w:tc>
        <w:tc>
          <w:tcPr>
            <w:tcW w:w="1240" w:type="dxa"/>
            <w:vAlign w:val="bottom"/>
          </w:tcPr>
          <w:p>
            <w:pPr>
              <w:jc w:val="center"/>
              <w:ind w:left="33"/>
              <w:spacing w:after="0"/>
              <w:rPr>
                <w:sz w:val="20"/>
                <w:szCs w:val="20"/>
                <w:color w:val="auto"/>
              </w:rPr>
            </w:pPr>
            <w:r>
              <w:rPr>
                <w:rFonts w:ascii="Arial" w:cs="Arial" w:eastAsia="Arial" w:hAnsi="Arial"/>
                <w:sz w:val="18"/>
                <w:szCs w:val="18"/>
                <w:color w:val="auto"/>
                <w:w w:val="94"/>
              </w:rPr>
              <w:t>(5)%</w:t>
            </w:r>
          </w:p>
        </w:tc>
      </w:tr>
      <w:tr>
        <w:trPr>
          <w:trHeight w:val="27"/>
        </w:trPr>
        <w:tc>
          <w:tcPr>
            <w:tcW w:w="6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(excluding 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150.9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159.2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40" w:type="dxa"/>
            <w:vAlign w:val="bottom"/>
            <w:tcBorders>
              <w:bottom w:val="single" w:sz="8" w:color="CCEEFF"/>
            </w:tcBorders>
            <w:shd w:val="clear" w:color="auto" w:fill="CCEEFF"/>
          </w:tcPr>
          <w:p>
            <w:pPr>
              <w:jc w:val="center"/>
              <w:ind w:left="33"/>
              <w:spacing w:after="0"/>
              <w:rPr>
                <w:sz w:val="20"/>
                <w:szCs w:val="20"/>
                <w:color w:val="auto"/>
              </w:rPr>
            </w:pPr>
            <w:r>
              <w:rPr>
                <w:rFonts w:ascii="Arial" w:cs="Arial" w:eastAsia="Arial" w:hAnsi="Arial"/>
                <w:sz w:val="18"/>
                <w:szCs w:val="18"/>
                <w:color w:val="auto"/>
                <w:w w:val="92"/>
              </w:rPr>
              <w:t>5%</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1"/>
                <w:szCs w:val="21"/>
                <w:color w:val="auto"/>
              </w:rPr>
            </w:pP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5"/>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1.5</w:t>
            </w:r>
          </w:p>
        </w:tc>
        <w:tc>
          <w:tcPr>
            <w:tcW w:w="1240" w:type="dxa"/>
            <w:vAlign w:val="bottom"/>
          </w:tcPr>
          <w:p>
            <w:pPr>
              <w:jc w:val="center"/>
              <w:ind w:left="13"/>
              <w:spacing w:after="0"/>
              <w:rPr>
                <w:sz w:val="20"/>
                <w:szCs w:val="20"/>
                <w:color w:val="auto"/>
              </w:rPr>
            </w:pPr>
            <w:r>
              <w:rPr>
                <w:rFonts w:ascii="Arial" w:cs="Arial" w:eastAsia="Arial" w:hAnsi="Arial"/>
                <w:sz w:val="18"/>
                <w:szCs w:val="18"/>
                <w:color w:val="auto"/>
                <w:w w:val="95"/>
              </w:rPr>
              <w:t>(12)%</w:t>
            </w:r>
          </w:p>
        </w:tc>
      </w:tr>
      <w:tr>
        <w:trPr>
          <w:trHeight w:val="27"/>
        </w:trPr>
        <w:tc>
          <w:tcPr>
            <w:tcW w:w="6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4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91"/>
              </w:rPr>
              <w:t>100%</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5"/>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1240" w:type="dxa"/>
            <w:vAlign w:val="bottom"/>
          </w:tcPr>
          <w:p>
            <w:pPr>
              <w:jc w:val="center"/>
              <w:ind w:left="33"/>
              <w:spacing w:after="0"/>
              <w:rPr>
                <w:sz w:val="20"/>
                <w:szCs w:val="20"/>
                <w:color w:val="auto"/>
              </w:rPr>
            </w:pPr>
            <w:r>
              <w:rPr>
                <w:rFonts w:ascii="Arial" w:cs="Arial" w:eastAsia="Arial" w:hAnsi="Arial"/>
                <w:sz w:val="18"/>
                <w:szCs w:val="18"/>
                <w:color w:val="auto"/>
                <w:w w:val="92"/>
              </w:rPr>
              <w:t>9%</w:t>
            </w:r>
          </w:p>
        </w:tc>
      </w:tr>
      <w:tr>
        <w:trPr>
          <w:trHeight w:val="27"/>
        </w:trPr>
        <w:tc>
          <w:tcPr>
            <w:tcW w:w="6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impairment charges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30.0</w:t>
            </w:r>
          </w:p>
        </w:tc>
        <w:tc>
          <w:tcPr>
            <w:tcW w:w="124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92"/>
              </w:rPr>
              <w:t>(100)%</w:t>
            </w:r>
          </w:p>
        </w:tc>
      </w:tr>
      <w:tr>
        <w:trPr>
          <w:trHeight w:val="297"/>
        </w:trPr>
        <w:tc>
          <w:tcPr>
            <w:tcW w:w="63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Operating (loss)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240" w:type="dxa"/>
            <w:vAlign w:val="bottom"/>
            <w:tcBorders>
              <w:bottom w:val="single" w:sz="8" w:color="CCEEFF"/>
            </w:tcBorders>
          </w:tcPr>
          <w:p>
            <w:pPr>
              <w:jc w:val="center"/>
              <w:ind w:left="33"/>
              <w:spacing w:after="0"/>
              <w:rPr>
                <w:sz w:val="20"/>
                <w:szCs w:val="20"/>
                <w:color w:val="auto"/>
              </w:rPr>
            </w:pPr>
            <w:r>
              <w:rPr>
                <w:rFonts w:ascii="Arial" w:cs="Arial" w:eastAsia="Arial" w:hAnsi="Arial"/>
                <w:sz w:val="18"/>
                <w:szCs w:val="18"/>
                <w:color w:val="auto"/>
                <w:w w:val="91"/>
              </w:rPr>
              <w:t>2,764%</w:t>
            </w:r>
          </w:p>
        </w:tc>
      </w:tr>
      <w:tr>
        <w:trPr>
          <w:trHeight w:val="230"/>
        </w:trPr>
        <w:tc>
          <w:tcPr>
            <w:tcW w:w="6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(loss) income margin</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7"/>
        </w:trPr>
        <w:tc>
          <w:tcPr>
            <w:tcW w:w="63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decreased $8.3 million, or 5%, for the nine months ended July 31, 2019 compared to the same period in 2018. On a year-over-year</w:t>
      </w:r>
      <w:r>
        <w:rPr>
          <w:rFonts w:ascii="Arial" w:cs="Arial" w:eastAsia="Arial" w:hAnsi="Arial"/>
          <w:sz w:val="18"/>
          <w:szCs w:val="18"/>
          <w:i w:val="1"/>
          <w:iCs w:val="1"/>
          <w:color w:val="auto"/>
        </w:rPr>
        <w:t xml:space="preserve"> </w:t>
      </w:r>
      <w:r>
        <w:rPr>
          <w:rFonts w:ascii="Arial" w:cs="Arial" w:eastAsia="Arial" w:hAnsi="Arial"/>
          <w:sz w:val="18"/>
          <w:szCs w:val="18"/>
          <w:color w:val="auto"/>
        </w:rPr>
        <w:t>basis, we realized a decrease of $14.5 million as a result of lower volumes primarily related to the industry shift from semi-custom to stock cabinets, which was partially offset by $4.4 million of price increases and raw material surcharges.</w:t>
      </w:r>
    </w:p>
    <w:p>
      <w:pPr>
        <w:spacing w:after="0" w:line="10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Cost of Sales</w:t>
      </w:r>
      <w:r>
        <w:rPr>
          <w:rFonts w:ascii="Arial" w:cs="Arial" w:eastAsia="Arial" w:hAnsi="Arial"/>
          <w:sz w:val="18"/>
          <w:szCs w:val="18"/>
          <w:color w:val="auto"/>
        </w:rPr>
        <w:t>. Cost of sales decreased $8.3 million, or 5%, for the nine months ended July 31, 2019 compared with the same period in 2018 as a result</w:t>
      </w:r>
      <w:r>
        <w:rPr>
          <w:rFonts w:ascii="Arial" w:cs="Arial" w:eastAsia="Arial" w:hAnsi="Arial"/>
          <w:sz w:val="18"/>
          <w:szCs w:val="18"/>
          <w:i w:val="1"/>
          <w:iCs w:val="1"/>
          <w:color w:val="auto"/>
        </w:rPr>
        <w:t xml:space="preserve"> </w:t>
      </w:r>
      <w:r>
        <w:rPr>
          <w:rFonts w:ascii="Arial" w:cs="Arial" w:eastAsia="Arial" w:hAnsi="Arial"/>
          <w:sz w:val="18"/>
          <w:szCs w:val="18"/>
          <w:color w:val="auto"/>
        </w:rPr>
        <w:t>of lower volume.</w:t>
      </w:r>
    </w:p>
    <w:p>
      <w:pPr>
        <w:spacing w:after="0" w:line="8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i w:val="1"/>
          <w:iCs w:val="1"/>
          <w:color w:val="auto"/>
        </w:rPr>
        <w:t>Selling, General and Administrative</w:t>
      </w:r>
      <w:r>
        <w:rPr>
          <w:rFonts w:ascii="Arial" w:cs="Arial" w:eastAsia="Arial" w:hAnsi="Arial"/>
          <w:sz w:val="18"/>
          <w:szCs w:val="18"/>
          <w:color w:val="auto"/>
        </w:rPr>
        <w:t>. Selling, general and administrative expense increased $1.5 million, or 12%, for the nine months ended July 31,</w:t>
      </w:r>
      <w:r>
        <w:rPr>
          <w:rFonts w:ascii="Arial" w:cs="Arial" w:eastAsia="Arial" w:hAnsi="Arial"/>
          <w:sz w:val="18"/>
          <w:szCs w:val="18"/>
          <w:i w:val="1"/>
          <w:iCs w:val="1"/>
          <w:color w:val="auto"/>
        </w:rPr>
        <w:t xml:space="preserve"> </w:t>
      </w:r>
      <w:r>
        <w:rPr>
          <w:rFonts w:ascii="Arial" w:cs="Arial" w:eastAsia="Arial" w:hAnsi="Arial"/>
          <w:sz w:val="18"/>
          <w:szCs w:val="18"/>
          <w:color w:val="auto"/>
        </w:rPr>
        <w:t>2019 compared to the same period in 2018, largely driven by the timing of incentive accruals and higher benefit costs.</w:t>
      </w:r>
    </w:p>
    <w:p>
      <w:pPr>
        <w:spacing w:after="0" w:line="8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Restructuring Charges</w:t>
      </w:r>
      <w:r>
        <w:rPr>
          <w:rFonts w:ascii="Arial" w:cs="Arial" w:eastAsia="Arial" w:hAnsi="Arial"/>
          <w:sz w:val="18"/>
          <w:szCs w:val="18"/>
          <w:color w:val="auto"/>
        </w:rPr>
        <w:t>. Restructuring charges of $0.1 million in the nine months ended July 31, 2018 represent equipment moving and other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costs associated with the Mexican plant closure effected in October 2016.</w:t>
      </w:r>
    </w:p>
    <w:p>
      <w:pPr>
        <w:spacing w:after="0" w:line="89"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i w:val="1"/>
          <w:iCs w:val="1"/>
          <w:color w:val="auto"/>
        </w:rPr>
        <w:t>Depreciation and Amortization</w:t>
      </w:r>
      <w:r>
        <w:rPr>
          <w:rFonts w:ascii="Arial" w:cs="Arial" w:eastAsia="Arial" w:hAnsi="Arial"/>
          <w:sz w:val="17"/>
          <w:szCs w:val="17"/>
          <w:color w:val="auto"/>
        </w:rPr>
        <w:t>. Depreciation and amortization expense decreased $1.0 million, or 9%, for the nine months ended July 31, 2019</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same period in 2018, reflecting the run-off of depreciation expense related to existing assets and disposals during the period.</w:t>
      </w:r>
    </w:p>
    <w:p>
      <w:pPr>
        <w:spacing w:after="0" w:line="66"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i w:val="1"/>
          <w:iCs w:val="1"/>
          <w:color w:val="auto"/>
        </w:rPr>
        <w:t xml:space="preserve">Asset impairment charges. </w:t>
      </w:r>
      <w:r>
        <w:rPr>
          <w:rFonts w:ascii="Arial" w:cs="Arial" w:eastAsia="Arial" w:hAnsi="Arial"/>
          <w:sz w:val="16"/>
          <w:szCs w:val="16"/>
          <w:color w:val="auto"/>
        </w:rPr>
        <w:t>Asset impairment charges of $30.0 million for the nine months ended July 31, 2019 represent a goodwill impairment which</w:t>
      </w:r>
      <w:r>
        <w:rPr>
          <w:rFonts w:ascii="Arial" w:cs="Arial" w:eastAsia="Arial" w:hAnsi="Arial"/>
          <w:sz w:val="16"/>
          <w:szCs w:val="16"/>
          <w:i w:val="1"/>
          <w:iCs w:val="1"/>
          <w:color w:val="auto"/>
        </w:rPr>
        <w:t xml:space="preserve"> </w:t>
      </w:r>
      <w:r>
        <w:rPr>
          <w:rFonts w:ascii="Arial" w:cs="Arial" w:eastAsia="Arial" w:hAnsi="Arial"/>
          <w:sz w:val="16"/>
          <w:szCs w:val="16"/>
          <w:color w:val="auto"/>
        </w:rPr>
        <w:t>was recorded as a result of an industry-wide shift from custom cabinets to stock cabinets. For additional discussion of this interim assessment, see Note 3, "Goodwill and Intangible Assets," to the accompanying unaudited condensed consolidated financial statements contained elsewhere herein.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Unallocated Corporate &amp; Other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gridSpan w:val="4"/>
          </w:tcPr>
          <w:p>
            <w:pPr>
              <w:jc w:val="right"/>
              <w:ind w:right="134"/>
              <w:spacing w:after="0"/>
              <w:rPr>
                <w:sz w:val="20"/>
                <w:szCs w:val="20"/>
                <w:color w:val="auto"/>
              </w:rPr>
            </w:pPr>
            <w:r>
              <w:rPr>
                <w:rFonts w:ascii="Arial" w:cs="Arial" w:eastAsia="Arial" w:hAnsi="Arial"/>
                <w:sz w:val="16"/>
                <w:szCs w:val="16"/>
                <w:b w:val="1"/>
                <w:bCs w:val="1"/>
                <w:color w:val="auto"/>
                <w:w w:val="93"/>
              </w:rPr>
              <w:t>Nine Months Ended July 31,</w:t>
            </w:r>
          </w:p>
        </w:tc>
        <w:tc>
          <w:tcPr>
            <w:tcW w:w="1240" w:type="dxa"/>
            <w:vAlign w:val="bottom"/>
          </w:tcPr>
          <w:p>
            <w:pPr>
              <w:spacing w:after="0"/>
              <w:rPr>
                <w:sz w:val="18"/>
                <w:szCs w:val="18"/>
                <w:color w:val="auto"/>
              </w:rPr>
            </w:pPr>
          </w:p>
        </w:tc>
      </w:tr>
      <w:tr>
        <w:trPr>
          <w:trHeight w:val="33"/>
        </w:trPr>
        <w:tc>
          <w:tcPr>
            <w:tcW w:w="6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8"/>
        </w:trPr>
        <w:tc>
          <w:tcPr>
            <w:tcW w:w="65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8"/>
              </w:rPr>
              <w:t>$ Change</w:t>
            </w: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Variance %</w:t>
            </w:r>
          </w:p>
        </w:tc>
      </w:tr>
      <w:tr>
        <w:trPr>
          <w:trHeight w:val="173"/>
        </w:trPr>
        <w:tc>
          <w:tcPr>
            <w:tcW w:w="6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20" w:type="dxa"/>
            <w:vAlign w:val="bottom"/>
            <w:gridSpan w:val="4"/>
          </w:tcPr>
          <w:p>
            <w:pPr>
              <w:jc w:val="right"/>
              <w:ind w:right="574"/>
              <w:spacing w:after="0"/>
              <w:rPr>
                <w:sz w:val="20"/>
                <w:szCs w:val="20"/>
                <w:color w:val="auto"/>
              </w:rPr>
            </w:pPr>
            <w:r>
              <w:rPr>
                <w:rFonts w:ascii="Arial" w:cs="Arial" w:eastAsia="Arial" w:hAnsi="Arial"/>
                <w:sz w:val="13"/>
                <w:szCs w:val="13"/>
                <w:b w:val="1"/>
                <w:bCs w:val="1"/>
                <w:color w:val="auto"/>
              </w:rPr>
              <w:t>(Dollars in millions)</w:t>
            </w:r>
          </w:p>
        </w:tc>
        <w:tc>
          <w:tcPr>
            <w:tcW w:w="1240" w:type="dxa"/>
            <w:vAlign w:val="bottom"/>
          </w:tcPr>
          <w:p>
            <w:pPr>
              <w:spacing w:after="0"/>
              <w:rPr>
                <w:sz w:val="15"/>
                <w:szCs w:val="15"/>
                <w:color w:val="auto"/>
              </w:rPr>
            </w:pPr>
          </w:p>
        </w:tc>
      </w:tr>
      <w:tr>
        <w:trPr>
          <w:trHeight w:val="259"/>
        </w:trPr>
        <w:tc>
          <w:tcPr>
            <w:tcW w:w="6520" w:type="dxa"/>
            <w:vAlign w:val="bottom"/>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240" w:type="dxa"/>
            <w:vAlign w:val="bottom"/>
          </w:tcPr>
          <w:p>
            <w:pPr>
              <w:jc w:val="center"/>
              <w:ind w:left="14"/>
              <w:spacing w:after="0"/>
              <w:rPr>
                <w:sz w:val="20"/>
                <w:szCs w:val="20"/>
                <w:color w:val="auto"/>
              </w:rPr>
            </w:pPr>
            <w:r>
              <w:rPr>
                <w:rFonts w:ascii="Arial" w:cs="Arial" w:eastAsia="Arial" w:hAnsi="Arial"/>
                <w:sz w:val="18"/>
                <w:szCs w:val="18"/>
                <w:color w:val="auto"/>
                <w:w w:val="99"/>
              </w:rPr>
              <w:t>—%</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(excluding 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w:t>
            </w:r>
          </w:p>
        </w:tc>
        <w:tc>
          <w:tcPr>
            <w:tcW w:w="1240" w:type="dxa"/>
            <w:vAlign w:val="bottom"/>
            <w:tcBorders>
              <w:bottom w:val="single" w:sz="8" w:color="CCEEFF"/>
            </w:tcBorders>
            <w:shd w:val="clear" w:color="auto" w:fill="CCEEFF"/>
          </w:tcPr>
          <w:p>
            <w:pPr>
              <w:jc w:val="center"/>
              <w:ind w:left="34"/>
              <w:spacing w:after="0"/>
              <w:rPr>
                <w:sz w:val="20"/>
                <w:szCs w:val="20"/>
                <w:color w:val="auto"/>
              </w:rPr>
            </w:pPr>
            <w:r>
              <w:rPr>
                <w:rFonts w:ascii="Arial" w:cs="Arial" w:eastAsia="Arial" w:hAnsi="Arial"/>
                <w:sz w:val="18"/>
                <w:szCs w:val="18"/>
                <w:color w:val="auto"/>
                <w:w w:val="94"/>
              </w:rPr>
              <w:t>(4)%</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5.2</w:t>
            </w:r>
          </w:p>
        </w:tc>
        <w:tc>
          <w:tcPr>
            <w:tcW w:w="1240" w:type="dxa"/>
            <w:vAlign w:val="bottom"/>
          </w:tcPr>
          <w:p>
            <w:pPr>
              <w:jc w:val="center"/>
              <w:ind w:left="14"/>
              <w:spacing w:after="0"/>
              <w:rPr>
                <w:sz w:val="20"/>
                <w:szCs w:val="20"/>
                <w:color w:val="auto"/>
              </w:rPr>
            </w:pPr>
            <w:r>
              <w:rPr>
                <w:rFonts w:ascii="Arial" w:cs="Arial" w:eastAsia="Arial" w:hAnsi="Arial"/>
                <w:sz w:val="18"/>
                <w:szCs w:val="18"/>
                <w:color w:val="auto"/>
                <w:w w:val="92"/>
              </w:rPr>
              <w:t>(141)%</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4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w w:val="94"/>
              </w:rPr>
              <w:t>25%</w:t>
            </w: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40" w:type="dxa"/>
            <w:vAlign w:val="bottom"/>
          </w:tcPr>
          <w:p>
            <w:pPr>
              <w:jc w:val="center"/>
              <w:ind w:left="14"/>
              <w:spacing w:after="0"/>
              <w:rPr>
                <w:sz w:val="20"/>
                <w:szCs w:val="20"/>
                <w:color w:val="auto"/>
              </w:rPr>
            </w:pPr>
            <w:r>
              <w:rPr>
                <w:rFonts w:ascii="Arial" w:cs="Arial" w:eastAsia="Arial" w:hAnsi="Arial"/>
                <w:sz w:val="18"/>
                <w:szCs w:val="18"/>
                <w:color w:val="auto"/>
                <w:w w:val="92"/>
              </w:rPr>
              <w:t>(100)%</w:t>
            </w: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Net sales for Unallocated Corporate &amp; Other represents the elimination of inter-segment sales for the nine months ended July 31, 2019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157" w:lineRule="exact"/>
        <w:rPr>
          <w:sz w:val="20"/>
          <w:szCs w:val="20"/>
          <w:color w:val="auto"/>
        </w:rPr>
      </w:pPr>
    </w:p>
    <w:p>
      <w:pPr>
        <w:jc w:val="center"/>
        <w:ind w:right="-159"/>
        <w:spacing w:after="0"/>
        <w:rPr>
          <w:sz w:val="20"/>
          <w:szCs w:val="20"/>
          <w:color w:val="auto"/>
        </w:rPr>
      </w:pPr>
      <w:r>
        <w:rPr>
          <w:rFonts w:ascii="Arial" w:cs="Arial" w:eastAsia="Arial" w:hAnsi="Arial"/>
          <w:sz w:val="17"/>
          <w:szCs w:val="17"/>
          <w:i w:val="1"/>
          <w:iCs w:val="1"/>
          <w:color w:val="auto"/>
        </w:rPr>
        <w:t>Cost of Sales</w:t>
      </w:r>
      <w:r>
        <w:rPr>
          <w:rFonts w:ascii="Arial" w:cs="Arial" w:eastAsia="Arial" w:hAnsi="Arial"/>
          <w:sz w:val="17"/>
          <w:szCs w:val="17"/>
          <w:color w:val="auto"/>
        </w:rPr>
        <w:t>. Cost of sales for Unallocated Corporate &amp; Other consists of the elimination of inter-segment sales, profit in inventory, and other costs.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i w:val="1"/>
          <w:iCs w:val="1"/>
          <w:color w:val="auto"/>
        </w:rPr>
        <w:t>Selling, General and Administrative</w:t>
      </w:r>
      <w:r>
        <w:rPr>
          <w:rFonts w:ascii="Arial" w:cs="Arial" w:eastAsia="Arial" w:hAnsi="Arial"/>
          <w:sz w:val="16"/>
          <w:szCs w:val="16"/>
          <w:color w:val="auto"/>
        </w:rPr>
        <w:t>. Selling, general and administrative expenses increased $5.2 million for the nine months ended July 31, 2019</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same period in 2018. This increase is attributable to (i) $2.2 million of higher compensation expense primarily related to the valuations of our stock based compensation awards, (ii) higher severance expense of $1.9 million related to executive severance and headcount reduction, and (iii) $1.3 million of higher medical expenses due to a higher claims experience during the nine months ended July 31, 2019 as compared to the prior year period.</w:t>
      </w:r>
    </w:p>
    <w:p>
      <w:pPr>
        <w:spacing w:after="0" w:line="10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remained flat for the nine months ended July 31, 2019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2018, reflecting the run-off of depreciation expense related to existing assets and disposals during the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related to Non-Operating Items:</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remained flat for the nine months ended July 31, 2019 compared to the same period in 2018.</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Other, net</w:t>
      </w:r>
      <w:r>
        <w:rPr>
          <w:rFonts w:ascii="Arial" w:cs="Arial" w:eastAsia="Arial" w:hAnsi="Arial"/>
          <w:sz w:val="18"/>
          <w:szCs w:val="18"/>
          <w:color w:val="auto"/>
        </w:rPr>
        <w:t>. The decrease in other, net of $0.5 million at July 31, 2019 compared to the same period in 2018 relates primarily to a decrease in net pension</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benefits.</w:t>
      </w:r>
    </w:p>
    <w:p>
      <w:pPr>
        <w:spacing w:after="0" w:line="11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We recorded income tax expense of $5.9 million on a pre-tax loss of $9.9 million for the nine months ended July 31, 2019, an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rate of 60.1% and income tax benefit of $2.5 million on pre-tax income of $17.3 million for the nine months ended July 31, 2018, an effective benefit rate of 14.7%. The effective rate for the nine months ended July 31, 2019 was primarily impacted by the fact that a majority of the $30.0 million asset impairment charge in the North American Cabinet Components segment did not generate a tax benefit, and a net charge of $1.4 million related to GILTI and FDII. The effective rate for the nine months ended July 31, 2018 reflects the impact of the Act, which reduced our federal tax rate from 35.0% to 21.0% as of January 1, 2018, and resulted in a discrete tax benefit.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Historically, our principal sources of funds have been cash on hand, cash flow from operations, and borrowings under our credit facilities.</w:t>
      </w:r>
    </w:p>
    <w:p>
      <w:pPr>
        <w:spacing w:after="0" w:line="14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maintain a $325.0 million revolving credit facility (the Credit Facility). The Credit Facility matures in 2023 (5-year term) and requires interest payments calculated, at our election and depending upon our Consolidated Leverage Ratio, at either a Base Rate plus an applicable margin (0.25% to 1.00%) or the LIBOR Rate plus an applicable margin (1.25% to 2.00%). The applicable rate during the nine months ended July 31, 2019 fluctuated between LIBOR + 1.50% and 1.75%. In addition to the Consolidated Leverage Ratio covenant, we are required to meet a Consolidated Interest Coverage Ratio covenant, and there are limitations on certain transactions including our ability to incur indebtedness, incur liens, dispose of material assets, acquire businesses, make restricted payments and pay dividends (limited to $20.0 million per year). We are amortizing deferred financing fees of $1.3 million straight-line over the remaining term of the facility.</w:t>
      </w:r>
    </w:p>
    <w:p>
      <w:pPr>
        <w:spacing w:after="0" w:line="108"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As of July 31, 2019, we had $10.7 million of cash and equivalents, $177.5 million outstanding under the Credit Facility, $4.8 million of outstanding letters of credit and $15.7 million outstanding under capital leases. We had $142.7 million available for use under the Credit Facility at July 31, 2019.</w:t>
      </w:r>
    </w:p>
    <w:p>
      <w:pPr>
        <w:spacing w:after="0" w:line="6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repatriated $13.9 million of foreign cash during the nine months ended July 31, 2019. We expect to repatriate excess cash moving forward and utilize the funds to retire debt or meet current working capital needs.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Analysis of Cash Flow</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cash flow results for the nine months ended July 31, 2019 and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1000" w:type="dxa"/>
            <w:vAlign w:val="bottom"/>
          </w:tcPr>
          <w:p>
            <w:pPr>
              <w:spacing w:after="0"/>
              <w:rPr>
                <w:sz w:val="16"/>
                <w:szCs w:val="16"/>
                <w:color w:val="auto"/>
              </w:rPr>
            </w:pPr>
          </w:p>
        </w:tc>
      </w:tr>
      <w:tr>
        <w:trPr>
          <w:trHeight w:val="276"/>
        </w:trPr>
        <w:tc>
          <w:tcPr>
            <w:tcW w:w="80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July 31,</w:t>
            </w:r>
          </w:p>
        </w:tc>
        <w:tc>
          <w:tcPr>
            <w:tcW w:w="1000" w:type="dxa"/>
            <w:vAlign w:val="bottom"/>
            <w:tcBorders>
              <w:bottom w:val="single" w:sz="8" w:color="auto"/>
            </w:tcBorders>
          </w:tcPr>
          <w:p>
            <w:pPr>
              <w:spacing w:after="0"/>
              <w:rPr>
                <w:sz w:val="24"/>
                <w:szCs w:val="24"/>
                <w:color w:val="auto"/>
              </w:rPr>
            </w:pPr>
          </w:p>
        </w:tc>
      </w:tr>
      <w:tr>
        <w:trPr>
          <w:trHeight w:val="264"/>
        </w:trPr>
        <w:tc>
          <w:tcPr>
            <w:tcW w:w="80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r>
      <w:tr>
        <w:trPr>
          <w:trHeight w:val="196"/>
        </w:trPr>
        <w:tc>
          <w:tcPr>
            <w:tcW w:w="8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1000" w:type="dxa"/>
            <w:vAlign w:val="bottom"/>
          </w:tcPr>
          <w:p>
            <w:pPr>
              <w:spacing w:after="0"/>
              <w:rPr>
                <w:sz w:val="17"/>
                <w:szCs w:val="17"/>
                <w:color w:val="auto"/>
              </w:rPr>
            </w:pPr>
          </w:p>
        </w:tc>
      </w:tr>
      <w:tr>
        <w:trPr>
          <w:trHeight w:val="256"/>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30.0</w:t>
            </w:r>
          </w:p>
        </w:tc>
        <w:tc>
          <w:tcPr>
            <w:tcW w:w="7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48.5</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Cash used for investing activities</w:t>
            </w:r>
          </w:p>
        </w:tc>
        <w:tc>
          <w:tcPr>
            <w:tcW w:w="1020" w:type="dxa"/>
            <w:vAlign w:val="bottom"/>
          </w:tcPr>
          <w:p>
            <w:pPr>
              <w:jc w:val="right"/>
              <w:ind w:right="81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59"/>
              <w:spacing w:after="0"/>
              <w:rPr>
                <w:sz w:val="20"/>
                <w:szCs w:val="20"/>
                <w:color w:val="auto"/>
              </w:rPr>
            </w:pPr>
            <w:r>
              <w:rPr>
                <w:rFonts w:ascii="Arial" w:cs="Arial" w:eastAsia="Arial" w:hAnsi="Arial"/>
                <w:sz w:val="18"/>
                <w:szCs w:val="18"/>
                <w:color w:val="auto"/>
              </w:rPr>
              <w:t>(16.7)</w:t>
            </w:r>
          </w:p>
        </w:tc>
        <w:tc>
          <w:tcPr>
            <w:tcW w:w="7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7"/>
        </w:trPr>
        <w:tc>
          <w:tcPr>
            <w:tcW w:w="8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8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used for financing activities</w:t>
            </w:r>
          </w:p>
        </w:tc>
        <w:tc>
          <w:tcPr>
            <w:tcW w:w="1020" w:type="dxa"/>
            <w:vAlign w:val="bottom"/>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(30.5)</w:t>
            </w:r>
          </w:p>
        </w:tc>
        <w:tc>
          <w:tcPr>
            <w:tcW w:w="7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7"/>
        </w:trPr>
        <w:tc>
          <w:tcPr>
            <w:tcW w:w="80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Operating cash flow for the nine months ended July 31, 2019 declined approximately $18.5 million compared to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July 31, 2018. Cash receipts were unfavorably impacted by a reduction in net income as well as unfavorable working capital changes, including a higher payout of accrued incentives and higher spending on the seasonal inventory build compared to 2018.</w:t>
      </w:r>
    </w:p>
    <w:p>
      <w:pPr>
        <w:spacing w:after="0" w:line="10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for investing activities decreased $4.1 million when comparing the nine months ended July 31, 2019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in 2018 related to a decline in capital expenditures.</w:t>
      </w:r>
    </w:p>
    <w:p>
      <w:pPr>
        <w:spacing w:after="0" w:line="89"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Cash used for financing activities was $30.5 million for the nine months ended July 31, 2019, primarily attributable to $18.6</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of net repayments of debt, $8.0 million of dividends paid to our shareholders, and $6.3 million related to the purchase of treasury stock, partially offset by $2.7 million of proceeds received from stock option exercises. For the nine months ended July 31, 2018, cash used for financing activities was $32.0 million, primarily attributable to $30.6 million of net repayments of debt, dividends paid to our shareholders of $4.2 million, and $1.0 million of cash paid for payroll taxes related to stock based compensation, partially offset by $3.8 million of proceeds received from stock option exercises.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Requirements</w:t>
      </w:r>
    </w:p>
    <w:p>
      <w:pPr>
        <w:spacing w:after="0" w:line="171"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Our strategy for deploying cash is to invest in organic growth opportunities, develop our infrastructure, and make strategic acquisitions. Other uses of cash include paying cash dividends to our shareholders and repurchasing our common stock. We have historically invested cash and cash equivalents in commercial paper with terms of three months or less. We did not have any investments during the nine months ended July 31, 2019 and 2018. We maintain cash balances in foreign countries which total $9.5 million as of July 31, 2019. During the nine months ended July 31, 2019, we repatriated $13.9 million of foreign earnings from our foreign locations.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The preparation of our financial statements in accordance with accounting principles generally accepted in the U.S. (U.S. GAAP) requires us to make estimates and assumptions that affect the reported amount of assets, liabilities, revenues and expenses and related disclosures of contingent assets and liabilities. Estimates and assumptions about future events and their effects cannot be perceived with certainty. Estimates may change as new events occur, as more experience is acquired, as additional information becomes available and as our operating environment changes. We base our estimates on historical experience and on various other assumptions that we believe are reasonable under the circumstances, and that we believe provide a basis for making judgments about the carrying value of assets and liabilities that are not readily available through open market quotes. We must use our judgment with regard to uncertainties in order to make these estimates. Actual results could differ from these estimates.</w:t>
      </w:r>
    </w:p>
    <w:p>
      <w:pPr>
        <w:spacing w:after="0" w:line="9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a description of our critical accounting policies and estimates, see our Annual Report on Form 10-K for the fiscal year ended October 31, 2018. During the nine months ended July 31, 2019, we changed our critical accounting policy related to inventory. Specifically, we changed the method of inventory costing for certain inventory to the first-in first-out (FIFO) method from the last-in first-out (LIFO) method. For further details of this change, refer to "Part I, Financial Information" of this Quarterly Report on Form 10-Q.</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From time to time, new accounting pronouncements are issued by the FASB or other standards setting bodies that we adopt as of the specified effective date. Unless otherwise discussed, we believe the impact of any recently issued standards that are not yet effective are either not applicable to us at this time or will not have a material impact on our consolidated financial statements upon adoption.</w:t>
      </w:r>
    </w:p>
    <w:p>
      <w:pPr>
        <w:spacing w:after="0" w:line="10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 February 2016, the FASB established Topic 842, Leases, by issuing Accounting Standards Update (ASU) No. 2016-02, which requires lessees to recognize leases on-balance sheet and disclose key information about leasing arrangements. The new standard establishes a right-of-use model (ROU) that requires a lessee to recognize a ROU asset and lease liability on the balance sheet for all leases with a term longer than 12 months. Leases will be classified as finance or operating, with classification affecting the pattern and classification of expense recognition in the income statement.</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new standard is effective for us on November 1, 2019, with early adoption permitted. A modified retrospective transition approach is required, applying the new standard to all leases existing at the date of initial application. We expect to adopt the new standard on November 1, 2019 and use the effective date as our date of initial application. Consequently, financial information will not be updated and the disclosures required under the new standard will not be provided for dates and periods prior to November 1, 2019.</w:t>
      </w:r>
    </w:p>
    <w:p>
      <w:pPr>
        <w:spacing w:after="0" w:line="10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new standard provides a number of optional practical expedients in transition. We expect to elect all of the new standard’s available transition practical expedients.</w:t>
      </w:r>
    </w:p>
    <w:p>
      <w:pPr>
        <w:spacing w:after="0" w:line="8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expect that this standard will have a material effect on our financial statements. While we continue to assess all of the effects of adoption, we currently believe the most significant effects on our financial statements relate to the recognition of new ROU assets and lease liabilities on our balance sheet for our operating leases and providing significant new disclosures about our leasing activities. We do not expect a significant change in our leasing activities between now and adoption.</w:t>
      </w:r>
    </w:p>
    <w:p>
      <w:pPr>
        <w:spacing w:after="0" w:line="106"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On adoption, we currently expect to recognize additional operating liabilities ranging from $40.0 million to $60.0 million, with corresponding ROU assets of the same amount based on the present value of the remaining minimum rental payments under current leasing standards for existing operating leases.</w:t>
      </w:r>
    </w:p>
    <w:p>
      <w:pPr>
        <w:spacing w:after="0" w:line="4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new standard also provides practical expedients for an entity’s ongoing accounting. We currently expect to elect the short-term lease recognition exemption for all leases that qualify. This means, for those leases that qualify, we will not recognize ROU assets or lease liabilities, and this includes not recognizing ROU assets or lease liabilities for existing short-term leases of those assets in transition. We also currently expect to elect the practical expedient to not separate lease and non-lease components for all of our leases.</w:t>
      </w:r>
    </w:p>
    <w:p>
      <w:pPr>
        <w:spacing w:after="0" w:line="200" w:lineRule="exact"/>
        <w:rPr>
          <w:sz w:val="20"/>
          <w:szCs w:val="20"/>
          <w:color w:val="auto"/>
        </w:rPr>
      </w:pPr>
    </w:p>
    <w:p>
      <w:pPr>
        <w:spacing w:after="0" w:line="2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Refer to our Annual Report on Form 10-K for the year ended October 31, 2018 for additional standards we are currently evaluating.</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3. Quantitative and Qualitative Disclosures About Market Risk</w:t>
      </w:r>
    </w:p>
    <w:p>
      <w:pPr>
        <w:spacing w:after="0" w:line="17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following discussion of our exposure to various market risks contains “forward looking statements” regarding our estimates, assumptions and beliefs concerning our exposure. Although we believe these estimates and assumptions are reasonable in light of information currently available to us, we cannot provide assurance that these estimates will not materially differ from actual results due to the inherent unpredictability of interest rates, foreign currency rates and commodity prices as well as other factors. We do not use derivative financial instruments for speculative or trading purposes.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outstanding debt bears interest at variable rates and accordingly is sensitive to changes in interest rates. Based upon the balances of the variable rate debt at July 31, 2019, a hypothetical 1.0% increase or decrease in interest rates could result in approximately $1.8 million of additional pretax charges or credit to our operating results per year. This sensitivity is impacted by the amount of borrowings under our credit facilities, and amounts outstanding under finance leases.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Rate Risk</w:t>
      </w:r>
    </w:p>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international operations have exposure to foreign currency rate risks, primarily due to fluctuations in the Euro, the British Pound Sterling and the Canadian Dollar. From time to time, we enter into foreign exchange contracts associated with our operations to manage a portion of the foreign currency rate risk.</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notional and fair market values of these positions at July 31, 2019 and October 31, 2018, were as follows (in thousands):</w:t>
      </w: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84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4"/>
                <w:szCs w:val="14"/>
                <w:b w:val="1"/>
                <w:bCs w:val="1"/>
                <w:color w:val="auto"/>
              </w:rPr>
              <w:t>Notional as indicated</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874"/>
              <w:spacing w:after="0"/>
              <w:rPr>
                <w:sz w:val="20"/>
                <w:szCs w:val="20"/>
                <w:color w:val="auto"/>
              </w:rPr>
            </w:pPr>
            <w:r>
              <w:rPr>
                <w:rFonts w:ascii="Arial" w:cs="Arial" w:eastAsia="Arial" w:hAnsi="Arial"/>
                <w:sz w:val="14"/>
                <w:szCs w:val="14"/>
                <w:b w:val="1"/>
                <w:bCs w:val="1"/>
                <w:color w:val="auto"/>
              </w:rPr>
              <w:t>Fair Value in $</w:t>
            </w:r>
          </w:p>
        </w:tc>
      </w:tr>
      <w:tr>
        <w:trPr>
          <w:trHeight w:val="152"/>
        </w:trPr>
        <w:tc>
          <w:tcPr>
            <w:tcW w:w="35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500" w:type="dxa"/>
            <w:vAlign w:val="bottom"/>
            <w:gridSpan w:val="2"/>
          </w:tcPr>
          <w:p>
            <w:pPr>
              <w:ind w:left="420"/>
              <w:spacing w:after="0" w:line="153" w:lineRule="exact"/>
              <w:rPr>
                <w:sz w:val="20"/>
                <w:szCs w:val="20"/>
                <w:color w:val="auto"/>
              </w:rPr>
            </w:pPr>
            <w:r>
              <w:rPr>
                <w:rFonts w:ascii="Arial" w:cs="Arial" w:eastAsia="Arial" w:hAnsi="Arial"/>
                <w:sz w:val="14"/>
                <w:szCs w:val="14"/>
                <w:b w:val="1"/>
                <w:bCs w:val="1"/>
                <w:color w:val="auto"/>
              </w:rPr>
              <w:t>July 31,</w:t>
            </w:r>
          </w:p>
        </w:tc>
        <w:tc>
          <w:tcPr>
            <w:tcW w:w="156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October 31,</w:t>
            </w:r>
          </w:p>
        </w:tc>
        <w:tc>
          <w:tcPr>
            <w:tcW w:w="260" w:type="dxa"/>
            <w:vAlign w:val="bottom"/>
          </w:tcPr>
          <w:p>
            <w:pPr>
              <w:spacing w:after="0"/>
              <w:rPr>
                <w:sz w:val="13"/>
                <w:szCs w:val="13"/>
                <w:color w:val="auto"/>
              </w:rPr>
            </w:pPr>
          </w:p>
        </w:tc>
        <w:tc>
          <w:tcPr>
            <w:tcW w:w="1420" w:type="dxa"/>
            <w:vAlign w:val="bottom"/>
            <w:gridSpan w:val="3"/>
          </w:tcPr>
          <w:p>
            <w:pPr>
              <w:ind w:left="160"/>
              <w:spacing w:after="0" w:line="153" w:lineRule="exact"/>
              <w:rPr>
                <w:sz w:val="20"/>
                <w:szCs w:val="20"/>
                <w:color w:val="auto"/>
              </w:rPr>
            </w:pPr>
            <w:r>
              <w:rPr>
                <w:rFonts w:ascii="Arial" w:cs="Arial" w:eastAsia="Arial" w:hAnsi="Arial"/>
                <w:sz w:val="14"/>
                <w:szCs w:val="14"/>
                <w:b w:val="1"/>
                <w:bCs w:val="1"/>
                <w:color w:val="auto"/>
              </w:rPr>
              <w:t>July 31,</w:t>
            </w:r>
          </w:p>
        </w:tc>
        <w:tc>
          <w:tcPr>
            <w:tcW w:w="1160" w:type="dxa"/>
            <w:vAlign w:val="bottom"/>
          </w:tcPr>
          <w:p>
            <w:pPr>
              <w:jc w:val="right"/>
              <w:ind w:right="274"/>
              <w:spacing w:after="0" w:line="153" w:lineRule="exact"/>
              <w:rPr>
                <w:sz w:val="20"/>
                <w:szCs w:val="20"/>
                <w:color w:val="auto"/>
              </w:rPr>
            </w:pPr>
            <w:r>
              <w:rPr>
                <w:rFonts w:ascii="Arial" w:cs="Arial" w:eastAsia="Arial" w:hAnsi="Arial"/>
                <w:sz w:val="14"/>
                <w:szCs w:val="14"/>
                <w:b w:val="1"/>
                <w:bCs w:val="1"/>
                <w:color w:val="auto"/>
              </w:rPr>
              <w:t>October 31,</w:t>
            </w:r>
          </w:p>
        </w:tc>
      </w:tr>
      <w:tr>
        <w:trPr>
          <w:trHeight w:val="192"/>
        </w:trPr>
        <w:tc>
          <w:tcPr>
            <w:tcW w:w="35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3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3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2018</w:t>
            </w:r>
          </w:p>
        </w:tc>
      </w:tr>
      <w:tr>
        <w:trPr>
          <w:trHeight w:val="243"/>
        </w:trPr>
        <w:tc>
          <w:tcPr>
            <w:tcW w:w="3540" w:type="dxa"/>
            <w:vAlign w:val="bottom"/>
          </w:tcPr>
          <w:p>
            <w:pPr>
              <w:jc w:val="center"/>
              <w:ind w:right="1290"/>
              <w:spacing w:after="0"/>
              <w:rPr>
                <w:sz w:val="20"/>
                <w:szCs w:val="20"/>
                <w:color w:val="auto"/>
              </w:rPr>
            </w:pPr>
            <w:r>
              <w:rPr>
                <w:rFonts w:ascii="Arial" w:cs="Arial" w:eastAsia="Arial" w:hAnsi="Arial"/>
                <w:sz w:val="18"/>
                <w:szCs w:val="18"/>
                <w:color w:val="auto"/>
                <w:w w:val="91"/>
              </w:rPr>
              <w:t>Foreign currency derivatives:</w:t>
            </w:r>
          </w:p>
        </w:tc>
        <w:tc>
          <w:tcPr>
            <w:tcW w:w="19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jc w:val="center"/>
              <w:ind w:right="1230"/>
              <w:spacing w:after="0"/>
              <w:rPr>
                <w:sz w:val="20"/>
                <w:szCs w:val="20"/>
                <w:color w:val="auto"/>
              </w:rPr>
            </w:pPr>
            <w:r>
              <w:rPr>
                <w:rFonts w:ascii="Arial" w:cs="Arial" w:eastAsia="Arial" w:hAnsi="Arial"/>
                <w:sz w:val="18"/>
                <w:szCs w:val="18"/>
                <w:color w:val="auto"/>
                <w:w w:val="94"/>
              </w:rPr>
              <w:t>Sell EUR, buy USD</w:t>
            </w:r>
          </w:p>
        </w:tc>
        <w:tc>
          <w:tcPr>
            <w:tcW w:w="192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rPr>
              <w:t>EUR</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3"/>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r>
      <w:tr>
        <w:trPr>
          <w:trHeight w:val="243"/>
        </w:trPr>
        <w:tc>
          <w:tcPr>
            <w:tcW w:w="3540" w:type="dxa"/>
            <w:vAlign w:val="bottom"/>
          </w:tcPr>
          <w:p>
            <w:pPr>
              <w:jc w:val="center"/>
              <w:ind w:right="1210"/>
              <w:spacing w:after="0"/>
              <w:rPr>
                <w:sz w:val="20"/>
                <w:szCs w:val="20"/>
                <w:color w:val="auto"/>
              </w:rPr>
            </w:pPr>
            <w:r>
              <w:rPr>
                <w:rFonts w:ascii="Arial" w:cs="Arial" w:eastAsia="Arial" w:hAnsi="Arial"/>
                <w:sz w:val="18"/>
                <w:szCs w:val="18"/>
                <w:color w:val="auto"/>
                <w:w w:val="95"/>
              </w:rPr>
              <w:t>Sell CAD, buy USD</w:t>
            </w:r>
          </w:p>
        </w:tc>
        <w:tc>
          <w:tcPr>
            <w:tcW w:w="1920" w:type="dxa"/>
            <w:vAlign w:val="bottom"/>
          </w:tcPr>
          <w:p>
            <w:pPr>
              <w:ind w:left="1380"/>
              <w:spacing w:after="0"/>
              <w:rPr>
                <w:sz w:val="20"/>
                <w:szCs w:val="20"/>
                <w:color w:val="auto"/>
              </w:rPr>
            </w:pPr>
            <w:r>
              <w:rPr>
                <w:rFonts w:ascii="Arial" w:cs="Arial" w:eastAsia="Arial" w:hAnsi="Arial"/>
                <w:sz w:val="18"/>
                <w:szCs w:val="18"/>
                <w:color w:val="auto"/>
              </w:rPr>
              <w:t>CAD</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229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jc w:val="center"/>
              <w:ind w:right="1270"/>
              <w:spacing w:after="0"/>
              <w:rPr>
                <w:sz w:val="20"/>
                <w:szCs w:val="20"/>
                <w:color w:val="auto"/>
              </w:rPr>
            </w:pPr>
            <w:r>
              <w:rPr>
                <w:rFonts w:ascii="Arial" w:cs="Arial" w:eastAsia="Arial" w:hAnsi="Arial"/>
                <w:sz w:val="18"/>
                <w:szCs w:val="18"/>
                <w:color w:val="auto"/>
                <w:w w:val="91"/>
              </w:rPr>
              <w:t>Sell GBP, buy USD</w:t>
            </w:r>
          </w:p>
        </w:tc>
        <w:tc>
          <w:tcPr>
            <w:tcW w:w="192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rPr>
              <w:t>GBP</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jc w:val="center"/>
              <w:ind w:right="1250"/>
              <w:spacing w:after="0"/>
              <w:rPr>
                <w:sz w:val="20"/>
                <w:szCs w:val="20"/>
                <w:color w:val="auto"/>
              </w:rPr>
            </w:pPr>
            <w:r>
              <w:rPr>
                <w:rFonts w:ascii="Arial" w:cs="Arial" w:eastAsia="Arial" w:hAnsi="Arial"/>
                <w:sz w:val="18"/>
                <w:szCs w:val="18"/>
                <w:color w:val="auto"/>
                <w:w w:val="93"/>
              </w:rPr>
              <w:t>Buy EUR, sell GBP</w:t>
            </w:r>
          </w:p>
        </w:tc>
        <w:tc>
          <w:tcPr>
            <w:tcW w:w="1920" w:type="dxa"/>
            <w:vAlign w:val="bottom"/>
          </w:tcPr>
          <w:p>
            <w:pPr>
              <w:ind w:left="1400"/>
              <w:spacing w:after="0"/>
              <w:rPr>
                <w:sz w:val="20"/>
                <w:szCs w:val="20"/>
                <w:color w:val="auto"/>
              </w:rPr>
            </w:pPr>
            <w:r>
              <w:rPr>
                <w:rFonts w:ascii="Arial" w:cs="Arial" w:eastAsia="Arial" w:hAnsi="Arial"/>
                <w:sz w:val="18"/>
                <w:szCs w:val="18"/>
                <w:color w:val="auto"/>
              </w:rPr>
              <w:t>EUR</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jc w:val="center"/>
              <w:ind w:right="1270"/>
              <w:spacing w:after="0"/>
              <w:rPr>
                <w:sz w:val="20"/>
                <w:szCs w:val="20"/>
                <w:color w:val="auto"/>
              </w:rPr>
            </w:pPr>
            <w:r>
              <w:rPr>
                <w:rFonts w:ascii="Arial" w:cs="Arial" w:eastAsia="Arial" w:hAnsi="Arial"/>
                <w:sz w:val="18"/>
                <w:szCs w:val="18"/>
                <w:color w:val="auto"/>
                <w:w w:val="92"/>
              </w:rPr>
              <w:t>Buy GBP, sell EUR</w:t>
            </w:r>
          </w:p>
        </w:tc>
        <w:tc>
          <w:tcPr>
            <w:tcW w:w="192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rPr>
              <w:t>EUR</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jc w:val="center"/>
              <w:ind w:right="1230"/>
              <w:spacing w:after="0"/>
              <w:rPr>
                <w:sz w:val="20"/>
                <w:szCs w:val="20"/>
                <w:color w:val="auto"/>
              </w:rPr>
            </w:pPr>
            <w:r>
              <w:rPr>
                <w:rFonts w:ascii="Arial" w:cs="Arial" w:eastAsia="Arial" w:hAnsi="Arial"/>
                <w:sz w:val="18"/>
                <w:szCs w:val="18"/>
                <w:color w:val="auto"/>
                <w:w w:val="94"/>
              </w:rPr>
              <w:t>Buy USD, sell EUR</w:t>
            </w:r>
          </w:p>
        </w:tc>
        <w:tc>
          <w:tcPr>
            <w:tcW w:w="1920" w:type="dxa"/>
            <w:vAlign w:val="bottom"/>
          </w:tcPr>
          <w:p>
            <w:pPr>
              <w:ind w:left="1400"/>
              <w:spacing w:after="0"/>
              <w:rPr>
                <w:sz w:val="20"/>
                <w:szCs w:val="20"/>
                <w:color w:val="auto"/>
              </w:rPr>
            </w:pPr>
            <w:r>
              <w:rPr>
                <w:rFonts w:ascii="Arial" w:cs="Arial" w:eastAsia="Arial" w:hAnsi="Arial"/>
                <w:sz w:val="18"/>
                <w:szCs w:val="18"/>
                <w:color w:val="auto"/>
              </w:rPr>
              <w:t>USD</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w:t>
            </w:r>
          </w:p>
        </w:tc>
      </w:tr>
    </w:tbl>
    <w:p>
      <w:pPr>
        <w:spacing w:after="0" w:line="14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At July 31, 2019 and October 31, 2018, we held foreign currency derivative contracts hedging cross-border intercompany and commercial activity for our insulating glass spacer business. Although these derivatives hedge our exposure to fluctuations in foreign currency rates, we do not apply hedge accounting and therefore, the change in the fair value of these foreign currency derivatives is recorded directly to other income and expense in the accompanying condensed consolidated statements of income (loss). To the extent the gain or loss on the derivative instrument offsets the gain or loss from the re-measurement of the underlying foreign currency balance, changes in exchange rates should have no effect. See Note 9, "Derivative Instruments," to the accompanying unaudited condensed consolidated financial statements contained elsewhere herein.</w:t>
      </w:r>
    </w:p>
    <w:p>
      <w:pPr>
        <w:spacing w:after="0" w:line="9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three and nine months ended July 31, 2018, we maintained an unhedged foreign currency position associated with debt borrowed to facilitate an acquisition within our EU Fenestration business, resulting in an unrealized loss of $0.2 million and an unrealized gain of less than $0.1 million, respectively, associated with this foreign currency exposure.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4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purchase PVC as the significant raw material consumed in the manufacture of vinyl extrusions. We have a monthly resin adjuster in place with a majority of our customers and our resin supplier that is adjusted based upon published industry indices for resin prices for the prior month. This adjuster effectively shares the base pass-through price changes of PVC with our customers commensurate with the market at large. Our long-term exposure to changes in PVC prices is somewhat mitigated due to the contractual component of the resin adjuster program. In addition, there is a level of exposure to short-term volatility due to the one month lag.</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also charge certain customers a surcharge related to petroleum-based raw materials. The surcharge is intended to offset the rising cost of products which are highly correlated to the price of oil including butyl and other oil-based raw materials. The surcharge is in place with the majority of our customers who purchase these products and is adjusted monthly based upon the 90-day average published price for Brent crude. The oil-based raw materials that we purchase are subject to similar pricing schemes. As such, our long-term exposure to changes in oil-based raw material prices is significantly reduced under this surcharge program.</w:t>
      </w:r>
    </w:p>
    <w:p>
      <w:pPr>
        <w:spacing w:after="0" w:line="10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Similarly, our NA Cabinet Components business includes a surcharge provision in the majority of its customer arrangements to insulate against significant fluctuations in the price for various hardwood products used as the primary raw material for kitchen and bathroom cabinet doors. We are exposed to short-term volatility in wood prices due to a lag in the timing of price updates which generally could extend for up to three months.</w:t>
      </w:r>
    </w:p>
    <w:p>
      <w:pPr>
        <w:spacing w:after="0" w:line="8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While we maintain surcharges and other adjusters to manage our exposure to changes in the prices of our critical raw materials, we utilize several commodities in our business that are not covered by contractual surcharges or adjusters for which pricing can fluctuate, including titanium dioxide (TiO2), aluminum, silicone and other inputs. Further discussion of our industry risks is included within our Annual Report on Form 10-K for the year ended October 31, 2018.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the Chief Executive Officer and Interim Chief Financial Officer, we have evaluated the effectiveness of our disclosure controls and procedures pursuant to Rules 13a-15(e) and 15d-15(e) under the Securities Exchange Act of 1934 (1934 Act) as of July 31, 2019. Based on that evaluation, the Chief Executive Officer and Interim Chief Financial Officer concluded that, as of July 31, 2019, the disclosure controls and procedures are effective.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There have been no changes in internal controls over financial reporting (as defined in Rules 13a-15(f) and 15d-15(f) under the 1934 Act) during the most recent fiscal quarter that have materially affected or are reasonably likely to materially affect our internal control over financial reporting.</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PART II.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the three months ended July 31, 2019, we repurchased common stock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3"/>
              </w:rPr>
              <w:t>(c) Total Number of</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ind w:right="40"/>
              <w:spacing w:after="0"/>
              <w:rPr>
                <w:sz w:val="20"/>
                <w:szCs w:val="20"/>
                <w:color w:val="auto"/>
              </w:rPr>
            </w:pPr>
            <w:r>
              <w:rPr>
                <w:rFonts w:ascii="Arial" w:cs="Arial" w:eastAsia="Arial" w:hAnsi="Arial"/>
                <w:sz w:val="14"/>
                <w:szCs w:val="14"/>
                <w:b w:val="1"/>
                <w:bCs w:val="1"/>
                <w:color w:val="auto"/>
                <w:w w:val="95"/>
              </w:rPr>
              <w:t>(d) Maximum US Dollars</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2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Remaining that May Yet Be</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 Total Number of</w:t>
            </w:r>
          </w:p>
        </w:tc>
        <w:tc>
          <w:tcPr>
            <w:tcW w:w="15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(b) Average Price Paid</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Used to Purchase Shares</w:t>
            </w:r>
          </w:p>
        </w:tc>
        <w:tc>
          <w:tcPr>
            <w:tcW w:w="0" w:type="dxa"/>
            <w:vAlign w:val="bottom"/>
          </w:tcPr>
          <w:p>
            <w:pPr>
              <w:spacing w:after="0"/>
              <w:rPr>
                <w:sz w:val="1"/>
                <w:szCs w:val="1"/>
                <w:color w:val="auto"/>
              </w:rPr>
            </w:pPr>
          </w:p>
        </w:tc>
      </w:tr>
      <w:tr>
        <w:trPr>
          <w:trHeight w:val="149"/>
        </w:trPr>
        <w:tc>
          <w:tcPr>
            <w:tcW w:w="458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Under the Plans or</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 xml:space="preserve">Programs </w:t>
            </w:r>
            <w:r>
              <w:rPr>
                <w:rFonts w:ascii="Arial" w:cs="Arial" w:eastAsia="Arial" w:hAnsi="Arial"/>
                <w:sz w:val="8"/>
                <w:szCs w:val="8"/>
                <w:b w:val="1"/>
                <w:bCs w:val="1"/>
                <w:color w:val="auto"/>
                <w:w w:val="96"/>
              </w:rPr>
              <w:t>(1)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(1)</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May 1, 2019 through May 31, 2019</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23,264,059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June 1, 2019 through June 31, 2019</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93,352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21"/>
                <w:szCs w:val="21"/>
                <w:color w:val="auto"/>
              </w:rPr>
            </w:pPr>
          </w:p>
        </w:tc>
        <w:tc>
          <w:tcPr>
            <w:tcW w:w="1580" w:type="dxa"/>
            <w:vAlign w:val="bottom"/>
          </w:tcPr>
          <w:p>
            <w:pPr>
              <w:jc w:val="right"/>
              <w:ind w:right="20"/>
              <w:spacing w:after="0"/>
              <w:rPr>
                <w:sz w:val="20"/>
                <w:szCs w:val="20"/>
                <w:color w:val="auto"/>
              </w:rPr>
            </w:pPr>
            <w:r>
              <w:rPr>
                <w:rFonts w:ascii="Arial" w:cs="Arial" w:eastAsia="Arial" w:hAnsi="Arial"/>
                <w:sz w:val="18"/>
                <w:szCs w:val="18"/>
                <w:color w:val="auto"/>
              </w:rPr>
              <w:t>93,352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20"/>
              <w:spacing w:after="0"/>
              <w:rPr>
                <w:sz w:val="20"/>
                <w:szCs w:val="20"/>
                <w:color w:val="auto"/>
              </w:rPr>
            </w:pPr>
            <w:r>
              <w:rPr>
                <w:rFonts w:ascii="Arial" w:cs="Arial" w:eastAsia="Arial" w:hAnsi="Arial"/>
                <w:sz w:val="18"/>
                <w:szCs w:val="18"/>
                <w:color w:val="auto"/>
              </w:rPr>
              <w:t>21,630,466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July 1, 2019 through July 31, 2019 </w:t>
            </w:r>
            <w:r>
              <w:rPr>
                <w:rFonts w:ascii="Arial" w:cs="Arial" w:eastAsia="Arial" w:hAnsi="Arial"/>
                <w:sz w:val="25"/>
                <w:szCs w:val="25"/>
                <w:color w:val="auto"/>
                <w:vertAlign w:val="superscript"/>
              </w:rPr>
              <w:t>(2)</w:t>
            </w:r>
          </w:p>
        </w:tc>
        <w:tc>
          <w:tcPr>
            <w:tcW w:w="15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404</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18.58</w:t>
            </w:r>
          </w:p>
        </w:tc>
        <w:tc>
          <w:tcPr>
            <w:tcW w:w="100" w:type="dxa"/>
            <w:vAlign w:val="bottom"/>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21,630,466</w:t>
            </w:r>
          </w:p>
        </w:tc>
        <w:tc>
          <w:tcPr>
            <w:tcW w:w="0" w:type="dxa"/>
            <w:vAlign w:val="bottom"/>
          </w:tcPr>
          <w:p>
            <w:pPr>
              <w:spacing w:after="0"/>
              <w:rPr>
                <w:sz w:val="1"/>
                <w:szCs w:val="1"/>
                <w:color w:val="auto"/>
              </w:rPr>
            </w:pP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93,756</w:t>
            </w:r>
          </w:p>
        </w:tc>
        <w:tc>
          <w:tcPr>
            <w:tcW w:w="120" w:type="dxa"/>
            <w:vAlign w:val="bottom"/>
          </w:tcPr>
          <w:p>
            <w:pPr>
              <w:spacing w:after="0"/>
              <w:rPr>
                <w:sz w:val="22"/>
                <w:szCs w:val="22"/>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22"/>
                <w:szCs w:val="22"/>
                <w:color w:val="auto"/>
              </w:rPr>
            </w:pPr>
          </w:p>
        </w:tc>
        <w:tc>
          <w:tcPr>
            <w:tcW w:w="158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93,352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420" w:hanging="7"/>
        <w:spacing w:after="0" w:line="232" w:lineRule="auto"/>
        <w:tabs>
          <w:tab w:leader="none" w:pos="628"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On August 30, 2018, our Board of Directors approved a stock repurchase program that authorized the repurchase of up to $60.0 million worth of shares of our common stock. Repurchases under the new program will be made in open market transactions or privately negotiated transactions, subject to market conditions, applicable legal requirements and other relevant factors. The program does not have an expiration date or a limit on the number of shares that may be repurchased.</w:t>
      </w:r>
    </w:p>
    <w:p>
      <w:pPr>
        <w:spacing w:after="0" w:line="121" w:lineRule="exact"/>
        <w:rPr>
          <w:rFonts w:ascii="Arial" w:cs="Arial" w:eastAsia="Arial" w:hAnsi="Arial"/>
          <w:sz w:val="25"/>
          <w:szCs w:val="25"/>
          <w:color w:val="auto"/>
          <w:vertAlign w:val="superscript"/>
        </w:rPr>
      </w:pPr>
    </w:p>
    <w:p>
      <w:pPr>
        <w:ind w:left="420" w:hanging="7"/>
        <w:spacing w:after="0" w:line="252" w:lineRule="auto"/>
        <w:tabs>
          <w:tab w:leader="none" w:pos="631"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July 2019 includes 404 shares cancelled in connection with tax withholding related to the vesting of restricted share awards. Shares so cancelled pursuant to the terms of our 2008 Omnibus Incentive Plan, as amended, are not part of any publicly announced share repurchase authorizations.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44"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exhibits required to be furnished pursuant to Item 6 are listed in the Exhibit Index filed herewith, which Exhibit Index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5"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QUANEX BUILDING PRODUCTS CORPORATION</w:t>
      </w:r>
    </w:p>
    <w:p>
      <w:pPr>
        <w:spacing w:after="0" w:line="189" w:lineRule="exact"/>
        <w:rPr>
          <w:sz w:val="20"/>
          <w:szCs w:val="20"/>
          <w:color w:val="auto"/>
        </w:rPr>
      </w:pPr>
    </w:p>
    <w:p>
      <w:pPr>
        <w:ind w:left="280"/>
        <w:spacing w:after="0"/>
        <w:tabs>
          <w:tab w:leader="none" w:pos="4580" w:val="left"/>
        </w:tabs>
        <w:rPr>
          <w:sz w:val="20"/>
          <w:szCs w:val="20"/>
          <w:color w:val="auto"/>
        </w:rPr>
      </w:pPr>
      <w:r>
        <w:rPr>
          <w:rFonts w:ascii="Arial" w:cs="Arial" w:eastAsia="Arial" w:hAnsi="Arial"/>
          <w:sz w:val="18"/>
          <w:szCs w:val="18"/>
          <w:color w:val="auto"/>
        </w:rPr>
        <w:t>Date: September 6, 2019</w:t>
      </w:r>
      <w:r>
        <w:rPr>
          <w:sz w:val="20"/>
          <w:szCs w:val="20"/>
          <w:color w:val="auto"/>
        </w:rPr>
        <w:tab/>
      </w:r>
      <w:r>
        <w:rPr>
          <w:rFonts w:ascii="Arial" w:cs="Arial" w:eastAsia="Arial" w:hAnsi="Arial"/>
          <w:sz w:val="16"/>
          <w:szCs w:val="16"/>
          <w:color w:val="auto"/>
        </w:rPr>
        <w:t>/s/ Scott M. Zuehlke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31750</wp:posOffset>
            </wp:positionV>
            <wp:extent cx="4330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30700" cy="8890"/>
                    </a:xfrm>
                    <a:prstGeom prst="rect">
                      <a:avLst/>
                    </a:prstGeom>
                    <a:noFill/>
                  </pic:spPr>
                </pic:pic>
              </a:graphicData>
            </a:graphic>
          </wp:anchor>
        </w:drawing>
      </w:r>
    </w:p>
    <w:p>
      <w:pPr>
        <w:spacing w:after="0" w:line="5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Scott M. Zuehlke</w:t>
      </w:r>
    </w:p>
    <w:p>
      <w:pPr>
        <w:spacing w:after="0" w:line="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Vice President - Investor Relations and Treasurer &amp; Interim Chief Financial Officer</w:t>
      </w:r>
    </w:p>
    <w:p>
      <w:pPr>
        <w:spacing w:after="0" w:line="2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(Principal Financial Officer)</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100" w:type="dxa"/>
            <w:vAlign w:val="bottom"/>
            <w:gridSpan w:val="9"/>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tcBorders>
              <w:right w:val="single" w:sz="8" w:color="0000EE"/>
            </w:tcBorders>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100" w:type="dxa"/>
            <w:vAlign w:val="bottom"/>
            <w:gridSpan w:val="9"/>
          </w:tcPr>
          <w:p>
            <w:pPr>
              <w:ind w:left="6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13"/>
        </w:trPr>
        <w:tc>
          <w:tcPr>
            <w:tcW w:w="1520" w:type="dxa"/>
            <w:vAlign w:val="bottom"/>
            <w:gridSpan w:val="5"/>
          </w:tcPr>
          <w:p>
            <w:pPr>
              <w:spacing w:after="0"/>
              <w:rPr>
                <w:sz w:val="20"/>
                <w:szCs w:val="20"/>
                <w:color w:val="auto"/>
              </w:rPr>
            </w:pPr>
            <w:r>
              <w:rPr>
                <w:rFonts w:ascii="Arial" w:cs="Arial" w:eastAsia="Arial" w:hAnsi="Arial"/>
                <w:sz w:val="16"/>
                <w:szCs w:val="16"/>
                <w:b w:val="1"/>
                <w:bCs w:val="1"/>
                <w:color w:val="auto"/>
              </w:rPr>
              <w:t>Exhibit Number</w:t>
            </w:r>
          </w:p>
        </w:tc>
        <w:tc>
          <w:tcPr>
            <w:tcW w:w="9880" w:type="dxa"/>
            <w:vAlign w:val="bottom"/>
            <w:gridSpan w:val="11"/>
          </w:tcPr>
          <w:p>
            <w:pPr>
              <w:ind w:left="260"/>
              <w:spacing w:after="0"/>
              <w:rPr>
                <w:sz w:val="20"/>
                <w:szCs w:val="20"/>
                <w:color w:val="auto"/>
              </w:rPr>
            </w:pPr>
            <w:r>
              <w:rPr>
                <w:rFonts w:ascii="Arial" w:cs="Arial" w:eastAsia="Arial" w:hAnsi="Arial"/>
                <w:sz w:val="16"/>
                <w:szCs w:val="16"/>
                <w:b w:val="1"/>
                <w:bCs w:val="1"/>
                <w:color w:val="auto"/>
              </w:rPr>
              <w:t>Description of Exhibits</w:t>
            </w:r>
          </w:p>
        </w:tc>
        <w:tc>
          <w:tcPr>
            <w:tcW w:w="0" w:type="dxa"/>
            <w:vAlign w:val="bottom"/>
          </w:tcPr>
          <w:p>
            <w:pPr>
              <w:spacing w:after="0"/>
              <w:rPr>
                <w:sz w:val="1"/>
                <w:szCs w:val="1"/>
                <w:color w:val="auto"/>
              </w:rPr>
            </w:pPr>
          </w:p>
        </w:tc>
      </w:tr>
      <w:tr>
        <w:trPr>
          <w:trHeight w:val="573"/>
        </w:trPr>
        <w:tc>
          <w:tcPr>
            <w:tcW w:w="1060" w:type="dxa"/>
            <w:vAlign w:val="bottom"/>
            <w:gridSpan w:val="4"/>
          </w:tcPr>
          <w:p>
            <w:pPr>
              <w:jc w:val="center"/>
              <w:ind w:left="591"/>
              <w:spacing w:after="0"/>
              <w:rPr>
                <w:rFonts w:ascii="Arial" w:cs="Arial" w:eastAsia="Arial" w:hAnsi="Arial"/>
                <w:sz w:val="18"/>
                <w:szCs w:val="18"/>
                <w:color w:val="0000FF"/>
                <w:w w:val="87"/>
              </w:rPr>
            </w:pPr>
            <w:hyperlink r:id="rId13">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20" w:type="dxa"/>
            <w:vAlign w:val="bottom"/>
            <w:gridSpan w:val="10"/>
          </w:tcPr>
          <w:p>
            <w:pPr>
              <w:spacing w:after="0"/>
              <w:rPr>
                <w:rFonts w:ascii="Arial" w:cs="Arial" w:eastAsia="Arial" w:hAnsi="Arial"/>
                <w:sz w:val="18"/>
                <w:szCs w:val="18"/>
                <w:color w:val="0000FF"/>
                <w:w w:val="94"/>
              </w:rPr>
            </w:pPr>
            <w:hyperlink r:id="rId13">
              <w:r>
                <w:rPr>
                  <w:rFonts w:ascii="Arial" w:cs="Arial" w:eastAsia="Arial" w:hAnsi="Arial"/>
                  <w:sz w:val="18"/>
                  <w:szCs w:val="18"/>
                  <w:color w:val="0000FF"/>
                  <w:w w:val="94"/>
                </w:rPr>
                <w:t>Restated Certificate of Incorporation of the Registrant dated as of March 4, 2016, filed as Exhibit 3.1 of the Registrant’s Current</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20" w:type="dxa"/>
            <w:vAlign w:val="bottom"/>
            <w:tcBorders>
              <w:top w:val="single" w:sz="8" w:color="0000FF"/>
            </w:tcBorders>
            <w:gridSpan w:val="10"/>
          </w:tcPr>
          <w:p>
            <w:pPr>
              <w:spacing w:after="0" w:line="196" w:lineRule="exact"/>
              <w:rPr>
                <w:rFonts w:ascii="Arial" w:cs="Arial" w:eastAsia="Arial" w:hAnsi="Arial"/>
                <w:sz w:val="18"/>
                <w:szCs w:val="18"/>
                <w:color w:val="0000FF"/>
                <w:w w:val="98"/>
              </w:rPr>
            </w:pPr>
            <w:hyperlink r:id="rId13">
              <w:r>
                <w:rPr>
                  <w:rFonts w:ascii="Arial" w:cs="Arial" w:eastAsia="Arial" w:hAnsi="Arial"/>
                  <w:sz w:val="18"/>
                  <w:szCs w:val="18"/>
                  <w:color w:val="0000FF"/>
                  <w:w w:val="98"/>
                </w:rPr>
                <w:t>Report on Form 8-K (Reg. No. 001-33913) as filed with the Securities and Exchange Commission on March 7, 2016, and</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0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r:id="rId13">
              <w:r>
                <w:rPr>
                  <w:rFonts w:ascii="Arial" w:cs="Arial" w:eastAsia="Arial" w:hAnsi="Arial"/>
                  <w:sz w:val="18"/>
                  <w:szCs w:val="18"/>
                  <w:color w:val="0000FF"/>
                </w:rPr>
                <w:t>incorporated herein by reference.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60" w:type="dxa"/>
            <w:vAlign w:val="bottom"/>
            <w:gridSpan w:val="4"/>
          </w:tcPr>
          <w:p>
            <w:pPr>
              <w:jc w:val="center"/>
              <w:ind w:left="591"/>
              <w:spacing w:after="0"/>
              <w:rPr>
                <w:rFonts w:ascii="Arial" w:cs="Arial" w:eastAsia="Arial" w:hAnsi="Arial"/>
                <w:sz w:val="18"/>
                <w:szCs w:val="18"/>
                <w:color w:val="0000FF"/>
                <w:w w:val="87"/>
              </w:rPr>
            </w:pPr>
            <w:hyperlink r:id="rId14">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20" w:type="dxa"/>
            <w:vAlign w:val="bottom"/>
            <w:gridSpan w:val="10"/>
          </w:tcPr>
          <w:p>
            <w:pPr>
              <w:spacing w:after="0"/>
              <w:rPr>
                <w:rFonts w:ascii="Arial" w:cs="Arial" w:eastAsia="Arial" w:hAnsi="Arial"/>
                <w:sz w:val="18"/>
                <w:szCs w:val="18"/>
                <w:color w:val="0000FF"/>
                <w:w w:val="91"/>
              </w:rPr>
            </w:pPr>
            <w:hyperlink r:id="rId14">
              <w:r>
                <w:rPr>
                  <w:rFonts w:ascii="Arial" w:cs="Arial" w:eastAsia="Arial" w:hAnsi="Arial"/>
                  <w:sz w:val="18"/>
                  <w:szCs w:val="18"/>
                  <w:color w:val="0000FF"/>
                  <w:w w:val="91"/>
                </w:rPr>
                <w:t>Third Amended and Restated Bylaws of the Registrant as of March 4, 2016, filed as Exhibit 3.2 of the Registrant's Quarterly Report</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0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r:id="rId14">
              <w:r>
                <w:rPr>
                  <w:rFonts w:ascii="Arial" w:cs="Arial" w:eastAsia="Arial" w:hAnsi="Arial"/>
                  <w:sz w:val="18"/>
                  <w:szCs w:val="18"/>
                  <w:color w:val="0000FF"/>
                </w:rPr>
                <w:t>on Form 10-Q (Reg. No. 001-33913) for the quarter ended July 31, 2016, and incorporated herein by reference.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tcBorders>
              <w:right w:val="single" w:sz="8" w:color="0000FF"/>
            </w:tcBorders>
            <w:shd w:val="clear" w:color="auto" w:fill="0000FF"/>
          </w:tcPr>
          <w:p>
            <w:pPr>
              <w:spacing w:after="0" w:line="20" w:lineRule="exact"/>
              <w:rPr>
                <w:sz w:val="1"/>
                <w:szCs w:val="1"/>
                <w:color w:val="auto"/>
              </w:rPr>
            </w:pPr>
          </w:p>
        </w:tc>
        <w:tc>
          <w:tcPr>
            <w:tcW w:w="384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60" w:type="dxa"/>
            <w:vAlign w:val="bottom"/>
            <w:gridSpan w:val="4"/>
          </w:tcPr>
          <w:p>
            <w:pPr>
              <w:jc w:val="center"/>
              <w:ind w:left="591"/>
              <w:spacing w:after="0"/>
              <w:rPr>
                <w:rFonts w:ascii="Arial" w:cs="Arial" w:eastAsia="Arial" w:hAnsi="Arial"/>
                <w:sz w:val="18"/>
                <w:szCs w:val="18"/>
                <w:color w:val="0000FF"/>
                <w:w w:val="87"/>
              </w:rPr>
            </w:pPr>
            <w:hyperlink r:id="rId15">
              <w:r>
                <w:rPr>
                  <w:rFonts w:ascii="Arial" w:cs="Arial" w:eastAsia="Arial" w:hAnsi="Arial"/>
                  <w:sz w:val="18"/>
                  <w:szCs w:val="18"/>
                  <w:color w:val="0000FF"/>
                  <w:w w:val="87"/>
                </w:rPr>
                <w:t>4.</w:t>
              </w:r>
              <w:r>
                <w:rPr>
                  <w:rFonts w:ascii="Arial" w:cs="Arial" w:eastAsia="Arial" w:hAnsi="Arial"/>
                  <w:sz w:val="18"/>
                  <w:szCs w:val="18"/>
                  <w:u w:val="single" w:color="auto"/>
                  <w:color w:val="0000FF"/>
                  <w:w w:val="87"/>
                </w:rPr>
                <w:t>1</w:t>
              </w:r>
            </w:hyperlink>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20" w:type="dxa"/>
            <w:vAlign w:val="bottom"/>
            <w:gridSpan w:val="10"/>
          </w:tcPr>
          <w:p>
            <w:pPr>
              <w:spacing w:after="0"/>
              <w:rPr>
                <w:rFonts w:ascii="Arial" w:cs="Arial" w:eastAsia="Arial" w:hAnsi="Arial"/>
                <w:sz w:val="18"/>
                <w:szCs w:val="18"/>
                <w:color w:val="0000FF"/>
                <w:w w:val="91"/>
              </w:rPr>
            </w:pPr>
            <w:hyperlink r:id="rId15">
              <w:r>
                <w:rPr>
                  <w:rFonts w:ascii="Arial" w:cs="Arial" w:eastAsia="Arial" w:hAnsi="Arial"/>
                  <w:sz w:val="18"/>
                  <w:szCs w:val="18"/>
                  <w:color w:val="0000FF"/>
                  <w:w w:val="91"/>
                </w:rPr>
                <w:t>Form of Registrant’s Common Stock certificate, filed as Exhibit 4.1 of Amendment No. 1 to the Registrant’s Registration Statement</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2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2"/>
              </w:rPr>
            </w:pPr>
            <w:hyperlink r:id="rId15">
              <w:r>
                <w:rPr>
                  <w:rFonts w:ascii="Arial" w:cs="Arial" w:eastAsia="Arial" w:hAnsi="Arial"/>
                  <w:sz w:val="18"/>
                  <w:szCs w:val="18"/>
                  <w:color w:val="0000FF"/>
                  <w:w w:val="92"/>
                </w:rPr>
                <w:t>on Form 10 (Reg. No. 001-33913) as filed with the Securities and Exchange Commission on February 14, 2008, and incorporated</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20" w:type="dxa"/>
            <w:vAlign w:val="bottom"/>
            <w:gridSpan w:val="10"/>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herein by reference.</w:t>
              </w:r>
            </w:hyperlink>
          </w:p>
        </w:tc>
        <w:tc>
          <w:tcPr>
            <w:tcW w:w="0" w:type="dxa"/>
            <w:vAlign w:val="bottom"/>
          </w:tcPr>
          <w:p>
            <w:pPr>
              <w:spacing w:after="0"/>
              <w:rPr>
                <w:sz w:val="1"/>
                <w:szCs w:val="1"/>
                <w:color w:val="auto"/>
              </w:rPr>
            </w:pPr>
          </w:p>
        </w:tc>
      </w:tr>
      <w:tr>
        <w:trPr>
          <w:trHeight w:val="20"/>
        </w:trPr>
        <w:tc>
          <w:tcPr>
            <w:tcW w:w="1060" w:type="dxa"/>
            <w:vAlign w:val="bottom"/>
            <w:gridSpan w:val="4"/>
            <w:vMerge w:val="restart"/>
          </w:tcPr>
          <w:p>
            <w:pPr>
              <w:jc w:val="center"/>
              <w:ind w:left="591"/>
              <w:spacing w:after="0"/>
              <w:rPr>
                <w:rFonts w:ascii="Arial" w:cs="Arial" w:eastAsia="Arial" w:hAnsi="Arial"/>
                <w:sz w:val="18"/>
                <w:szCs w:val="18"/>
                <w:color w:val="0000FF"/>
                <w:w w:val="87"/>
              </w:rPr>
            </w:pPr>
            <w:hyperlink r:id="rId16">
              <w:r>
                <w:rPr>
                  <w:rFonts w:ascii="Arial" w:cs="Arial" w:eastAsia="Arial" w:hAnsi="Arial"/>
                  <w:sz w:val="18"/>
                  <w:szCs w:val="18"/>
                  <w:color w:val="0000FF"/>
                  <w:w w:val="87"/>
                </w:rPr>
                <w:t>4.</w:t>
              </w:r>
              <w:r>
                <w:rPr>
                  <w:rFonts w:ascii="Arial" w:cs="Arial" w:eastAsia="Arial" w:hAnsi="Arial"/>
                  <w:sz w:val="18"/>
                  <w:szCs w:val="18"/>
                  <w:u w:val="single" w:color="auto"/>
                  <w:color w:val="0000FF"/>
                  <w:w w:val="87"/>
                </w:rPr>
                <w:t>2</w:t>
              </w:r>
            </w:hyperlink>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60" w:type="dxa"/>
            <w:vAlign w:val="bottom"/>
            <w:gridSpan w:val="4"/>
            <w:vMerge w:val="continue"/>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20" w:type="dxa"/>
            <w:vAlign w:val="bottom"/>
            <w:gridSpan w:val="10"/>
            <w:vMerge w:val="restart"/>
          </w:tcPr>
          <w:p>
            <w:pPr>
              <w:spacing w:after="0"/>
              <w:rPr>
                <w:rFonts w:ascii="Arial" w:cs="Arial" w:eastAsia="Arial" w:hAnsi="Arial"/>
                <w:sz w:val="18"/>
                <w:szCs w:val="18"/>
                <w:color w:val="0000FF"/>
                <w:w w:val="93"/>
              </w:rPr>
            </w:pPr>
            <w:hyperlink r:id="rId16">
              <w:r>
                <w:rPr>
                  <w:rFonts w:ascii="Arial" w:cs="Arial" w:eastAsia="Arial" w:hAnsi="Arial"/>
                  <w:sz w:val="18"/>
                  <w:szCs w:val="18"/>
                  <w:color w:val="0000FF"/>
                  <w:w w:val="93"/>
                </w:rPr>
                <w:t>Credit Agreement dated as of October 18, 2018, by and among the Company; the lenders party thereto; and Wells Fargo Bank,</w:t>
              </w:r>
            </w:hyperlink>
          </w:p>
        </w:tc>
        <w:tc>
          <w:tcPr>
            <w:tcW w:w="0" w:type="dxa"/>
            <w:vAlign w:val="bottom"/>
          </w:tcPr>
          <w:p>
            <w:pPr>
              <w:spacing w:after="0"/>
              <w:rPr>
                <w:sz w:val="1"/>
                <w:szCs w:val="1"/>
                <w:color w:val="auto"/>
              </w:rPr>
            </w:pPr>
          </w:p>
        </w:tc>
      </w:tr>
      <w:tr>
        <w:trPr>
          <w:trHeight w:val="66"/>
        </w:trPr>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520" w:type="dxa"/>
            <w:vAlign w:val="bottom"/>
            <w:tcBorders>
              <w:bottom w:val="single" w:sz="8" w:color="0000FF"/>
            </w:tcBorders>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20" w:type="dxa"/>
            <w:vAlign w:val="bottom"/>
            <w:gridSpan w:val="10"/>
          </w:tcPr>
          <w:p>
            <w:pPr>
              <w:spacing w:after="0" w:line="196" w:lineRule="exact"/>
              <w:rPr>
                <w:rFonts w:ascii="Arial" w:cs="Arial" w:eastAsia="Arial" w:hAnsi="Arial"/>
                <w:sz w:val="18"/>
                <w:szCs w:val="18"/>
                <w:color w:val="0000FF"/>
                <w:w w:val="92"/>
              </w:rPr>
            </w:pPr>
            <w:hyperlink r:id="rId16">
              <w:r>
                <w:rPr>
                  <w:rFonts w:ascii="Arial" w:cs="Arial" w:eastAsia="Arial" w:hAnsi="Arial"/>
                  <w:sz w:val="18"/>
                  <w:szCs w:val="18"/>
                  <w:color w:val="0000FF"/>
                  <w:w w:val="92"/>
                </w:rPr>
                <w:t>National Association, as Agent; filed as Exhibit 10.1 of the Registrant's Current Report on Form 8-K (Reg. No. 001-33913) as filed</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6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89"/>
              </w:rPr>
            </w:pPr>
            <w:hyperlink r:id="rId16">
              <w:r>
                <w:rPr>
                  <w:rFonts w:ascii="Arial" w:cs="Arial" w:eastAsia="Arial" w:hAnsi="Arial"/>
                  <w:sz w:val="18"/>
                  <w:szCs w:val="18"/>
                  <w:color w:val="0000FF"/>
                  <w:w w:val="89"/>
                </w:rPr>
                <w:t>with the Securities and Exchange Commission on October 18, 2018, and incorporated herein by reference.</w:t>
              </w:r>
            </w:hyperlink>
          </w:p>
        </w:tc>
        <w:tc>
          <w:tcPr>
            <w:tcW w:w="1840" w:type="dxa"/>
            <w:vAlign w:val="bottom"/>
            <w:tcBorders>
              <w:top w:val="single" w:sz="8" w:color="0000FF"/>
            </w:tcBorders>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660" w:type="dxa"/>
            <w:vAlign w:val="bottom"/>
          </w:tcPr>
          <w:p>
            <w:pPr>
              <w:spacing w:after="0"/>
              <w:rPr>
                <w:sz w:val="24"/>
                <w:szCs w:val="24"/>
                <w:color w:val="auto"/>
              </w:rPr>
            </w:pPr>
          </w:p>
        </w:tc>
        <w:tc>
          <w:tcPr>
            <w:tcW w:w="400" w:type="dxa"/>
            <w:vAlign w:val="bottom"/>
            <w:tcBorders>
              <w:bottom w:val="single" w:sz="8" w:color="0000FF"/>
            </w:tcBorders>
            <w:gridSpan w:val="3"/>
          </w:tcPr>
          <w:p>
            <w:pPr>
              <w:jc w:val="center"/>
              <w:spacing w:after="0"/>
              <w:rPr>
                <w:rFonts w:ascii="Arial" w:cs="Arial" w:eastAsia="Arial" w:hAnsi="Arial"/>
                <w:sz w:val="18"/>
                <w:szCs w:val="18"/>
                <w:color w:val="0000FF"/>
                <w:w w:val="95"/>
              </w:rPr>
            </w:pPr>
            <w:hyperlink w:anchor="page47">
              <w:r>
                <w:rPr>
                  <w:rFonts w:ascii="Arial" w:cs="Arial" w:eastAsia="Arial" w:hAnsi="Arial"/>
                  <w:sz w:val="18"/>
                  <w:szCs w:val="18"/>
                  <w:color w:val="0000FF"/>
                  <w:w w:val="95"/>
                </w:rPr>
                <w:t>*31.</w:t>
              </w:r>
              <w:r>
                <w:rPr>
                  <w:rFonts w:ascii="Arial" w:cs="Arial" w:eastAsia="Arial" w:hAnsi="Arial"/>
                  <w:sz w:val="18"/>
                  <w:szCs w:val="18"/>
                  <w:u w:val="single" w:color="auto"/>
                  <w:color w:val="0000FF"/>
                  <w:w w:val="95"/>
                </w:rPr>
                <w:t>1</w:t>
              </w:r>
            </w:hyperlink>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58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47">
              <w:r>
                <w:rPr>
                  <w:rFonts w:ascii="Arial" w:cs="Arial" w:eastAsia="Arial" w:hAnsi="Arial"/>
                  <w:sz w:val="18"/>
                  <w:szCs w:val="18"/>
                  <w:color w:val="0000FF"/>
                  <w:w w:val="91"/>
                </w:rPr>
                <w:t>Certification by chief executive officer pursuant to Rule 13a-14(a)/15d-14(a).</w:t>
              </w:r>
            </w:hyperlink>
          </w:p>
        </w:tc>
        <w:tc>
          <w:tcPr>
            <w:tcW w:w="39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660" w:type="dxa"/>
            <w:vAlign w:val="bottom"/>
          </w:tcPr>
          <w:p>
            <w:pPr>
              <w:spacing w:after="0"/>
              <w:rPr>
                <w:sz w:val="24"/>
                <w:szCs w:val="24"/>
                <w:color w:val="auto"/>
              </w:rPr>
            </w:pPr>
          </w:p>
        </w:tc>
        <w:tc>
          <w:tcPr>
            <w:tcW w:w="400" w:type="dxa"/>
            <w:vAlign w:val="bottom"/>
            <w:tcBorders>
              <w:bottom w:val="single" w:sz="8" w:color="0000FF"/>
            </w:tcBorders>
            <w:gridSpan w:val="3"/>
          </w:tcPr>
          <w:p>
            <w:pPr>
              <w:jc w:val="center"/>
              <w:spacing w:after="0"/>
              <w:rPr>
                <w:rFonts w:ascii="Arial" w:cs="Arial" w:eastAsia="Arial" w:hAnsi="Arial"/>
                <w:sz w:val="18"/>
                <w:szCs w:val="18"/>
                <w:color w:val="0000FF"/>
                <w:w w:val="95"/>
              </w:rPr>
            </w:pPr>
            <w:hyperlink w:anchor="page48">
              <w:r>
                <w:rPr>
                  <w:rFonts w:ascii="Arial" w:cs="Arial" w:eastAsia="Arial" w:hAnsi="Arial"/>
                  <w:sz w:val="18"/>
                  <w:szCs w:val="18"/>
                  <w:color w:val="0000FF"/>
                  <w:w w:val="95"/>
                </w:rPr>
                <w:t>*31.</w:t>
              </w:r>
              <w:r>
                <w:rPr>
                  <w:rFonts w:ascii="Arial" w:cs="Arial" w:eastAsia="Arial" w:hAnsi="Arial"/>
                  <w:sz w:val="18"/>
                  <w:szCs w:val="18"/>
                  <w:u w:val="single" w:color="auto"/>
                  <w:color w:val="0000FF"/>
                  <w:w w:val="95"/>
                </w:rPr>
                <w:t>2</w:t>
              </w:r>
            </w:hyperlink>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520" w:type="dxa"/>
            <w:vAlign w:val="bottom"/>
            <w:tcBorders>
              <w:bottom w:val="single" w:sz="8" w:color="0000FF"/>
            </w:tcBorders>
            <w:gridSpan w:val="5"/>
          </w:tcPr>
          <w:p>
            <w:pPr>
              <w:spacing w:after="0"/>
              <w:rPr>
                <w:rFonts w:ascii="Arial" w:cs="Arial" w:eastAsia="Arial" w:hAnsi="Arial"/>
                <w:sz w:val="18"/>
                <w:szCs w:val="18"/>
                <w:color w:val="0000FF"/>
                <w:w w:val="92"/>
              </w:rPr>
            </w:pPr>
            <w:hyperlink w:anchor="page48">
              <w:r>
                <w:rPr>
                  <w:rFonts w:ascii="Arial" w:cs="Arial" w:eastAsia="Arial" w:hAnsi="Arial"/>
                  <w:sz w:val="18"/>
                  <w:szCs w:val="18"/>
                  <w:color w:val="0000FF"/>
                  <w:w w:val="92"/>
                </w:rPr>
                <w:t>Certification by chief financial officer pursuant to Rule 13a-14(a)/15d-14(a).</w:t>
              </w:r>
            </w:hyperlink>
          </w:p>
        </w:tc>
        <w:tc>
          <w:tcPr>
            <w:tcW w:w="40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660" w:type="dxa"/>
            <w:vAlign w:val="bottom"/>
          </w:tcPr>
          <w:p>
            <w:pPr>
              <w:spacing w:after="0"/>
              <w:rPr>
                <w:sz w:val="24"/>
                <w:szCs w:val="24"/>
                <w:color w:val="auto"/>
              </w:rPr>
            </w:pPr>
          </w:p>
        </w:tc>
        <w:tc>
          <w:tcPr>
            <w:tcW w:w="400" w:type="dxa"/>
            <w:vAlign w:val="bottom"/>
            <w:tcBorders>
              <w:bottom w:val="single" w:sz="8" w:color="0000FF"/>
            </w:tcBorders>
            <w:gridSpan w:val="3"/>
          </w:tcPr>
          <w:p>
            <w:pPr>
              <w:jc w:val="center"/>
              <w:spacing w:after="0"/>
              <w:rPr>
                <w:rFonts w:ascii="Arial" w:cs="Arial" w:eastAsia="Arial" w:hAnsi="Arial"/>
                <w:sz w:val="18"/>
                <w:szCs w:val="18"/>
                <w:color w:val="0000FF"/>
                <w:w w:val="95"/>
              </w:rPr>
            </w:pPr>
            <w:hyperlink w:anchor="page49">
              <w:r>
                <w:rPr>
                  <w:rFonts w:ascii="Arial" w:cs="Arial" w:eastAsia="Arial" w:hAnsi="Arial"/>
                  <w:sz w:val="18"/>
                  <w:szCs w:val="18"/>
                  <w:color w:val="0000FF"/>
                  <w:w w:val="95"/>
                </w:rPr>
                <w:t>*32.</w:t>
              </w:r>
              <w:r>
                <w:rPr>
                  <w:rFonts w:ascii="Arial" w:cs="Arial" w:eastAsia="Arial" w:hAnsi="Arial"/>
                  <w:sz w:val="18"/>
                  <w:szCs w:val="18"/>
                  <w:u w:val="single" w:color="auto"/>
                  <w:color w:val="0000FF"/>
                  <w:w w:val="95"/>
                </w:rPr>
                <w:t>1</w:t>
              </w:r>
            </w:hyperlink>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6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49">
              <w:r>
                <w:rPr>
                  <w:rFonts w:ascii="Arial" w:cs="Arial" w:eastAsia="Arial" w:hAnsi="Arial"/>
                  <w:sz w:val="18"/>
                  <w:szCs w:val="18"/>
                  <w:color w:val="0000FF"/>
                  <w:w w:val="91"/>
                </w:rPr>
                <w:t>Certification pursuant to Section 906 of the Sarbanes-Oxley Act of 2002.</w:t>
              </w:r>
            </w:hyperlink>
          </w:p>
        </w:tc>
        <w:tc>
          <w:tcPr>
            <w:tcW w:w="42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520" w:type="dxa"/>
            <w:vAlign w:val="bottom"/>
            <w:gridSpan w:val="5"/>
          </w:tcPr>
          <w:p>
            <w:pPr>
              <w:jc w:val="center"/>
              <w:ind w:left="131"/>
              <w:spacing w:after="0"/>
              <w:rPr>
                <w:sz w:val="20"/>
                <w:szCs w:val="20"/>
                <w:color w:val="auto"/>
              </w:rPr>
            </w:pPr>
            <w:r>
              <w:rPr>
                <w:rFonts w:ascii="Arial" w:cs="Arial" w:eastAsia="Arial" w:hAnsi="Arial"/>
                <w:sz w:val="18"/>
                <w:szCs w:val="18"/>
                <w:color w:val="auto"/>
                <w:w w:val="97"/>
              </w:rPr>
              <w:t>*101.INS</w:t>
            </w:r>
          </w:p>
        </w:tc>
        <w:tc>
          <w:tcPr>
            <w:tcW w:w="360" w:type="dxa"/>
            <w:vAlign w:val="bottom"/>
          </w:tcPr>
          <w:p>
            <w:pPr>
              <w:spacing w:after="0"/>
              <w:rPr>
                <w:sz w:val="24"/>
                <w:szCs w:val="24"/>
                <w:color w:val="auto"/>
              </w:rPr>
            </w:pPr>
          </w:p>
        </w:tc>
        <w:tc>
          <w:tcPr>
            <w:tcW w:w="9520" w:type="dxa"/>
            <w:vAlign w:val="bottom"/>
            <w:gridSpan w:val="10"/>
          </w:tcPr>
          <w:p>
            <w:pPr>
              <w:spacing w:after="0"/>
              <w:rPr>
                <w:sz w:val="20"/>
                <w:szCs w:val="20"/>
                <w:color w:val="auto"/>
              </w:rPr>
            </w:pPr>
            <w:r>
              <w:rPr>
                <w:rFonts w:ascii="Arial" w:cs="Arial" w:eastAsia="Arial" w:hAnsi="Arial"/>
                <w:sz w:val="18"/>
                <w:szCs w:val="18"/>
                <w:color w:val="auto"/>
                <w:w w:val="97"/>
              </w:rPr>
              <w:t>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520" w:type="dxa"/>
            <w:vAlign w:val="bottom"/>
            <w:gridSpan w:val="10"/>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405"/>
        </w:trPr>
        <w:tc>
          <w:tcPr>
            <w:tcW w:w="1520" w:type="dxa"/>
            <w:vAlign w:val="bottom"/>
            <w:gridSpan w:val="5"/>
          </w:tcPr>
          <w:p>
            <w:pPr>
              <w:jc w:val="center"/>
              <w:ind w:left="111"/>
              <w:spacing w:after="0"/>
              <w:rPr>
                <w:sz w:val="20"/>
                <w:szCs w:val="20"/>
                <w:color w:val="auto"/>
              </w:rPr>
            </w:pPr>
            <w:r>
              <w:rPr>
                <w:rFonts w:ascii="Arial" w:cs="Arial" w:eastAsia="Arial" w:hAnsi="Arial"/>
                <w:sz w:val="18"/>
                <w:szCs w:val="18"/>
                <w:color w:val="auto"/>
                <w:w w:val="94"/>
              </w:rPr>
              <w:t>*101.SCH</w:t>
            </w:r>
          </w:p>
        </w:tc>
        <w:tc>
          <w:tcPr>
            <w:tcW w:w="360" w:type="dxa"/>
            <w:vAlign w:val="bottom"/>
          </w:tcPr>
          <w:p>
            <w:pPr>
              <w:spacing w:after="0"/>
              <w:rPr>
                <w:sz w:val="24"/>
                <w:szCs w:val="24"/>
                <w:color w:val="auto"/>
              </w:rPr>
            </w:pPr>
          </w:p>
        </w:tc>
        <w:tc>
          <w:tcPr>
            <w:tcW w:w="952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92"/>
        </w:trPr>
        <w:tc>
          <w:tcPr>
            <w:tcW w:w="1520" w:type="dxa"/>
            <w:vAlign w:val="bottom"/>
            <w:gridSpan w:val="5"/>
          </w:tcPr>
          <w:p>
            <w:pPr>
              <w:jc w:val="center"/>
              <w:ind w:left="111"/>
              <w:spacing w:after="0"/>
              <w:rPr>
                <w:sz w:val="20"/>
                <w:szCs w:val="20"/>
                <w:color w:val="auto"/>
              </w:rPr>
            </w:pPr>
            <w:r>
              <w:rPr>
                <w:rFonts w:ascii="Arial" w:cs="Arial" w:eastAsia="Arial" w:hAnsi="Arial"/>
                <w:sz w:val="18"/>
                <w:szCs w:val="18"/>
                <w:color w:val="auto"/>
                <w:w w:val="98"/>
              </w:rPr>
              <w:t>*101.CAL</w:t>
            </w:r>
          </w:p>
        </w:tc>
        <w:tc>
          <w:tcPr>
            <w:tcW w:w="360" w:type="dxa"/>
            <w:vAlign w:val="bottom"/>
          </w:tcPr>
          <w:p>
            <w:pPr>
              <w:spacing w:after="0"/>
              <w:rPr>
                <w:sz w:val="24"/>
                <w:szCs w:val="24"/>
                <w:color w:val="auto"/>
              </w:rPr>
            </w:pPr>
          </w:p>
        </w:tc>
        <w:tc>
          <w:tcPr>
            <w:tcW w:w="952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92"/>
        </w:trPr>
        <w:tc>
          <w:tcPr>
            <w:tcW w:w="1520" w:type="dxa"/>
            <w:vAlign w:val="bottom"/>
            <w:gridSpan w:val="5"/>
          </w:tcPr>
          <w:p>
            <w:pPr>
              <w:jc w:val="center"/>
              <w:ind w:left="131"/>
              <w:spacing w:after="0"/>
              <w:rPr>
                <w:sz w:val="20"/>
                <w:szCs w:val="20"/>
                <w:color w:val="auto"/>
              </w:rPr>
            </w:pPr>
            <w:r>
              <w:rPr>
                <w:rFonts w:ascii="Arial" w:cs="Arial" w:eastAsia="Arial" w:hAnsi="Arial"/>
                <w:sz w:val="18"/>
                <w:szCs w:val="18"/>
                <w:color w:val="auto"/>
                <w:w w:val="94"/>
              </w:rPr>
              <w:t>*101.DEF</w:t>
            </w:r>
          </w:p>
        </w:tc>
        <w:tc>
          <w:tcPr>
            <w:tcW w:w="360" w:type="dxa"/>
            <w:vAlign w:val="bottom"/>
          </w:tcPr>
          <w:p>
            <w:pPr>
              <w:spacing w:after="0"/>
              <w:rPr>
                <w:sz w:val="24"/>
                <w:szCs w:val="24"/>
                <w:color w:val="auto"/>
              </w:rPr>
            </w:pPr>
          </w:p>
        </w:tc>
        <w:tc>
          <w:tcPr>
            <w:tcW w:w="952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92"/>
        </w:trPr>
        <w:tc>
          <w:tcPr>
            <w:tcW w:w="1520" w:type="dxa"/>
            <w:vAlign w:val="bottom"/>
            <w:gridSpan w:val="5"/>
          </w:tcPr>
          <w:p>
            <w:pPr>
              <w:jc w:val="center"/>
              <w:ind w:left="111"/>
              <w:spacing w:after="0"/>
              <w:rPr>
                <w:sz w:val="20"/>
                <w:szCs w:val="20"/>
                <w:color w:val="auto"/>
              </w:rPr>
            </w:pPr>
            <w:r>
              <w:rPr>
                <w:rFonts w:ascii="Arial" w:cs="Arial" w:eastAsia="Arial" w:hAnsi="Arial"/>
                <w:sz w:val="18"/>
                <w:szCs w:val="18"/>
                <w:color w:val="auto"/>
                <w:w w:val="99"/>
              </w:rPr>
              <w:t>*101.LAB</w:t>
            </w:r>
          </w:p>
        </w:tc>
        <w:tc>
          <w:tcPr>
            <w:tcW w:w="360" w:type="dxa"/>
            <w:vAlign w:val="bottom"/>
          </w:tcPr>
          <w:p>
            <w:pPr>
              <w:spacing w:after="0"/>
              <w:rPr>
                <w:sz w:val="24"/>
                <w:szCs w:val="24"/>
                <w:color w:val="auto"/>
              </w:rPr>
            </w:pPr>
          </w:p>
        </w:tc>
        <w:tc>
          <w:tcPr>
            <w:tcW w:w="952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92"/>
        </w:trPr>
        <w:tc>
          <w:tcPr>
            <w:tcW w:w="1520" w:type="dxa"/>
            <w:vAlign w:val="bottom"/>
            <w:gridSpan w:val="5"/>
          </w:tcPr>
          <w:p>
            <w:pPr>
              <w:jc w:val="center"/>
              <w:ind w:left="131"/>
              <w:spacing w:after="0"/>
              <w:rPr>
                <w:sz w:val="20"/>
                <w:szCs w:val="20"/>
                <w:color w:val="auto"/>
              </w:rPr>
            </w:pPr>
            <w:r>
              <w:rPr>
                <w:rFonts w:ascii="Arial" w:cs="Arial" w:eastAsia="Arial" w:hAnsi="Arial"/>
                <w:sz w:val="18"/>
                <w:szCs w:val="18"/>
                <w:color w:val="auto"/>
                <w:w w:val="93"/>
              </w:rPr>
              <w:t>*101.PRE</w:t>
            </w:r>
          </w:p>
        </w:tc>
        <w:tc>
          <w:tcPr>
            <w:tcW w:w="360" w:type="dxa"/>
            <w:vAlign w:val="bottom"/>
          </w:tcPr>
          <w:p>
            <w:pPr>
              <w:spacing w:after="0"/>
              <w:rPr>
                <w:sz w:val="24"/>
                <w:szCs w:val="24"/>
                <w:color w:val="auto"/>
              </w:rPr>
            </w:pPr>
          </w:p>
        </w:tc>
        <w:tc>
          <w:tcPr>
            <w:tcW w:w="952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permitted by Item 601(b)(4)(iii)(A) of Regulation S-K, the Registrant has not filed with this Quarterly Report on Form 10-Q certain instruments defining the rights of holders of long-term debt of the Registrant and its subsidiaries because the total amount of securities authorized under any of such instruments does not exceed 10% of the total assets of the Registrant and its subsidiaries on a consolidated basis. The Registrant agrees to furnish a copy of any such agreements to the Securities and Exchange Commission upon request.</w:t>
      </w:r>
    </w:p>
    <w:p>
      <w:pPr>
        <w:sectPr>
          <w:pgSz w:w="11900" w:h="16838" w:orient="portrait"/>
          <w:cols w:equalWidth="0" w:num="1">
            <w:col w:w="11420"/>
          </w:cols>
          <w:pgMar w:left="240" w:top="108"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William C. Griffiths, certify that:</w:t>
      </w:r>
    </w:p>
    <w:p>
      <w:pPr>
        <w:spacing w:after="0" w:line="144"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Quanex Building Products Corporation (the “Registrant”);</w:t>
      </w:r>
    </w:p>
    <w:p>
      <w:pPr>
        <w:spacing w:after="0" w:line="144"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jc w:val="both"/>
        <w:ind w:left="980" w:hanging="324"/>
        <w:spacing w:after="0" w:line="291"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29" w:lineRule="exact"/>
        <w:rPr>
          <w:rFonts w:ascii="Arial" w:cs="Arial" w:eastAsia="Arial" w:hAnsi="Arial"/>
          <w:sz w:val="16"/>
          <w:szCs w:val="16"/>
          <w:color w:val="auto"/>
        </w:rPr>
      </w:pPr>
    </w:p>
    <w:p>
      <w:pPr>
        <w:jc w:val="both"/>
        <w:ind w:left="1620" w:hanging="315"/>
        <w:spacing w:after="0" w:line="264" w:lineRule="auto"/>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jc w:val="both"/>
        <w:ind w:left="1620" w:hanging="315"/>
        <w:spacing w:after="0" w:line="264" w:lineRule="auto"/>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ind w:left="1620" w:hanging="315"/>
        <w:spacing w:after="0" w:line="342" w:lineRule="auto"/>
        <w:tabs>
          <w:tab w:leader="none" w:pos="162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jc w:val="both"/>
        <w:ind w:left="1620" w:hanging="315"/>
        <w:spacing w:after="0" w:line="264" w:lineRule="auto"/>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Arial" w:cs="Arial" w:eastAsia="Arial" w:hAnsi="Arial"/>
          <w:sz w:val="16"/>
          <w:szCs w:val="16"/>
          <w:color w:val="auto"/>
        </w:rPr>
      </w:pPr>
    </w:p>
    <w:p>
      <w:pPr>
        <w:ind w:left="1620" w:hanging="315"/>
        <w:spacing w:after="0" w:line="308" w:lineRule="auto"/>
        <w:tabs>
          <w:tab w:leader="none" w:pos="1620"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5" w:lineRule="exact"/>
        <w:rPr>
          <w:rFonts w:ascii="Arial" w:cs="Arial" w:eastAsia="Arial" w:hAnsi="Arial"/>
          <w:sz w:val="17"/>
          <w:szCs w:val="17"/>
          <w:color w:val="auto"/>
        </w:rPr>
      </w:pPr>
    </w:p>
    <w:p>
      <w:pPr>
        <w:ind w:left="1620" w:hanging="315"/>
        <w:spacing w:after="0" w:line="277" w:lineRule="auto"/>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September 6, 2019</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William C. Griffiths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5707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457073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William C. Griffiths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Scott M. Zuehlke, certify that:</w:t>
      </w:r>
    </w:p>
    <w:p>
      <w:pPr>
        <w:spacing w:after="0" w:line="144"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Quanex Building Products Corporation (the “Registrant”);</w:t>
      </w:r>
    </w:p>
    <w:p>
      <w:pPr>
        <w:spacing w:after="0" w:line="144"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jc w:val="both"/>
        <w:ind w:left="980" w:hanging="324"/>
        <w:spacing w:after="0" w:line="291"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29" w:lineRule="exact"/>
        <w:rPr>
          <w:rFonts w:ascii="Arial" w:cs="Arial" w:eastAsia="Arial" w:hAnsi="Arial"/>
          <w:sz w:val="16"/>
          <w:szCs w:val="16"/>
          <w:color w:val="auto"/>
        </w:rPr>
      </w:pPr>
    </w:p>
    <w:p>
      <w:pPr>
        <w:jc w:val="both"/>
        <w:ind w:left="1620" w:hanging="315"/>
        <w:spacing w:after="0" w:line="264" w:lineRule="auto"/>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jc w:val="both"/>
        <w:ind w:left="1620" w:hanging="315"/>
        <w:spacing w:after="0" w:line="264" w:lineRule="auto"/>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ind w:left="1620" w:hanging="315"/>
        <w:spacing w:after="0" w:line="342" w:lineRule="auto"/>
        <w:tabs>
          <w:tab w:leader="none" w:pos="162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jc w:val="both"/>
        <w:ind w:left="1620" w:hanging="315"/>
        <w:spacing w:after="0" w:line="264" w:lineRule="auto"/>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Arial" w:cs="Arial" w:eastAsia="Arial" w:hAnsi="Arial"/>
          <w:sz w:val="16"/>
          <w:szCs w:val="16"/>
          <w:color w:val="auto"/>
        </w:rPr>
      </w:pPr>
    </w:p>
    <w:p>
      <w:pPr>
        <w:ind w:left="1620" w:hanging="315"/>
        <w:spacing w:after="0" w:line="308" w:lineRule="auto"/>
        <w:tabs>
          <w:tab w:leader="none" w:pos="1620"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5" w:lineRule="exact"/>
        <w:rPr>
          <w:rFonts w:ascii="Arial" w:cs="Arial" w:eastAsia="Arial" w:hAnsi="Arial"/>
          <w:sz w:val="17"/>
          <w:szCs w:val="17"/>
          <w:color w:val="auto"/>
        </w:rPr>
      </w:pPr>
    </w:p>
    <w:p>
      <w:pPr>
        <w:ind w:left="1620" w:hanging="315"/>
        <w:spacing w:after="0" w:line="277" w:lineRule="auto"/>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September 6, 2019</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Scott M. Zuehlke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5707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457073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Scott M. Zuehlke</w:t>
      </w:r>
    </w:p>
    <w:p>
      <w:pPr>
        <w:spacing w:after="0" w:line="23" w:lineRule="exact"/>
        <w:rPr>
          <w:sz w:val="20"/>
          <w:szCs w:val="20"/>
          <w:color w:val="auto"/>
        </w:rPr>
      </w:pPr>
    </w:p>
    <w:p>
      <w:pPr>
        <w:ind w:left="40" w:right="4240"/>
        <w:spacing w:after="0" w:line="261" w:lineRule="auto"/>
        <w:rPr>
          <w:sz w:val="20"/>
          <w:szCs w:val="20"/>
          <w:color w:val="auto"/>
        </w:rPr>
      </w:pPr>
      <w:r>
        <w:rPr>
          <w:rFonts w:ascii="Arial" w:cs="Arial" w:eastAsia="Arial" w:hAnsi="Arial"/>
          <w:sz w:val="18"/>
          <w:szCs w:val="18"/>
          <w:color w:val="auto"/>
        </w:rPr>
        <w:t>Vice President - Investor Relations and Treasurer &amp; Interim Chief Financial Officer (Principal Financial Officer)</w:t>
      </w:r>
    </w:p>
    <w:p>
      <w:pPr>
        <w:sectPr>
          <w:pgSz w:w="11900" w:h="16838" w:orient="portrait"/>
          <w:cols w:equalWidth="0" w:num="1">
            <w:col w:w="11420"/>
          </w:cols>
          <w:pgMar w:left="240" w:top="58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14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We hereby certify that the accompanying Quarterly Report on Form 10-Q of Quanex Building Products Corporation for the quarter ended July 31, 2019 fully complies with the requirements of Section 13(a) or 15(d) of the Securities Exchange Act of 1934 and that information contained in such Report fairly presents, in all material respects, the financial condition and results of operations of Quanex Building Products Corporation.</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September 6, 2019</w:t>
            </w:r>
          </w:p>
        </w:tc>
        <w:tc>
          <w:tcPr>
            <w:tcW w:w="5460" w:type="dxa"/>
            <w:vAlign w:val="bottom"/>
          </w:tcPr>
          <w:p>
            <w:pPr>
              <w:spacing w:after="0"/>
              <w:rPr>
                <w:sz w:val="20"/>
                <w:szCs w:val="20"/>
                <w:color w:val="auto"/>
              </w:rPr>
            </w:pPr>
          </w:p>
        </w:tc>
      </w:tr>
      <w:tr>
        <w:trPr>
          <w:trHeight w:val="540"/>
        </w:trPr>
        <w:tc>
          <w:tcPr>
            <w:tcW w:w="5960" w:type="dxa"/>
            <w:vAlign w:val="bottom"/>
            <w:gridSpan w:val="2"/>
          </w:tcPr>
          <w:p>
            <w:pPr>
              <w:jc w:val="center"/>
              <w:ind w:right="460"/>
              <w:spacing w:after="0"/>
              <w:rPr>
                <w:sz w:val="20"/>
                <w:szCs w:val="20"/>
                <w:color w:val="auto"/>
              </w:rPr>
            </w:pPr>
            <w:r>
              <w:rPr>
                <w:rFonts w:ascii="Arial" w:cs="Arial" w:eastAsia="Arial" w:hAnsi="Arial"/>
                <w:sz w:val="18"/>
                <w:szCs w:val="18"/>
                <w:color w:val="auto"/>
                <w:w w:val="96"/>
              </w:rPr>
              <w:t>/s/ William C. Griffiths</w:t>
            </w:r>
          </w:p>
        </w:tc>
        <w:tc>
          <w:tcPr>
            <w:tcW w:w="5460" w:type="dxa"/>
            <w:vAlign w:val="bottom"/>
          </w:tcPr>
          <w:p>
            <w:pPr>
              <w:jc w:val="center"/>
              <w:spacing w:after="0"/>
              <w:rPr>
                <w:sz w:val="20"/>
                <w:szCs w:val="20"/>
                <w:color w:val="auto"/>
              </w:rPr>
            </w:pPr>
            <w:r>
              <w:rPr>
                <w:rFonts w:ascii="Arial" w:cs="Arial" w:eastAsia="Arial" w:hAnsi="Arial"/>
                <w:sz w:val="18"/>
                <w:szCs w:val="18"/>
                <w:color w:val="auto"/>
                <w:w w:val="91"/>
              </w:rPr>
              <w:t>/s/ Scott M. Zuehlke</w:t>
            </w:r>
          </w:p>
        </w:tc>
      </w:tr>
      <w:tr>
        <w:trPr>
          <w:trHeight w:val="27"/>
        </w:trPr>
        <w:tc>
          <w:tcPr>
            <w:tcW w:w="55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r>
      <w:tr>
        <w:trPr>
          <w:trHeight w:val="222"/>
        </w:trPr>
        <w:tc>
          <w:tcPr>
            <w:tcW w:w="5960" w:type="dxa"/>
            <w:vAlign w:val="bottom"/>
            <w:gridSpan w:val="2"/>
          </w:tcPr>
          <w:p>
            <w:pPr>
              <w:jc w:val="center"/>
              <w:ind w:right="460"/>
              <w:spacing w:after="0"/>
              <w:rPr>
                <w:sz w:val="20"/>
                <w:szCs w:val="20"/>
                <w:color w:val="auto"/>
              </w:rPr>
            </w:pPr>
            <w:r>
              <w:rPr>
                <w:rFonts w:ascii="Arial" w:cs="Arial" w:eastAsia="Arial" w:hAnsi="Arial"/>
                <w:sz w:val="18"/>
                <w:szCs w:val="18"/>
                <w:color w:val="auto"/>
                <w:w w:val="98"/>
              </w:rPr>
              <w:t>William C. Griffiths</w:t>
            </w:r>
          </w:p>
        </w:tc>
        <w:tc>
          <w:tcPr>
            <w:tcW w:w="5460" w:type="dxa"/>
            <w:vAlign w:val="bottom"/>
          </w:tcPr>
          <w:p>
            <w:pPr>
              <w:jc w:val="center"/>
              <w:spacing w:after="0"/>
              <w:rPr>
                <w:sz w:val="20"/>
                <w:szCs w:val="20"/>
                <w:color w:val="auto"/>
              </w:rPr>
            </w:pPr>
            <w:r>
              <w:rPr>
                <w:rFonts w:ascii="Arial" w:cs="Arial" w:eastAsia="Arial" w:hAnsi="Arial"/>
                <w:sz w:val="18"/>
                <w:szCs w:val="18"/>
                <w:color w:val="auto"/>
                <w:w w:val="93"/>
              </w:rPr>
              <w:t>Scott M. Zuehlke</w:t>
            </w:r>
          </w:p>
        </w:tc>
      </w:tr>
      <w:tr>
        <w:trPr>
          <w:trHeight w:val="216"/>
        </w:trPr>
        <w:tc>
          <w:tcPr>
            <w:tcW w:w="5960" w:type="dxa"/>
            <w:vAlign w:val="bottom"/>
            <w:gridSpan w:val="2"/>
          </w:tcPr>
          <w:p>
            <w:pPr>
              <w:jc w:val="center"/>
              <w:ind w:right="460"/>
              <w:spacing w:after="0"/>
              <w:rPr>
                <w:sz w:val="20"/>
                <w:szCs w:val="20"/>
                <w:color w:val="auto"/>
              </w:rPr>
            </w:pPr>
            <w:r>
              <w:rPr>
                <w:rFonts w:ascii="Arial" w:cs="Arial" w:eastAsia="Arial" w:hAnsi="Arial"/>
                <w:sz w:val="18"/>
                <w:szCs w:val="18"/>
                <w:i w:val="1"/>
                <w:iCs w:val="1"/>
                <w:color w:val="auto"/>
                <w:w w:val="91"/>
              </w:rPr>
              <w:t>Chairman of the Board, President and Chief</w:t>
            </w: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89"/>
              </w:rPr>
              <w:t>Vice President—Investor Relations</w:t>
            </w:r>
          </w:p>
        </w:tc>
      </w:tr>
      <w:tr>
        <w:trPr>
          <w:trHeight w:val="216"/>
        </w:trPr>
        <w:tc>
          <w:tcPr>
            <w:tcW w:w="5960" w:type="dxa"/>
            <w:vAlign w:val="bottom"/>
            <w:gridSpan w:val="2"/>
          </w:tcPr>
          <w:p>
            <w:pPr>
              <w:jc w:val="center"/>
              <w:ind w:right="460"/>
              <w:spacing w:after="0"/>
              <w:rPr>
                <w:sz w:val="20"/>
                <w:szCs w:val="20"/>
                <w:color w:val="auto"/>
              </w:rPr>
            </w:pPr>
            <w:r>
              <w:rPr>
                <w:rFonts w:ascii="Arial" w:cs="Arial" w:eastAsia="Arial" w:hAnsi="Arial"/>
                <w:sz w:val="18"/>
                <w:szCs w:val="18"/>
                <w:i w:val="1"/>
                <w:iCs w:val="1"/>
                <w:color w:val="auto"/>
                <w:w w:val="92"/>
              </w:rPr>
              <w:t>Executive Officer</w:t>
            </w: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4"/>
              </w:rPr>
              <w:t>and Treasurer &amp; Interim Chief Financial Officer</w:t>
            </w:r>
          </w:p>
        </w:tc>
      </w:tr>
      <w:tr>
        <w:trPr>
          <w:trHeight w:val="230"/>
        </w:trPr>
        <w:tc>
          <w:tcPr>
            <w:tcW w:w="5960" w:type="dxa"/>
            <w:vAlign w:val="bottom"/>
            <w:gridSpan w:val="2"/>
          </w:tcPr>
          <w:p>
            <w:pPr>
              <w:jc w:val="center"/>
              <w:ind w:right="460"/>
              <w:spacing w:after="0"/>
              <w:rPr>
                <w:sz w:val="20"/>
                <w:szCs w:val="20"/>
                <w:color w:val="auto"/>
              </w:rPr>
            </w:pPr>
            <w:r>
              <w:rPr>
                <w:rFonts w:ascii="Arial" w:cs="Arial" w:eastAsia="Arial" w:hAnsi="Arial"/>
                <w:sz w:val="18"/>
                <w:szCs w:val="18"/>
                <w:i w:val="1"/>
                <w:iCs w:val="1"/>
                <w:color w:val="auto"/>
                <w:w w:val="94"/>
              </w:rPr>
              <w:t>(Principal Executive Officer)</w:t>
            </w: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3" Type="http://schemas.openxmlformats.org/officeDocument/2006/relationships/hyperlink" Target="http://www.sec.gov/Archives/edgar/data/1423221/000119312516495257/d156158dex31.htm" TargetMode="External"/><Relationship Id="rId14" Type="http://schemas.openxmlformats.org/officeDocument/2006/relationships/hyperlink" Target="http://www.sec.gov/Archives/edgar/data/1423221/000142322116000023/nx07312016ex32.htm" TargetMode="External"/><Relationship Id="rId15" Type="http://schemas.openxmlformats.org/officeDocument/2006/relationships/hyperlink" Target="http://www.sec.gov/Archives/edgar/data/1423221/000095012908000988/h52992a1exv4w1.htm" TargetMode="External"/><Relationship Id="rId16" Type="http://schemas.openxmlformats.org/officeDocument/2006/relationships/hyperlink" Target="http://www.sec.gov/Archives/edgar/data/1423221/000119312518302063/d63729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2019-12-28T06:39:41Z</dcterms:created>
  <dcterms:modified xsi:type="dcterms:W3CDTF">2019-12-28T06:39:41Z</dcterms:modified>
</cp:coreProperties>
</file>