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Quanex Building Products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SH</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Allspring Global Investments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2,064,453.00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2,065,713.00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2,065,713.00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Quanex Building Products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1800 West Loop South, Houston, US-TX, 77027, US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Allspring Global Investments Holdings,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1415 Vantage Park Drive, Charlotte, 28203, North Carolina,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SH</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2,065,713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2,064,453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2,065,713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Exhibit A directly or indirectly owned by Allspring Global Investments Holdings, LLC. Those Clients have the right to receive, or the power to direct the receipt of, dividends from, or the proceeds for the sale of, such securities. No such client is known to have such right or power with respect to more than five percent of this class of securities, except as follows: None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36" w:type="dxa"/>
        <w:jc w:val="left"/>
        <w:tblInd w:w="0" w:type="dxa"/>
        <w:tblLayout w:type="fixed"/>
        <w:tblCellMar>
          <w:top w:w="28" w:type="dxa"/>
          <w:left w:w="28" w:type="dxa"/>
          <w:bottom w:w="28" w:type="dxa"/>
          <w:right w:w="28" w:type="dxa"/>
        </w:tblCellMar>
      </w:tblPr>
      <w:tblGrid>
        <w:gridCol w:w="4618"/>
        <w:gridCol w:w="4618"/>
      </w:tblGrid>
      <w:tr>
        <w:trPr/>
        <w:tc>
          <w:tcPr>
            <w:tcW w:w="4618" w:type="dxa"/>
            <w:tcBorders/>
            <w:vAlign w:val="center"/>
          </w:tcPr>
          <w:p>
            <w:pPr>
              <w:pStyle w:val="TableContents"/>
              <w:bidi w:val="0"/>
              <w:spacing w:before="0" w:after="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0"/>
                    <w:jc w:val="left"/>
                    <w:rPr/>
                  </w:pPr>
                  <w:r>
                    <w:rPr/>
                    <w:t>Allspring Global Investments Holdings, LLC</w:t>
                  </w:r>
                </w:p>
              </w:tc>
            </w:tr>
          </w:tbl>
          <w:p>
            <w:pPr>
              <w:pStyle w:val="TableContents"/>
              <w:bidi w:val="0"/>
              <w:spacing w:before="0" w:after="283"/>
              <w:jc w:val="left"/>
              <w:rPr/>
            </w:pPr>
            <w:r>
              <w:rPr/>
            </w:r>
          </w:p>
        </w:tc>
        <w:tc>
          <w:tcPr>
            <w:tcW w:w="46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Jennifer Grunberg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Senior Compliance Manager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A Subsidiary Allspring Global Investments, LLC - IA Allspring Funds Management, LLC - IA *Entity beneficially owns 5% or greater of the outstanding shares of the security class being reported on this schedule 13G.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1017</Words>
  <Characters>5222</Characters>
  <CharactersWithSpaces>6234</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