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April 30, 2023 </w:t>
      </w:r>
    </w:p>
    <w:p>
      <w:pPr>
        <w:pStyle w:val="TextBody"/>
        <w:bidi w:val="0"/>
        <w:spacing w:lineRule="auto" w:line="288" w:before="0" w:after="0"/>
        <w:jc w:val="center"/>
        <w:rPr/>
      </w:pPr>
      <w:r>
        <w:rPr>
          <w:rFonts w:ascii="Times New Roman;sans-serif" w:hAnsi="Times New Roman;sans-serif"/>
          <w:b/>
          <w:color w:val="000000"/>
          <w:sz w:val="20"/>
        </w:rPr>
        <w:t>OR</w:t>
      </w: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1-33913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________________________________________________</w:t>
      </w:r>
    </w:p>
    <w:p>
      <w:pPr>
        <w:pStyle w:val="TextBody"/>
        <w:bidi w:val="0"/>
        <w:spacing w:lineRule="auto" w:line="288" w:before="0" w:after="0"/>
        <w:jc w:val="center"/>
        <w:rPr/>
      </w:pPr>
      <w:r>
        <w:rPr>
          <w:color w:val="000000"/>
        </w:rPr>
        <w:t> </w:t>
      </w:r>
      <w:r>
        <w:rPr>
          <w:rFonts w:ascii="Times New Roman;sans-serif" w:hAnsi="Times New Roman;sans-serif"/>
          <w:b/>
          <w:color w:val="000000"/>
          <w:sz w:val="36"/>
        </w:rPr>
        <w:t>QUANEX BUILDING PRODUCTS CORPORATION</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________________________________________________</w:t>
      </w: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2"/>
        <w:gridCol w:w="432"/>
        <w:gridCol w:w="620"/>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26-1561397</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1800 West Loop South, Suite 1500, Houston, Texas 77027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(713) 961-4600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________________________________________________</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1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84"/>
        <w:gridCol w:w="484"/>
        <w:gridCol w:w="48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6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6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10205" w:type="dxa"/>
        <w:jc w:val="center"/>
        <w:tblInd w:w="0" w:type="dxa"/>
        <w:tblLayout w:type="fixed"/>
        <w:tblCellMar>
          <w:top w:w="28" w:type="dxa"/>
          <w:left w:w="28" w:type="dxa"/>
          <w:bottom w:w="28" w:type="dxa"/>
          <w:right w:w="28" w:type="dxa"/>
        </w:tblCellMar>
      </w:tblPr>
      <w:tblGrid>
        <w:gridCol w:w="940"/>
        <w:gridCol w:w="685"/>
        <w:gridCol w:w="625"/>
        <w:gridCol w:w="147"/>
        <w:gridCol w:w="147"/>
        <w:gridCol w:w="147"/>
        <w:gridCol w:w="1079"/>
        <w:gridCol w:w="1079"/>
        <w:gridCol w:w="1083"/>
        <w:gridCol w:w="147"/>
        <w:gridCol w:w="147"/>
        <w:gridCol w:w="147"/>
        <w:gridCol w:w="1040"/>
        <w:gridCol w:w="1040"/>
        <w:gridCol w:w="1046"/>
        <w:gridCol w:w="109"/>
        <w:gridCol w:w="109"/>
        <w:gridCol w:w="109"/>
        <w:gridCol w:w="109"/>
        <w:gridCol w:w="109"/>
        <w:gridCol w:w="161"/>
      </w:tblGrid>
      <w:tr>
        <w:trPr/>
        <w:tc>
          <w:tcPr>
            <w:tcW w:w="94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color w:val="000000"/>
              </w:rPr>
              <w:t>☐  </w:t>
            </w:r>
            <w:r>
              <w:rPr>
                <w:rFonts w:ascii="Times New Roman;sans-serif" w:hAnsi="Times New Roman;sans-serif"/>
                <w:b w:val="false"/>
                <w:color w:val="000000"/>
                <w:sz w:val="20"/>
              </w:rPr>
              <w:t>(Do not check if a smaller reporting company)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9499"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Securities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40" w:after="283"/>
        <w:jc w:val="both"/>
        <w:rPr/>
      </w:pPr>
      <w:r>
        <w:rPr>
          <w:rFonts w:ascii="Times New Roman;sans-serif" w:hAnsi="Times New Roman;sans-serif"/>
          <w:b w:val="false"/>
          <w:color w:val="000000"/>
          <w:sz w:val="20"/>
        </w:rPr>
        <w:t>The number of shares outstanding of the registrant's Common S</w:t>
      </w:r>
      <w:r>
        <w:rPr>
          <w:rFonts w:ascii="Times New Roman;sans-serif" w:hAnsi="Times New Roman;sans-serif"/>
          <w:b w:val="false"/>
          <w:color w:val="000000"/>
          <w:sz w:val="20"/>
          <w:shd w:fill="FFFFFF" w:val="clear"/>
        </w:rPr>
        <w:t>tock as of May 25, 2023 was 32,952,532.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44"/>
        <w:gridCol w:w="251"/>
        <w:gridCol w:w="256"/>
        <w:gridCol w:w="2991"/>
        <w:gridCol w:w="2991"/>
        <w:gridCol w:w="2997"/>
        <w:gridCol w:w="109"/>
        <w:gridCol w:w="109"/>
        <w:gridCol w:w="157"/>
      </w:tblGrid>
      <w:tr>
        <w:trPr/>
        <w:tc>
          <w:tcPr>
            <w:tcW w:w="34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10">
              <w:r>
                <w:rPr>
                  <w:rStyle w:val="InternetLink"/>
                  <w:rFonts w:ascii="Times New Roman;sans-serif" w:hAnsi="Times New Roman;sans-serif"/>
                  <w:b w:val="false"/>
                  <w:strike w:val="false"/>
                  <w:dstrike w:val="false"/>
                  <w:color w:val="0000FF"/>
                  <w:sz w:val="20"/>
                  <w:u w:val="none"/>
                  <w:effect w:val="none"/>
                </w:rPr>
                <w:t>FINANCIAL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10">
              <w:r>
                <w:rPr>
                  <w:rStyle w:val="InternetLink"/>
                  <w:rFonts w:ascii="Times New Roman;sans-serif" w:hAnsi="Times New Roman;sans-serif"/>
                  <w:b w:val="false"/>
                  <w:color w:val="0000FF"/>
                  <w:sz w:val="20"/>
                  <w:u w:val="single"/>
                </w:rPr>
                <w:t>1</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 1:</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13">
              <w:r>
                <w:rPr>
                  <w:rStyle w:val="InternetLink"/>
                  <w:rFonts w:ascii="Times New Roman;sans-serif" w:hAnsi="Times New Roman;sans-serif"/>
                  <w:b/>
                  <w:color w:val="0000FF"/>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13">
              <w:r>
                <w:rPr>
                  <w:rStyle w:val="InternetLink"/>
                  <w:rFonts w:ascii="Times New Roman;sans-serif" w:hAnsi="Times New Roman;sans-serif"/>
                  <w:b w:val="false"/>
                  <w:color w:val="0000FF"/>
                  <w:sz w:val="20"/>
                  <w:u w:val="single"/>
                </w:rPr>
                <w:t>1</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16">
              <w:r>
                <w:rPr>
                  <w:rStyle w:val="InternetLink"/>
                  <w:rFonts w:ascii="Times New Roman;sans-serif" w:hAnsi="Times New Roman;sans-serif"/>
                  <w:b w:val="false"/>
                  <w:color w:val="000080"/>
                  <w:sz w:val="20"/>
                  <w:u w:val="single"/>
                </w:rPr>
                <w:t>Condensed Consolidated Balance Sheets –</w:t>
              </w:r>
            </w:hyperlink>
            <w:r>
              <w:rPr>
                <w:rFonts w:ascii="Times New Roman;sans-serif" w:hAnsi="Times New Roman;sans-serif"/>
                <w:b w:val="false"/>
                <w:color w:val="0E32E1"/>
                <w:sz w:val="20"/>
                <w:u w:val="single"/>
              </w:rPr>
              <w:t xml:space="preserve"> April 30, 2023 and October 31, 2022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16">
              <w:r>
                <w:rPr>
                  <w:rStyle w:val="InternetLink"/>
                  <w:rFonts w:ascii="Times New Roman;sans-serif" w:hAnsi="Times New Roman;sans-serif"/>
                  <w:b w:val="false"/>
                  <w:color w:val="0E32E1"/>
                  <w:sz w:val="20"/>
                  <w:u w:val="single"/>
                </w:rPr>
                <w:t>1</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19">
              <w:r>
                <w:rPr>
                  <w:rStyle w:val="InternetLink"/>
                  <w:rFonts w:ascii="Times New Roman;sans-serif" w:hAnsi="Times New Roman;sans-serif"/>
                  <w:b w:val="false"/>
                  <w:color w:val="000080"/>
                  <w:sz w:val="20"/>
                  <w:u w:val="single"/>
                </w:rPr>
                <w:t xml:space="preserve">Condensed Consolidated Statements of Income – </w:t>
              </w:r>
            </w:hyperlink>
            <w:hyperlink w:anchor="id4c32cea32e148578c3ef2cc4f0e83f8_19">
              <w:r>
                <w:rPr>
                  <w:rStyle w:val="InternetLink"/>
                  <w:rFonts w:ascii="Times New Roman;sans-serif" w:hAnsi="Times New Roman;sans-serif"/>
                  <w:b w:val="false"/>
                  <w:color w:val="000080"/>
                  <w:sz w:val="20"/>
                  <w:u w:val="single"/>
                </w:rPr>
                <w:t xml:space="preserve">Three and </w:t>
              </w:r>
            </w:hyperlink>
            <w:hyperlink w:anchor="id4c32cea32e148578c3ef2cc4f0e83f8_19">
              <w:r>
                <w:rPr>
                  <w:rStyle w:val="InternetLink"/>
                  <w:rFonts w:ascii="Times New Roman;sans-serif" w:hAnsi="Times New Roman;sans-serif"/>
                  <w:b w:val="false"/>
                  <w:color w:val="000080"/>
                  <w:sz w:val="20"/>
                  <w:u w:val="single"/>
                </w:rPr>
                <w:t>Six</w:t>
              </w:r>
            </w:hyperlink>
            <w:hyperlink w:anchor="id4c32cea32e148578c3ef2cc4f0e83f8_19">
              <w:r>
                <w:rPr>
                  <w:rStyle w:val="InternetLink"/>
                  <w:rFonts w:ascii="Times New Roman;sans-serif" w:hAnsi="Times New Roman;sans-serif"/>
                  <w:b w:val="false"/>
                  <w:color w:val="000080"/>
                  <w:sz w:val="20"/>
                  <w:u w:val="single"/>
                </w:rPr>
                <w:t xml:space="preserve"> Months Ended </w:t>
              </w:r>
            </w:hyperlink>
            <w:hyperlink w:anchor="id4c32cea32e148578c3ef2cc4f0e83f8_19">
              <w:r>
                <w:rPr>
                  <w:rStyle w:val="InternetLink"/>
                  <w:rFonts w:ascii="Times New Roman;sans-serif" w:hAnsi="Times New Roman;sans-serif"/>
                  <w:b w:val="false"/>
                  <w:color w:val="000080"/>
                  <w:sz w:val="20"/>
                  <w:u w:val="single"/>
                </w:rPr>
                <w:t>April 30</w:t>
              </w:r>
            </w:hyperlink>
            <w:hyperlink w:anchor="id4c32cea32e148578c3ef2cc4f0e83f8_19">
              <w:r>
                <w:rPr>
                  <w:rStyle w:val="InternetLink"/>
                  <w:rFonts w:ascii="Times New Roman;sans-serif" w:hAnsi="Times New Roman;sans-serif"/>
                  <w:b w:val="false"/>
                  <w:color w:val="000080"/>
                  <w:sz w:val="20"/>
                  <w:u w:val="single"/>
                </w:rPr>
                <w:t>,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19">
              <w:r>
                <w:rPr>
                  <w:rStyle w:val="InternetLink"/>
                  <w:rFonts w:ascii="Times New Roman;sans-serif" w:hAnsi="Times New Roman;sans-serif"/>
                  <w:b w:val="false"/>
                  <w:color w:val="0000FF"/>
                  <w:sz w:val="20"/>
                  <w:u w:val="single"/>
                </w:rPr>
                <w:t>2</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22">
              <w:r>
                <w:rPr>
                  <w:rStyle w:val="InternetLink"/>
                  <w:rFonts w:ascii="Times New Roman;sans-serif" w:hAnsi="Times New Roman;sans-serif"/>
                  <w:b w:val="false"/>
                  <w:color w:val="0000FF"/>
                  <w:sz w:val="20"/>
                  <w:u w:val="single"/>
                </w:rPr>
                <w:t xml:space="preserve">Condensed Consolidated Statements of Comprehensive Income </w:t>
              </w:r>
            </w:hyperlink>
            <w:hyperlink w:anchor="id4c32cea32e148578c3ef2cc4f0e83f8_16">
              <w:r>
                <w:rPr>
                  <w:rStyle w:val="InternetLink"/>
                  <w:color w:val="0E32E1"/>
                  <w:u w:val="single"/>
                </w:rPr>
                <w:t>–</w:t>
              </w:r>
            </w:hyperlink>
            <w:hyperlink w:anchor="id4c32cea32e148578c3ef2cc4f0e83f8_22">
              <w:r>
                <w:rPr>
                  <w:rStyle w:val="InternetLink"/>
                  <w:color w:val="0000FF"/>
                  <w:u w:val="single"/>
                </w:rPr>
                <w:t xml:space="preserve"> </w:t>
              </w:r>
            </w:hyperlink>
            <w:hyperlink w:anchor="id4c32cea32e148578c3ef2cc4f0e83f8_22">
              <w:r>
                <w:rPr>
                  <w:rStyle w:val="InternetLink"/>
                  <w:rFonts w:ascii="Times New Roman;sans-serif" w:hAnsi="Times New Roman;sans-serif"/>
                  <w:b w:val="false"/>
                  <w:color w:val="000080"/>
                  <w:sz w:val="20"/>
                  <w:u w:val="single"/>
                </w:rPr>
                <w:t>Thr</w:t>
              </w:r>
            </w:hyperlink>
            <w:hyperlink w:anchor="id4c32cea32e148578c3ef2cc4f0e83f8_22">
              <w:r>
                <w:rPr>
                  <w:rStyle w:val="InternetLink"/>
                  <w:rFonts w:ascii="Times New Roman;sans-serif" w:hAnsi="Times New Roman;sans-serif"/>
                  <w:b w:val="false"/>
                  <w:color w:val="000080"/>
                  <w:sz w:val="20"/>
                  <w:u w:val="single"/>
                </w:rPr>
                <w:t xml:space="preserve">ee and </w:t>
              </w:r>
            </w:hyperlink>
            <w:hyperlink w:anchor="id4c32cea32e148578c3ef2cc4f0e83f8_22">
              <w:r>
                <w:rPr>
                  <w:rStyle w:val="InternetLink"/>
                  <w:rFonts w:ascii="Times New Roman;sans-serif" w:hAnsi="Times New Roman;sans-serif"/>
                  <w:b w:val="false"/>
                  <w:color w:val="000080"/>
                  <w:sz w:val="20"/>
                  <w:u w:val="single"/>
                </w:rPr>
                <w:t>Six</w:t>
              </w:r>
            </w:hyperlink>
            <w:hyperlink w:anchor="id4c32cea32e148578c3ef2cc4f0e83f8_22">
              <w:r>
                <w:rPr>
                  <w:rStyle w:val="InternetLink"/>
                  <w:rFonts w:ascii="Times New Roman;sans-serif" w:hAnsi="Times New Roman;sans-serif"/>
                  <w:b w:val="false"/>
                  <w:color w:val="000080"/>
                  <w:sz w:val="20"/>
                  <w:u w:val="single"/>
                </w:rPr>
                <w:t xml:space="preserve"> Months Ended </w:t>
              </w:r>
            </w:hyperlink>
            <w:hyperlink w:anchor="id4c32cea32e148578c3ef2cc4f0e83f8_22">
              <w:r>
                <w:rPr>
                  <w:rStyle w:val="InternetLink"/>
                  <w:rFonts w:ascii="Times New Roman;sans-serif" w:hAnsi="Times New Roman;sans-serif"/>
                  <w:b w:val="false"/>
                  <w:color w:val="000080"/>
                  <w:sz w:val="20"/>
                  <w:u w:val="single"/>
                </w:rPr>
                <w:t>April 30</w:t>
              </w:r>
            </w:hyperlink>
            <w:hyperlink w:anchor="id4c32cea32e148578c3ef2cc4f0e83f8_22">
              <w:r>
                <w:rPr>
                  <w:rStyle w:val="InternetLink"/>
                  <w:rFonts w:ascii="Times New Roman;sans-serif" w:hAnsi="Times New Roman;sans-serif"/>
                  <w:b w:val="false"/>
                  <w:color w:val="000080"/>
                  <w:sz w:val="20"/>
                  <w:u w:val="single"/>
                </w:rPr>
                <w:t>, 2023 and 2022</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22">
              <w:r>
                <w:rPr>
                  <w:rStyle w:val="InternetLink"/>
                  <w:rFonts w:ascii="Times New Roman;sans-serif" w:hAnsi="Times New Roman;sans-serif"/>
                  <w:b w:val="false"/>
                  <w:color w:val="0000FF"/>
                  <w:sz w:val="20"/>
                  <w:u w:val="single"/>
                </w:rPr>
                <w:t>3</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25">
              <w:r>
                <w:rPr>
                  <w:rStyle w:val="InternetLink"/>
                  <w:rFonts w:ascii="Times New Roman;sans-serif" w:hAnsi="Times New Roman;sans-serif"/>
                  <w:b w:val="false"/>
                  <w:color w:val="000080"/>
                  <w:sz w:val="20"/>
                  <w:u w:val="single"/>
                </w:rPr>
                <w:t xml:space="preserve">Condensed Consolidated Statements of Cash Flows – </w:t>
              </w:r>
            </w:hyperlink>
            <w:r>
              <w:rPr>
                <w:rFonts w:ascii="Times New Roman;sans-serif" w:hAnsi="Times New Roman;sans-serif"/>
                <w:b w:val="false"/>
                <w:color w:val="0000FF"/>
                <w:sz w:val="20"/>
                <w:u w:val="single"/>
              </w:rPr>
              <w:t>Six Months Ended April 30, 2023 and 2022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25">
              <w:r>
                <w:rPr>
                  <w:rStyle w:val="InternetLink"/>
                  <w:rFonts w:ascii="Times New Roman;sans-serif" w:hAnsi="Times New Roman;sans-serif"/>
                  <w:b w:val="false"/>
                  <w:color w:val="0000FF"/>
                  <w:sz w:val="20"/>
                  <w:u w:val="single"/>
                </w:rPr>
                <w:t>4</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28">
              <w:r>
                <w:rPr>
                  <w:rStyle w:val="InternetLink"/>
                  <w:rFonts w:ascii="Times New Roman;sans-serif" w:hAnsi="Times New Roman;sans-serif"/>
                  <w:b w:val="false"/>
                  <w:color w:val="000080"/>
                  <w:sz w:val="20"/>
                  <w:u w:val="single"/>
                </w:rPr>
                <w:t xml:space="preserve">Condensed Consolidated Statement of Stockholders’ Equity – </w:t>
              </w:r>
            </w:hyperlink>
            <w:r>
              <w:rPr>
                <w:rFonts w:ascii="Times New Roman;sans-serif" w:hAnsi="Times New Roman;sans-serif"/>
                <w:b w:val="false"/>
                <w:color w:val="0000FF"/>
                <w:sz w:val="20"/>
                <w:u w:val="single"/>
              </w:rPr>
              <w:t>Six Months Ended April 30, 2023 and 2022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28">
              <w:r>
                <w:rPr>
                  <w:rStyle w:val="InternetLink"/>
                  <w:rFonts w:ascii="Times New Roman;sans-serif" w:hAnsi="Times New Roman;sans-serif"/>
                  <w:b w:val="false"/>
                  <w:color w:val="0000FF"/>
                  <w:sz w:val="20"/>
                  <w:u w:val="single"/>
                </w:rPr>
                <w:t>5</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34">
              <w:r>
                <w:rPr>
                  <w:rStyle w:val="InternetLink"/>
                  <w:rFonts w:ascii="Times New Roman;sans-serif" w:hAnsi="Times New Roman;sans-serif"/>
                  <w:b w:val="false"/>
                  <w:color w:val="0000FF"/>
                  <w:sz w:val="20"/>
                  <w:u w:val="single"/>
                </w:rPr>
                <w:t>Notes to Unaudited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34">
              <w:r>
                <w:rPr>
                  <w:rStyle w:val="InternetLink"/>
                  <w:rFonts w:ascii="Times New Roman;sans-serif" w:hAnsi="Times New Roman;sans-serif"/>
                  <w:b w:val="false"/>
                  <w:color w:val="0000FF"/>
                  <w:sz w:val="20"/>
                  <w:u w:val="single"/>
                </w:rPr>
                <w:t>7</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 2:</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97">
              <w:r>
                <w:rPr>
                  <w:rStyle w:val="InternetLink"/>
                  <w:rFonts w:ascii="Times New Roman;sans-serif" w:hAnsi="Times New Roman;sans-serif"/>
                  <w:b/>
                  <w:strike w:val="false"/>
                  <w:dstrike w:val="false"/>
                  <w:color w:val="0000FF"/>
                  <w:sz w:val="20"/>
                  <w:u w:val="none"/>
                  <w:effect w:val="non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97">
              <w:r>
                <w:rPr>
                  <w:rStyle w:val="InternetLink"/>
                  <w:rFonts w:ascii="Times New Roman;sans-serif" w:hAnsi="Times New Roman;sans-serif"/>
                  <w:b w:val="false"/>
                  <w:color w:val="0000FF"/>
                  <w:sz w:val="20"/>
                  <w:u w:val="single"/>
                </w:rPr>
                <w:t>26</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 3:</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115">
              <w:r>
                <w:rPr>
                  <w:rStyle w:val="InternetLink"/>
                  <w:rFonts w:ascii="Times New Roman;sans-serif" w:hAnsi="Times New Roman;sans-serif"/>
                  <w:b/>
                  <w:strike w:val="false"/>
                  <w:dstrike w:val="false"/>
                  <w:color w:val="0000FF"/>
                  <w:sz w:val="20"/>
                  <w:u w:val="none"/>
                  <w:effect w:val="non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115">
              <w:r>
                <w:rPr>
                  <w:rStyle w:val="InternetLink"/>
                  <w:rFonts w:ascii="Times New Roman;sans-serif" w:hAnsi="Times New Roman;sans-serif"/>
                  <w:b w:val="false"/>
                  <w:color w:val="0000FF"/>
                  <w:sz w:val="20"/>
                  <w:u w:val="single"/>
                </w:rPr>
                <w:t>35</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 4:</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118">
              <w:r>
                <w:rPr>
                  <w:rStyle w:val="InternetLink"/>
                  <w:rFonts w:ascii="Times New Roman;sans-serif" w:hAnsi="Times New Roman;sans-serif"/>
                  <w:b/>
                  <w:strike w:val="false"/>
                  <w:dstrike w:val="false"/>
                  <w:color w:val="0000FF"/>
                  <w:sz w:val="20"/>
                  <w:u w:val="none"/>
                  <w:effect w:val="non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118">
              <w:r>
                <w:rPr>
                  <w:rStyle w:val="InternetLink"/>
                  <w:rFonts w:ascii="Times New Roman;sans-serif" w:hAnsi="Times New Roman;sans-serif"/>
                  <w:b w:val="false"/>
                  <w:color w:val="0000FF"/>
                  <w:sz w:val="20"/>
                  <w:u w:val="single"/>
                </w:rPr>
                <w:t>36</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121">
              <w:r>
                <w:rPr>
                  <w:rStyle w:val="InternetLink"/>
                  <w:rFonts w:ascii="Times New Roman;sans-serif" w:hAnsi="Times New Roman;sans-serif"/>
                  <w:b w:val="false"/>
                  <w:strike w:val="false"/>
                  <w:dstrike w:val="false"/>
                  <w:color w:val="0000FF"/>
                  <w:sz w:val="20"/>
                  <w:u w:val="none"/>
                  <w:effect w:val="non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121">
              <w:r>
                <w:rPr>
                  <w:rStyle w:val="InternetLink"/>
                  <w:rFonts w:ascii="Times New Roman;sans-serif" w:hAnsi="Times New Roman;sans-serif"/>
                  <w:b w:val="false"/>
                  <w:color w:val="0000FF"/>
                  <w:sz w:val="20"/>
                  <w:u w:val="single"/>
                </w:rPr>
                <w:t>37</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 1A:</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124">
              <w:r>
                <w:rPr>
                  <w:rStyle w:val="InternetLink"/>
                  <w:rFonts w:ascii="Times New Roman;sans-serif" w:hAnsi="Times New Roman;sans-serif"/>
                  <w:b/>
                  <w:strike w:val="false"/>
                  <w:dstrike w:val="false"/>
                  <w:color w:val="0000FF"/>
                  <w:sz w:val="20"/>
                  <w:u w:val="none"/>
                  <w:effect w:val="non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124">
              <w:r>
                <w:rPr>
                  <w:rStyle w:val="InternetLink"/>
                  <w:rFonts w:ascii="Times New Roman;sans-serif" w:hAnsi="Times New Roman;sans-serif"/>
                  <w:b w:val="false"/>
                  <w:color w:val="0000FF"/>
                  <w:sz w:val="20"/>
                  <w:u w:val="single"/>
                </w:rPr>
                <w:t>37</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 2:</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127">
              <w:r>
                <w:rPr>
                  <w:rStyle w:val="InternetLink"/>
                  <w:rFonts w:ascii="Times New Roman;sans-serif" w:hAnsi="Times New Roman;sans-serif"/>
                  <w:b/>
                  <w:strike w:val="false"/>
                  <w:dstrike w:val="false"/>
                  <w:color w:val="0000FF"/>
                  <w:sz w:val="20"/>
                  <w:u w:val="none"/>
                  <w:effect w:val="non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127">
              <w:r>
                <w:rPr>
                  <w:rStyle w:val="InternetLink"/>
                  <w:rFonts w:ascii="Times New Roman;sans-serif" w:hAnsi="Times New Roman;sans-serif"/>
                  <w:b w:val="false"/>
                  <w:color w:val="0000FF"/>
                  <w:sz w:val="20"/>
                  <w:u w:val="single"/>
                </w:rPr>
                <w:t>37</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 5:</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1154">
              <w:r>
                <w:rPr>
                  <w:rStyle w:val="InternetLink"/>
                  <w:rFonts w:ascii="Times New Roman;sans-serif" w:hAnsi="Times New Roman;sans-serif"/>
                  <w:b/>
                  <w:strike w:val="false"/>
                  <w:dstrike w:val="false"/>
                  <w:color w:val="0000FF"/>
                  <w:sz w:val="20"/>
                  <w:u w:val="none"/>
                  <w:effect w:val="non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1154">
              <w:r>
                <w:rPr>
                  <w:rStyle w:val="InternetLink"/>
                  <w:rFonts w:ascii="Times New Roman;sans-serif" w:hAnsi="Times New Roman;sans-serif"/>
                  <w:b w:val="false"/>
                  <w:color w:val="0000FF"/>
                  <w:sz w:val="20"/>
                  <w:u w:val="single"/>
                </w:rPr>
                <w:t>37</w:t>
              </w:r>
            </w:hyperlink>
          </w:p>
        </w:tc>
      </w:tr>
      <w:tr>
        <w:trPr/>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 6:</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c32cea32e148578c3ef2cc4f0e83f8_130">
              <w:r>
                <w:rPr>
                  <w:rStyle w:val="InternetLink"/>
                  <w:rFonts w:ascii="Times New Roman;sans-serif" w:hAnsi="Times New Roman;sans-serif"/>
                  <w:b/>
                  <w:strike w:val="false"/>
                  <w:dstrike w:val="false"/>
                  <w:color w:val="0000FF"/>
                  <w:sz w:val="20"/>
                  <w:u w:val="none"/>
                  <w:effect w:val="non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c32cea32e148578c3ef2cc4f0e83f8_130">
              <w:r>
                <w:rPr>
                  <w:rStyle w:val="InternetLink"/>
                  <w:rFonts w:ascii="Times New Roman;sans-serif" w:hAnsi="Times New Roman;sans-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3015"/>
        <w:gridCol w:w="2273"/>
        <w:gridCol w:w="2251"/>
        <w:gridCol w:w="211"/>
        <w:gridCol w:w="826"/>
        <w:gridCol w:w="109"/>
        <w:gridCol w:w="109"/>
        <w:gridCol w:w="109"/>
        <w:gridCol w:w="109"/>
        <w:gridCol w:w="211"/>
        <w:gridCol w:w="826"/>
        <w:gridCol w:w="156"/>
      </w:tblGrid>
      <w:tr>
        <w:trPr/>
        <w:tc>
          <w:tcPr>
            <w:tcW w:w="3015"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w:t>
              <w:br/>
              <w:t>2022</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w:t>
              <w:br/>
              <w:t>amounts)</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Accounts receivable, net of allowance for credit losses of </w:t>
            </w:r>
            <w:r>
              <w:rPr>
                <w:rFonts w:ascii="Times New Roman;sans-serif" w:hAnsi="Times New Roman;sans-serif"/>
                <w:b w:val="false"/>
                <w:color w:val="000000"/>
                <w:sz w:val="20"/>
                <w:shd w:fill="FFFFFF" w:val="clear"/>
              </w:rPr>
              <w:t>$398</w:t>
            </w:r>
            <w:r>
              <w:rPr>
                <w:color w:val="000000"/>
              </w:rPr>
              <w:t xml:space="preserve"> </w:t>
            </w:r>
            <w:r>
              <w:rPr>
                <w:rFonts w:ascii="Times New Roman;sans-serif" w:hAnsi="Times New Roman;sans-serif"/>
                <w:b w:val="false"/>
                <w:color w:val="000000"/>
                <w:sz w:val="20"/>
              </w:rPr>
              <w:t>and $289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Property, plant and equipment, net of accumulated depreciation of </w:t>
            </w:r>
            <w:r>
              <w:rPr>
                <w:rFonts w:ascii="Times New Roman;sans-serif" w:hAnsi="Times New Roman;sans-serif"/>
                <w:b w:val="false"/>
                <w:color w:val="000000"/>
                <w:sz w:val="20"/>
                <w:shd w:fill="FFFFFF" w:val="clear"/>
              </w:rPr>
              <w:t>$364,437</w:t>
            </w:r>
            <w:r>
              <w:rPr>
                <w:color w:val="000000"/>
              </w:rPr>
              <w:t xml:space="preserve"> </w:t>
            </w:r>
            <w:r>
              <w:rPr>
                <w:rFonts w:ascii="Times New Roman;sans-serif" w:hAnsi="Times New Roman;sans-serif"/>
                <w:b w:val="false"/>
                <w:color w:val="000000"/>
                <w:sz w:val="20"/>
              </w:rPr>
              <w:t>and $348,528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pension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no par value, shares authorized 1,000,000; issued and outstanding - none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Common stock, $0.01 par value, shares authorized 125,000,000; issued </w:t>
            </w:r>
            <w:r>
              <w:rPr>
                <w:rFonts w:ascii="Times New Roman;sans-serif" w:hAnsi="Times New Roman;sans-serif"/>
                <w:b w:val="false"/>
                <w:color w:val="000000"/>
                <w:sz w:val="20"/>
                <w:shd w:fill="CCEEFF" w:val="clear"/>
              </w:rPr>
              <w:t>37,187,058</w:t>
            </w:r>
            <w:r>
              <w:rPr>
                <w:color w:val="000000"/>
              </w:rPr>
              <w:t xml:space="preserve"> </w:t>
            </w:r>
            <w:r>
              <w:rPr>
                <w:rFonts w:ascii="Times New Roman;sans-serif" w:hAnsi="Times New Roman;sans-serif"/>
                <w:b w:val="false"/>
                <w:color w:val="000000"/>
                <w:sz w:val="20"/>
              </w:rPr>
              <w:t xml:space="preserve">and 37,211,056, respectively; outstanding </w:t>
            </w:r>
            <w:r>
              <w:rPr>
                <w:rFonts w:ascii="Times New Roman;sans-serif" w:hAnsi="Times New Roman;sans-serif"/>
                <w:b w:val="false"/>
                <w:color w:val="000000"/>
                <w:sz w:val="20"/>
                <w:shd w:fill="CCEEFF" w:val="clear"/>
              </w:rPr>
              <w:t>32,962,632</w:t>
            </w:r>
            <w:r>
              <w:rPr>
                <w:color w:val="000000"/>
              </w:rPr>
              <w:t xml:space="preserve"> </w:t>
            </w:r>
            <w:r>
              <w:rPr>
                <w:rFonts w:ascii="Times New Roman;sans-serif" w:hAnsi="Times New Roman;sans-serif"/>
                <w:b w:val="false"/>
                <w:color w:val="000000"/>
                <w:sz w:val="20"/>
              </w:rPr>
              <w:t>and 33,129,250,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Treasury stock at cost, </w:t>
            </w:r>
            <w:r>
              <w:rPr>
                <w:rFonts w:ascii="Times New Roman;sans-serif" w:hAnsi="Times New Roman;sans-serif"/>
                <w:b w:val="false"/>
                <w:color w:val="000000"/>
                <w:sz w:val="20"/>
                <w:shd w:fill="CCEEFF" w:val="clear"/>
              </w:rPr>
              <w:t>4,224,426</w:t>
            </w:r>
            <w:r>
              <w:rPr>
                <w:color w:val="000000"/>
              </w:rPr>
              <w:t xml:space="preserve"> </w:t>
            </w:r>
            <w:r>
              <w:rPr>
                <w:rFonts w:ascii="Times New Roman;sans-serif" w:hAnsi="Times New Roman;sans-serif"/>
                <w:b w:val="false"/>
                <w:color w:val="000000"/>
                <w:sz w:val="20"/>
              </w:rPr>
              <w:t>and 4,081,806 shares,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724,617 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661"/>
        <w:gridCol w:w="1453"/>
        <w:gridCol w:w="148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6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and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(expense)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89" w:type="dxa"/>
        <w:jc w:val="center"/>
        <w:tblInd w:w="0" w:type="dxa"/>
        <w:tblLayout w:type="fixed"/>
        <w:tblCellMar>
          <w:top w:w="28" w:type="dxa"/>
          <w:left w:w="28" w:type="dxa"/>
          <w:bottom w:w="28" w:type="dxa"/>
          <w:right w:w="28" w:type="dxa"/>
        </w:tblCellMar>
      </w:tblPr>
      <w:tblGrid>
        <w:gridCol w:w="1193"/>
        <w:gridCol w:w="1047"/>
        <w:gridCol w:w="105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9684" w:type="dxa"/>
        <w:jc w:val="left"/>
        <w:tblInd w:w="0" w:type="dxa"/>
        <w:tblLayout w:type="fixed"/>
        <w:tblCellMar>
          <w:top w:w="28" w:type="dxa"/>
          <w:left w:w="28" w:type="dxa"/>
          <w:bottom w:w="28" w:type="dxa"/>
          <w:right w:w="28" w:type="dxa"/>
        </w:tblCellMar>
      </w:tblPr>
      <w:tblGrid>
        <w:gridCol w:w="2620"/>
        <w:gridCol w:w="2297"/>
        <w:gridCol w:w="2313"/>
        <w:gridCol w:w="211"/>
        <w:gridCol w:w="721"/>
        <w:gridCol w:w="109"/>
        <w:gridCol w:w="109"/>
        <w:gridCol w:w="109"/>
        <w:gridCol w:w="109"/>
        <w:gridCol w:w="211"/>
        <w:gridCol w:w="721"/>
        <w:gridCol w:w="154"/>
      </w:tblGrid>
      <w:tr>
        <w:trPr/>
        <w:tc>
          <w:tcPr>
            <w:tcW w:w="2620"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provided by (used for)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deferred pension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capital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for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credit facilities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credit facility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other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dividends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 paid to settle shares forfeited upon vesting of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50"/>
        <w:gridCol w:w="483"/>
        <w:gridCol w:w="486"/>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60"/>
        <w:gridCol w:w="911"/>
        <w:gridCol w:w="136"/>
        <w:gridCol w:w="109"/>
        <w:gridCol w:w="109"/>
        <w:gridCol w:w="109"/>
        <w:gridCol w:w="211"/>
        <w:gridCol w:w="751"/>
        <w:gridCol w:w="109"/>
        <w:gridCol w:w="109"/>
        <w:gridCol w:w="109"/>
        <w:gridCol w:w="109"/>
        <w:gridCol w:w="211"/>
        <w:gridCol w:w="826"/>
        <w:gridCol w:w="158"/>
      </w:tblGrid>
      <w:tr>
        <w:trPr/>
        <w:tc>
          <w:tcPr>
            <w:tcW w:w="9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Six Months Ended April 30, 2023</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no per share amounts shown except in verbiage)</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October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dividends ($0.08 per share)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activity:</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related to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granted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restricted stock units vested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dividends ($0.08 per share)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activity:</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related to stock-based compensation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50"/>
        <w:gridCol w:w="483"/>
        <w:gridCol w:w="487"/>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60"/>
        <w:gridCol w:w="911"/>
        <w:gridCol w:w="136"/>
        <w:gridCol w:w="109"/>
        <w:gridCol w:w="109"/>
        <w:gridCol w:w="109"/>
        <w:gridCol w:w="211"/>
        <w:gridCol w:w="751"/>
        <w:gridCol w:w="109"/>
        <w:gridCol w:w="109"/>
        <w:gridCol w:w="109"/>
        <w:gridCol w:w="109"/>
        <w:gridCol w:w="211"/>
        <w:gridCol w:w="826"/>
        <w:gridCol w:w="157"/>
      </w:tblGrid>
      <w:tr>
        <w:trPr/>
        <w:tc>
          <w:tcPr>
            <w:tcW w:w="9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Six Months Ended April 30, 2022</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no per share amounts shown except in verbiage)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October 31, 2021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dividends ($0.08 per share)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activity:</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related to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granted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restricted stock units vested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dividends ($0.08 per share)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activity:</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related to stock-based compensation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30, 2022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(36,197)</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436,174 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tbl>
      <w:tblPr>
        <w:tblW w:w="398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 Nature of Operations and Basis of Presentation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Quanex Building Products Corporation is a global, publicly traded manufacturing company primarily serving original equipment manufacturers (OEMs) in the fenestration, cabinetry, solar, refrigeration and outdoor products markets.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customized compounds, water retention barriers, and conservatory roof components. We have organized our business into three reportable business segments. For additional discussion of our reportable business segments, see Note 12,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 </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indicates otherwise, references to “Quanex”, the “Company”, “we”, “us” and “our” refer to the consolidated business operations of Quanex Building Products Corporation and its subsidiaries.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2022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2022.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performance obligation is a promise to provide the customer with a good or service. Our performance obligations include product sales, with each product included in a customer contract being recognized as a separate performance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contracts with multiple performance obligations, the standalone selling price of each product is generally readily observable.</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expense incremental costs of obtaining a contract when incurred because the amortization period would be less than one year. Additionally, we do not disclose the value of unsatisfied performance obligations for contracts with an original expected length of one year or less.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Pricing and sales incentives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Pricing is established at or prior to the time of sale with our customers and we record sales at the agreed-upon net selling price, reflective of current and prospective discounts.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Shipping and handling costs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which is not significant, is recorded when we have remaining unsatisfied performance obligations for which we have received consideration.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product sales for the three and six months ended April 30, 2023 and 2022 into groupings by segment which we believe depicts how the nature, amount, timing and uncertainty of our revenues and cash flows are affected by economic factors. For further details regarding our results by segment, refer to Note 13, “Segment Information”.</w:t>
      </w:r>
    </w:p>
    <w:tbl>
      <w:tblPr>
        <w:tblW w:w="8970" w:type="dxa"/>
        <w:jc w:val="center"/>
        <w:tblInd w:w="0" w:type="dxa"/>
        <w:tblLayout w:type="fixed"/>
        <w:tblCellMar>
          <w:top w:w="28" w:type="dxa"/>
          <w:left w:w="28" w:type="dxa"/>
          <w:bottom w:w="28" w:type="dxa"/>
          <w:right w:w="28" w:type="dxa"/>
        </w:tblCellMar>
      </w:tblPr>
      <w:tblGrid>
        <w:gridCol w:w="1217"/>
        <w:gridCol w:w="1069"/>
        <w:gridCol w:w="107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North American Fenestration: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 fenestration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 fenestration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 non-fenestration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 non-fenestration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European Fenestration: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 fenestration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 non-fenestration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North American Cabinet Components: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 fenestration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 non-fenestration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 non-fenestration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Unallocated Corporate &amp; Other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Related Parties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shd w:fill="FFFFFF" w:val="clear"/>
        </w:rPr>
        <w:t>N</w:t>
      </w:r>
      <w:r>
        <w:rPr>
          <w:rFonts w:ascii="Times New Roman;sans-serif" w:hAnsi="Times New Roman;sans-serif"/>
          <w:b w:val="false"/>
          <w:color w:val="000000"/>
          <w:sz w:val="20"/>
        </w:rPr>
        <w:t>et sales include transactions with a customer which is a related party with one of our non-employee directors for the six months ended April 30, 2023 of approxim</w:t>
      </w:r>
      <w:r>
        <w:rPr>
          <w:rFonts w:ascii="Times New Roman;sans-serif" w:hAnsi="Times New Roman;sans-serif"/>
          <w:b w:val="false"/>
          <w:color w:val="000000"/>
          <w:sz w:val="20"/>
          <w:shd w:fill="FFFFFF" w:val="clear"/>
        </w:rPr>
        <w:t>ately $0.6 million and $1.1 million for the comparable prior year period</w:t>
      </w:r>
      <w:r>
        <w:rPr>
          <w:rFonts w:ascii="Times New Roman;sans-serif" w:hAnsi="Times New Roman;sans-serif"/>
          <w:b w:val="false"/>
          <w:color w:val="000000"/>
          <w:sz w:val="20"/>
        </w:rPr>
        <w:t>. We performed a review of these transactions, of which no single transaction or series of related transactions exceeded $120,000 in amount, and determined that these transactions were enacted independently of each other. We are not aware of any other related party transactions with any of our current non-employee directors or officers outside of their normal business functions or expected contractual duties.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 Acquisition</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On November 1, 2022, we entered into an Asset Purchase Agreement (the “Purchase Agreement”) with LMI Custom Mixing, LLC (“LMI”) and the equity owners of LMI, Lauren International, Ltd. and Meteor-US-Beteiligungs GMBH. Under the Purchase Agreement, we acquired substantially all of the operating assets comprising LMI’s polymer mixing and rubber compound production business (collectively, the “Purchased Assets”) and also agreed to assume certain liabilities relating to the Purchased Assets (collectively, the “Acquisition”). As consideration for the Purchased Assets, we paid </w:t>
      </w:r>
      <w:r>
        <w:rPr>
          <w:rFonts w:ascii="Times New Roman;sans-serif" w:hAnsi="Times New Roman;sans-serif"/>
          <w:b w:val="false"/>
          <w:color w:val="000000"/>
          <w:sz w:val="20"/>
          <w:shd w:fill="FFFFFF" w:val="clear"/>
        </w:rPr>
        <w:t>$91.3 million</w:t>
      </w:r>
      <w:r>
        <w:rPr>
          <w:color w:val="000000"/>
        </w:rPr>
        <w:t xml:space="preserve"> </w:t>
      </w:r>
      <w:r>
        <w:rPr>
          <w:rFonts w:ascii="Times New Roman;sans-serif" w:hAnsi="Times New Roman;sans-serif"/>
          <w:b w:val="false"/>
          <w:color w:val="000000"/>
          <w:sz w:val="20"/>
        </w:rPr>
        <w:t>in cash utilizing funds borrowed under our Credit Facility. Subsequent to the Acquisition, we had approximately $215 million available for use under t</w:t>
      </w:r>
      <w:r>
        <w:rPr>
          <w:rFonts w:ascii="Times New Roman;sans-serif" w:hAnsi="Times New Roman;sans-serif"/>
          <w:b w:val="false"/>
          <w:color w:val="000000"/>
          <w:sz w:val="20"/>
          <w:shd w:fill="FFFFFF" w:val="clear"/>
        </w:rPr>
        <w:t>he Credit Facility. For the three and six months ended April 30, 2023, our consolidated operating results included net sales of $17.8 million and $34.2 million, respectively, and operating income of $1.4 million and $3.4 million, respectively, associated with LMI. In connection with the Acquisition, we amended our existing financ</w:t>
      </w:r>
      <w:r>
        <w:rPr>
          <w:rFonts w:ascii="Times New Roman;sans-serif" w:hAnsi="Times New Roman;sans-serif"/>
          <w:b w:val="false"/>
          <w:color w:val="000000"/>
          <w:sz w:val="20"/>
        </w:rPr>
        <w:t>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shd w:fill="FFFFFF" w:val="clear"/>
        </w:rPr>
        <w:t xml:space="preserve">As of April 30, 2023, we are still determining the purchase price allocation for </w:t>
      </w:r>
      <w:r>
        <w:rPr>
          <w:rFonts w:ascii="Times New Roman;sans-serif" w:hAnsi="Times New Roman;sans-serif"/>
          <w:b w:val="false"/>
          <w:color w:val="000000"/>
          <w:sz w:val="20"/>
        </w:rPr>
        <w:t>LMI</w:t>
      </w:r>
      <w:r>
        <w:rPr>
          <w:rFonts w:ascii="Times New Roman;sans-serif" w:hAnsi="Times New Roman;sans-serif"/>
          <w:b w:val="false"/>
          <w:color w:val="000000"/>
          <w:sz w:val="20"/>
          <w:shd w:fill="FFFFFF" w:val="clear"/>
        </w:rPr>
        <w:t xml:space="preserve">. A preliminary purchase price allocation of the fair value of the assets acquired and liabilities assumed is included in the table below. These estimates are subject to change and will likely result in an increase or decrease in goodwill, particularly with regard to third-party valuations and our estimates of fixed assets, intangible assets, and inventory, during the measurement period, which may extend up to one year from the acquisition date. During the three months ended April 30, 2023, we reduced both the opening balance of goodwill and consideration paid by </w:t>
      </w:r>
      <w:r>
        <w:rPr>
          <w:rFonts w:ascii="Times New Roman;sans-serif" w:hAnsi="Times New Roman;sans-serif"/>
          <w:b w:val="false"/>
          <w:color w:val="000000"/>
          <w:sz w:val="20"/>
        </w:rPr>
        <w:t>$0.7 million</w:t>
      </w:r>
      <w:r>
        <w:rPr>
          <w:color w:val="000000"/>
          <w:shd w:fill="FFFFFF" w:val="clear"/>
        </w:rPr>
        <w:t xml:space="preserve"> </w:t>
      </w:r>
      <w:r>
        <w:rPr>
          <w:rFonts w:ascii="Times New Roman;sans-serif" w:hAnsi="Times New Roman;sans-serif"/>
          <w:b w:val="false"/>
          <w:color w:val="000000"/>
          <w:sz w:val="20"/>
          <w:shd w:fill="FFFFFF" w:val="clear"/>
        </w:rPr>
        <w:t xml:space="preserve">due to the settlement of the post-closing working capital adjustment with LMI. </w:t>
      </w:r>
    </w:p>
    <w:tbl>
      <w:tblPr>
        <w:tblW w:w="5790" w:type="dxa"/>
        <w:jc w:val="left"/>
        <w:tblInd w:w="0" w:type="dxa"/>
        <w:tblLayout w:type="fixed"/>
        <w:tblCellMar>
          <w:top w:w="28" w:type="dxa"/>
          <w:left w:w="28" w:type="dxa"/>
          <w:bottom w:w="28" w:type="dxa"/>
          <w:right w:w="28" w:type="dxa"/>
        </w:tblCellMar>
      </w:tblPr>
      <w:tblGrid>
        <w:gridCol w:w="1440"/>
        <w:gridCol w:w="1264"/>
        <w:gridCol w:w="1271"/>
        <w:gridCol w:w="352"/>
        <w:gridCol w:w="1204"/>
        <w:gridCol w:w="259"/>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Date of</w:t>
              <w:br/>
              <w:t>Opening Balance Sheet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(finance leases)</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w:t>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net of cash and cash equivalents acquired</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91,302 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used recognized valuation techniques to determine the preliminary fair value of the assets and liabilities, including the excess earnings method for customer relationships and relief from royalty method for trade names and other technology with a discount rate that reflects the risk of the expected future cash flows. The goodwill balance is deductible for tax purposes. LMI is allocated entirely to our North American Fenestration reportable operating segment.</w:t>
      </w:r>
    </w:p>
    <w:p>
      <w:pPr>
        <w:pStyle w:val="TextBody"/>
        <w:bidi w:val="0"/>
        <w:spacing w:lineRule="auto" w:line="288" w:before="180" w:after="283"/>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Pro Forma Results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calculated the pro forma impact of the LMI acquisitions and the associated debt financing on our operating results for the three months ended April 30, 2022. The following pro forma results give effect to these acquisitions, assuming the transactions occurred on November 1,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tbl>
      <w:tblPr>
        <w:tblW w:w="6791" w:type="dxa"/>
        <w:jc w:val="center"/>
        <w:tblInd w:w="0" w:type="dxa"/>
        <w:tblLayout w:type="fixed"/>
        <w:tblCellMar>
          <w:top w:w="28" w:type="dxa"/>
          <w:left w:w="28" w:type="dxa"/>
          <w:bottom w:w="28" w:type="dxa"/>
          <w:right w:w="28" w:type="dxa"/>
        </w:tblCellMar>
      </w:tblPr>
      <w:tblGrid>
        <w:gridCol w:w="810"/>
        <w:gridCol w:w="709"/>
        <w:gridCol w:w="716"/>
        <w:gridCol w:w="403"/>
        <w:gridCol w:w="1579"/>
        <w:gridCol w:w="208"/>
        <w:gridCol w:w="109"/>
        <w:gridCol w:w="109"/>
        <w:gridCol w:w="109"/>
        <w:gridCol w:w="361"/>
        <w:gridCol w:w="1415"/>
        <w:gridCol w:w="263"/>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 Results</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2022</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339,514 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621,872 </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40,603 </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Times New Roman;sans-serif" w:hAnsi="Times New Roman;sans-serif"/>
          <w:b w:val="false"/>
          <w:color w:val="000000"/>
          <w:sz w:val="20"/>
        </w:rPr>
        <w:t>We derived the pro forma results for the LMI acquisition based on historical financial information obtained from the sellers and certain management assumptions. Our pro forma adjustm</w:t>
      </w:r>
      <w:r>
        <w:rPr>
          <w:rFonts w:ascii="Times New Roman;sans-serif" w:hAnsi="Times New Roman;sans-serif"/>
          <w:b w:val="false"/>
          <w:color w:val="000000"/>
          <w:sz w:val="20"/>
          <w:shd w:fill="FFFFFF" w:val="clear"/>
        </w:rPr>
        <w:t xml:space="preserve">ents relate to the elimination of LMI intercompany sales to our North American Fenestration reportable segment and related </w:t>
      </w:r>
      <w:r>
        <w:rPr>
          <w:rFonts w:ascii="Times New Roman;sans-serif" w:hAnsi="Times New Roman;sans-serif"/>
          <w:b w:val="false"/>
          <w:color w:val="000000"/>
          <w:sz w:val="20"/>
        </w:rPr>
        <w:t>cost of sales, incremental depreciation and amortization expense associated with property, plant and equipment and intangible assets to affect the transactions, assu</w:t>
      </w:r>
      <w:r>
        <w:rPr>
          <w:rFonts w:ascii="Times New Roman;sans-serif" w:hAnsi="Times New Roman;sans-serif"/>
          <w:b w:val="false"/>
          <w:color w:val="000000"/>
          <w:sz w:val="20"/>
          <w:shd w:fill="FFFFFF" w:val="clear"/>
        </w:rPr>
        <w:t xml:space="preserve">ming a November 1, 2021 effective date. In addition, we calculated the tax impact of these adjustments at a 25% effective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Inventories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at April 30, 2023 and October 31, 2022 (in thousands):</w:t>
      </w:r>
    </w:p>
    <w:tbl>
      <w:tblPr>
        <w:tblW w:w="5679" w:type="dxa"/>
        <w:jc w:val="center"/>
        <w:tblInd w:w="0" w:type="dxa"/>
        <w:tblLayout w:type="fixed"/>
        <w:tblCellMar>
          <w:top w:w="28" w:type="dxa"/>
          <w:left w:w="28" w:type="dxa"/>
          <w:bottom w:w="28" w:type="dxa"/>
          <w:right w:w="28" w:type="dxa"/>
        </w:tblCellMar>
      </w:tblPr>
      <w:tblGrid>
        <w:gridCol w:w="1092"/>
        <w:gridCol w:w="958"/>
        <w:gridCol w:w="965"/>
        <w:gridCol w:w="211"/>
        <w:gridCol w:w="826"/>
        <w:gridCol w:w="109"/>
        <w:gridCol w:w="109"/>
        <w:gridCol w:w="109"/>
        <w:gridCol w:w="109"/>
        <w:gridCol w:w="211"/>
        <w:gridCol w:w="82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w:t>
              <w:br/>
              <w:t>2022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and 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Inventory reserves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Fixed costs related to excess manufacturing capacity, if any, have been expensed in the period they were incurred and, therefore, are not capitalized into inventory.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4. Leases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ROU asset is measured at the initial amount of the lease liability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Additionally, we monitor for events or changes in circumstances that may require a reassessment of one of our leases and determine if a remeasurement is required.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lease-related assets and liabilities recorded on the balance sheet at April 30, 2023 and October 31, 2022 (in thousands):</w:t>
      </w:r>
    </w:p>
    <w:tbl>
      <w:tblPr>
        <w:tblW w:w="10205" w:type="dxa"/>
        <w:jc w:val="center"/>
        <w:tblInd w:w="0" w:type="dxa"/>
        <w:tblLayout w:type="fixed"/>
        <w:tblCellMar>
          <w:top w:w="28" w:type="dxa"/>
          <w:left w:w="28" w:type="dxa"/>
          <w:bottom w:w="28" w:type="dxa"/>
          <w:right w:w="28" w:type="dxa"/>
        </w:tblCellMar>
      </w:tblPr>
      <w:tblGrid>
        <w:gridCol w:w="614"/>
        <w:gridCol w:w="513"/>
        <w:gridCol w:w="522"/>
        <w:gridCol w:w="109"/>
        <w:gridCol w:w="109"/>
        <w:gridCol w:w="109"/>
        <w:gridCol w:w="1789"/>
        <w:gridCol w:w="1772"/>
        <w:gridCol w:w="1778"/>
        <w:gridCol w:w="109"/>
        <w:gridCol w:w="109"/>
        <w:gridCol w:w="109"/>
        <w:gridCol w:w="211"/>
        <w:gridCol w:w="826"/>
        <w:gridCol w:w="109"/>
        <w:gridCol w:w="109"/>
        <w:gridCol w:w="109"/>
        <w:gridCol w:w="109"/>
        <w:gridCol w:w="211"/>
        <w:gridCol w:w="721"/>
        <w:gridCol w:w="158"/>
      </w:tblGrid>
      <w:tr>
        <w:trPr/>
        <w:tc>
          <w:tcPr>
            <w:tcW w:w="61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w:t>
              <w:br/>
              <w:t>2022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Property, plant and equipment (less accumulated depreciation of </w:t>
            </w:r>
            <w:r>
              <w:rPr>
                <w:rFonts w:ascii="Times New Roman;sans-serif" w:hAnsi="Times New Roman;sans-serif"/>
                <w:b w:val="false"/>
                <w:color w:val="000000"/>
                <w:sz w:val="20"/>
                <w:shd w:fill="CCEEFF" w:val="clear"/>
              </w:rPr>
              <w:t>$5,236</w:t>
            </w:r>
            <w:r>
              <w:rPr>
                <w:color w:val="000000"/>
              </w:rPr>
              <w:t xml:space="preserve"> </w:t>
            </w:r>
            <w:r>
              <w:rPr>
                <w:rFonts w:ascii="Times New Roman;sans-serif" w:hAnsi="Times New Roman;sans-serif"/>
                <w:b w:val="false"/>
                <w:color w:val="000000"/>
                <w:sz w:val="20"/>
              </w:rPr>
              <w:t>and $3,726)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components of lease costs for the three and six months ended April 30, 2023 and 2022 was as follows (in thousands): </w:t>
      </w:r>
    </w:p>
    <w:tbl>
      <w:tblPr>
        <w:tblW w:w="7244" w:type="dxa"/>
        <w:jc w:val="left"/>
        <w:tblInd w:w="0" w:type="dxa"/>
        <w:tblLayout w:type="fixed"/>
        <w:tblCellMar>
          <w:top w:w="28" w:type="dxa"/>
          <w:left w:w="28" w:type="dxa"/>
          <w:bottom w:w="28" w:type="dxa"/>
          <w:right w:w="28" w:type="dxa"/>
        </w:tblCellMar>
      </w:tblPr>
      <w:tblGrid>
        <w:gridCol w:w="896"/>
        <w:gridCol w:w="787"/>
        <w:gridCol w:w="79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199" w:before="0" w:after="0"/>
              <w:ind w:left="0" w:right="0" w:firstLine="135"/>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199" w:before="0" w:after="0"/>
              <w:ind w:left="0" w:right="0" w:firstLine="135"/>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199" w:before="0" w:after="0"/>
              <w:ind w:left="0" w:right="0" w:firstLine="135"/>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supplemental cash flow information related to leases for the six months ended April 30, 2023 and 2022 was as follows (in thousands): </w:t>
      </w:r>
    </w:p>
    <w:tbl>
      <w:tblPr>
        <w:tblW w:w="8213" w:type="dxa"/>
        <w:jc w:val="left"/>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 financing cash flows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 - operating cash flows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 operating cash flows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weighted-average remaining lease terms and weighted-average discount rates for the Company's leases as of April 30, 2023 and October 31, 2022:</w:t>
      </w:r>
    </w:p>
    <w:tbl>
      <w:tblPr>
        <w:tblW w:w="7287" w:type="dxa"/>
        <w:jc w:val="center"/>
        <w:tblInd w:w="0" w:type="dxa"/>
        <w:tblLayout w:type="fixed"/>
        <w:tblCellMar>
          <w:top w:w="28" w:type="dxa"/>
          <w:left w:w="28" w:type="dxa"/>
          <w:bottom w:w="28" w:type="dxa"/>
          <w:right w:w="28" w:type="dxa"/>
        </w:tblCellMar>
      </w:tblPr>
      <w:tblGrid>
        <w:gridCol w:w="1581"/>
        <w:gridCol w:w="1389"/>
        <w:gridCol w:w="1394"/>
        <w:gridCol w:w="109"/>
        <w:gridCol w:w="109"/>
        <w:gridCol w:w="109"/>
        <w:gridCol w:w="257"/>
        <w:gridCol w:w="257"/>
        <w:gridCol w:w="640"/>
        <w:gridCol w:w="109"/>
        <w:gridCol w:w="109"/>
        <w:gridCol w:w="109"/>
        <w:gridCol w:w="255"/>
        <w:gridCol w:w="256"/>
        <w:gridCol w:w="60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w:t>
              <w:br/>
              <w:t>2022</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maturity of the lease liabilities as of April 30, 2023 (in thousands):</w:t>
      </w:r>
    </w:p>
    <w:tbl>
      <w:tblPr>
        <w:tblW w:w="5708" w:type="dxa"/>
        <w:jc w:val="center"/>
        <w:tblInd w:w="0" w:type="dxa"/>
        <w:tblLayout w:type="fixed"/>
        <w:tblCellMar>
          <w:top w:w="28" w:type="dxa"/>
          <w:left w:w="28" w:type="dxa"/>
          <w:bottom w:w="28" w:type="dxa"/>
          <w:right w:w="28" w:type="dxa"/>
        </w:tblCellMar>
      </w:tblPr>
      <w:tblGrid>
        <w:gridCol w:w="890"/>
        <w:gridCol w:w="782"/>
        <w:gridCol w:w="787"/>
        <w:gridCol w:w="109"/>
        <w:gridCol w:w="109"/>
        <w:gridCol w:w="109"/>
        <w:gridCol w:w="276"/>
        <w:gridCol w:w="946"/>
        <w:gridCol w:w="143"/>
        <w:gridCol w:w="109"/>
        <w:gridCol w:w="109"/>
        <w:gridCol w:w="109"/>
        <w:gridCol w:w="239"/>
        <w:gridCol w:w="817"/>
        <w:gridCol w:w="17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83,821 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5. Goodwill and Intangible Assets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carrying amount of goodwill for the six months ended April 30, 2023 was as follows (in thousands):</w:t>
      </w:r>
    </w:p>
    <w:tbl>
      <w:tblPr>
        <w:tblW w:w="5219" w:type="dxa"/>
        <w:jc w:val="center"/>
        <w:tblInd w:w="0" w:type="dxa"/>
        <w:tblLayout w:type="fixed"/>
        <w:tblCellMar>
          <w:top w:w="28" w:type="dxa"/>
          <w:left w:w="28" w:type="dxa"/>
          <w:bottom w:w="28" w:type="dxa"/>
          <w:right w:w="28" w:type="dxa"/>
        </w:tblCellMar>
      </w:tblPr>
      <w:tblGrid>
        <w:gridCol w:w="1315"/>
        <w:gridCol w:w="1154"/>
        <w:gridCol w:w="1161"/>
        <w:gridCol w:w="281"/>
        <w:gridCol w:w="1103"/>
        <w:gridCol w:w="205"/>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as of November 1, 2022</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LMI acquisition</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the end of the period</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185,224 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our last annual test date, August 31, 2022, we evaluated the recoverability of goodwill at each of our five reporting units with goodwill balances and determined that our goodwill was not impaired. An additional reporting unit was acquired during the six months ended April 30, 2023. We evaluated for indicators of impairment for all reporting units during the three and six months ended April 30, 2023 and determined that there were no triggering events. For additional discussion of change in reporting units and a summary of the change in the carrying amount of goodwill by segment, see Note 12, “Segment Information.”</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Identifiable Intangible Assets</w:t>
      </w:r>
    </w:p>
    <w:p>
      <w:pPr>
        <w:pStyle w:val="TextBody"/>
        <w:bidi w:val="0"/>
        <w:spacing w:lineRule="auto" w:line="288" w:before="16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Amortizable intangible assets consisted of the following as of April 30, 2023 and October 31, 2022 (in thousands):</w:t>
      </w:r>
    </w:p>
    <w:tbl>
      <w:tblPr>
        <w:tblW w:w="8297" w:type="dxa"/>
        <w:jc w:val="left"/>
        <w:tblInd w:w="0" w:type="dxa"/>
        <w:tblLayout w:type="fixed"/>
        <w:tblCellMar>
          <w:top w:w="28" w:type="dxa"/>
          <w:left w:w="28" w:type="dxa"/>
          <w:bottom w:w="28" w:type="dxa"/>
          <w:right w:w="28" w:type="dxa"/>
        </w:tblCellMar>
      </w:tblPr>
      <w:tblGrid>
        <w:gridCol w:w="901"/>
        <w:gridCol w:w="793"/>
        <w:gridCol w:w="795"/>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 2022</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 and other technology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239,897 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216,386 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to the LMI Acquisition, we added gross carrying intangibles of $16.0 million of customer relationships, $3.0 million of other technology and $0.5 million of trade names. We had aggregate amortization expense related to intangible assets for the three and six months ended April 30, 2023 of $3.0 million and $6.1 million, respectively, $3.0 million and $6.0 million for the comparable prior year periods.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Estimated remaining amortization expense, assuming current intangible balances and no new acquisitions, for future fiscal years as of </w:t>
      </w:r>
      <w:r>
        <w:rPr>
          <w:rFonts w:ascii="Times New Roman;sans-serif" w:hAnsi="Times New Roman;sans-serif"/>
          <w:b w:val="false"/>
          <w:color w:val="000000"/>
          <w:sz w:val="20"/>
          <w:shd w:fill="FFFFFF" w:val="clear"/>
        </w:rPr>
        <w:t>April 30, 2023</w:t>
      </w:r>
      <w:r>
        <w:rPr>
          <w:color w:val="000000"/>
        </w:rPr>
        <w:t xml:space="preserve"> </w:t>
      </w:r>
      <w:r>
        <w:rPr>
          <w:rFonts w:ascii="Times New Roman;sans-serif" w:hAnsi="Times New Roman;sans-serif"/>
          <w:b w:val="false"/>
          <w:color w:val="000000"/>
          <w:sz w:val="20"/>
        </w:rPr>
        <w:t>(in thousands):</w:t>
      </w:r>
    </w:p>
    <w:tbl>
      <w:tblPr>
        <w:tblW w:w="4213" w:type="dxa"/>
        <w:jc w:val="center"/>
        <w:tblInd w:w="0" w:type="dxa"/>
        <w:tblLayout w:type="fixed"/>
        <w:tblCellMar>
          <w:top w:w="28" w:type="dxa"/>
          <w:left w:w="28" w:type="dxa"/>
          <w:bottom w:w="28" w:type="dxa"/>
          <w:right w:w="28" w:type="dxa"/>
        </w:tblCellMar>
      </w:tblPr>
      <w:tblGrid>
        <w:gridCol w:w="890"/>
        <w:gridCol w:w="782"/>
        <w:gridCol w:w="787"/>
        <w:gridCol w:w="339"/>
        <w:gridCol w:w="1164"/>
        <w:gridCol w:w="251"/>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Amortization Expense</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six months)</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6. Debt and Finance Lease Obligations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at April 30, 2023 and October 31, 2022 (in thousands):</w:t>
      </w:r>
    </w:p>
    <w:tbl>
      <w:tblPr>
        <w:tblW w:w="6069" w:type="dxa"/>
        <w:jc w:val="center"/>
        <w:tblInd w:w="0" w:type="dxa"/>
        <w:tblLayout w:type="fixed"/>
        <w:tblCellMar>
          <w:top w:w="28" w:type="dxa"/>
          <w:left w:w="28" w:type="dxa"/>
          <w:bottom w:w="28" w:type="dxa"/>
          <w:right w:w="28" w:type="dxa"/>
        </w:tblCellMar>
      </w:tblPr>
      <w:tblGrid>
        <w:gridCol w:w="1272"/>
        <w:gridCol w:w="1115"/>
        <w:gridCol w:w="1123"/>
        <w:gridCol w:w="211"/>
        <w:gridCol w:w="826"/>
        <w:gridCol w:w="109"/>
        <w:gridCol w:w="109"/>
        <w:gridCol w:w="109"/>
        <w:gridCol w:w="109"/>
        <w:gridCol w:w="211"/>
        <w:gridCol w:w="721"/>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October 31,</w:t>
              <w:br/>
              <w:t>2022</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On July 6, 2022, we entered into our Second Amended and Restated Credit Agreement (the “Credit Facility”) with Wells Fargo Securities, LLC, as Agent, Swingline Lender and Issuing Lender, and BofA Securities, Inc. serving as Syndication Agent. We capitalized $1.2 million of deferred financing fees related to the Credit Facility</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This $325.0 million revolving credit facility has a five-year term, maturing on July 6, 2027, and replaces our previous credit facility. Our previous credit facility is more fully described in our Annual Report on Form 10-K for the fiscal year ended October 31, 2022.</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payments for the Credit Facility are calculated, at our election and depending upon the Consolidated Net Leverage Ratio, at a Base Rate (as defined within the Credit Facility) plus an applicable margin or at the same rate as Risk-Free Rate (“RFR”) Loans for domestic borrowings or Eurocurrency Rate Loans plus an applicable margin. In addition, we are subject to commitment fees for the unused portion of the Credit Facility. </w:t>
      </w:r>
    </w:p>
    <w:p>
      <w:pPr>
        <w:pStyle w:val="TextBody"/>
        <w:bidi w:val="0"/>
        <w:spacing w:lineRule="auto" w:line="288" w:before="16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applicable margin and commitment fees are outlined in the following table:</w:t>
      </w:r>
    </w:p>
    <w:tbl>
      <w:tblPr>
        <w:tblW w:w="10205" w:type="dxa"/>
        <w:jc w:val="left"/>
        <w:tblInd w:w="0" w:type="dxa"/>
        <w:tblLayout w:type="fixed"/>
        <w:tblCellMar>
          <w:top w:w="28" w:type="dxa"/>
          <w:left w:w="28" w:type="dxa"/>
          <w:bottom w:w="28" w:type="dxa"/>
          <w:right w:w="28" w:type="dxa"/>
        </w:tblCellMar>
      </w:tblPr>
      <w:tblGrid>
        <w:gridCol w:w="354"/>
        <w:gridCol w:w="311"/>
        <w:gridCol w:w="312"/>
        <w:gridCol w:w="109"/>
        <w:gridCol w:w="109"/>
        <w:gridCol w:w="109"/>
        <w:gridCol w:w="977"/>
        <w:gridCol w:w="977"/>
        <w:gridCol w:w="979"/>
        <w:gridCol w:w="109"/>
        <w:gridCol w:w="109"/>
        <w:gridCol w:w="109"/>
        <w:gridCol w:w="454"/>
        <w:gridCol w:w="454"/>
        <w:gridCol w:w="456"/>
        <w:gridCol w:w="109"/>
        <w:gridCol w:w="109"/>
        <w:gridCol w:w="109"/>
        <w:gridCol w:w="778"/>
        <w:gridCol w:w="778"/>
        <w:gridCol w:w="780"/>
        <w:gridCol w:w="109"/>
        <w:gridCol w:w="109"/>
        <w:gridCol w:w="109"/>
        <w:gridCol w:w="109"/>
        <w:gridCol w:w="109"/>
        <w:gridCol w:w="310"/>
        <w:gridCol w:w="310"/>
        <w:gridCol w:w="449"/>
      </w:tblGrid>
      <w:tr>
        <w:trPr/>
        <w:tc>
          <w:tcPr>
            <w:tcW w:w="3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Pricing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Net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Eurocurrency Rate Loans and RFR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Base Rate Loans</w:t>
            </w:r>
          </w:p>
        </w:tc>
      </w:tr>
      <w:tr>
        <w:trPr/>
        <w:tc>
          <w:tcPr>
            <w:tcW w:w="97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1.50 to 1.00</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0.150%</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1.50 to 1.00, but less than or equal to 2.25 to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2.25 to 1.00, but less than or equal to 3.00 to 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r>
      <w:tr>
        <w:trPr/>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3.00 to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default, outstanding borrowings would accrue interest at the Default Rate, as defined, whereby the obligations will bear interest at a per annum rate equal to 2% above the total per annum rate otherwise applicable.</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Facility provides for incremental revolving credit commitments for a minimum principal amount of $10.0 million, up to an aggregate amount of $150.0 million or 100% of Consolidated EBITDA, subject to the lender's discretion to elect or decline the incremental increase. We can also borrow up to the lesser of $15.0 million or the revolving credit commitment, as defined, under a Swingline feature of the Credit Facility.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$25.0 million per year) and other transactions as further defined in the Credit Facility. Some of these limitations, however, do not take effect so long as Consolidated Net Leverage Ratio is less than or equal to 2.75 to 1.00 and available liquidity exceeds $25.0 million. Substantially all of our domestic assets, with the exception of real property, are used as collateral for the Credit Agreement. </w:t>
      </w:r>
    </w:p>
    <w:p>
      <w:pPr>
        <w:pStyle w:val="TextBody"/>
        <w:bidi w:val="0"/>
        <w:spacing w:lineRule="auto" w:line="288" w:before="160" w:after="180"/>
        <w:ind w:left="0" w:right="0" w:firstLine="450"/>
        <w:jc w:val="both"/>
        <w:rPr/>
      </w:pPr>
      <w:r>
        <w:rPr>
          <w:rFonts w:ascii="Times New Roman;sans-serif" w:hAnsi="Times New Roman;sans-serif"/>
          <w:b w:val="false"/>
          <w:color w:val="000000"/>
          <w:sz w:val="20"/>
        </w:rPr>
        <w:t>As of April 30, 2023, we ha</w:t>
      </w:r>
      <w:r>
        <w:rPr>
          <w:rFonts w:ascii="Times New Roman;sans-serif" w:hAnsi="Times New Roman;sans-serif"/>
          <w:b w:val="false"/>
          <w:color w:val="000000"/>
          <w:sz w:val="20"/>
          <w:shd w:fill="FFFFFF" w:val="clear"/>
        </w:rPr>
        <w:t xml:space="preserve">d $80.0 million of borrowings outstanding under the Credit Facility (reduced by unamortized debt issuance costs of $1.4 million), $5.1 million of outstanding letters of credit and $55.6 million outstanding primarily under finance leases and other debt. We had $239.9 million available for use under the Credit Facility at April 30, 2023.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6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borrowings under the Credit Facility accrue interest at 6.33% per annum. Our weighted-average borrowing rate for borrowings outstanding during the six months ended April 30, 2023 and 2022 was 5.71% and 1.48%, respectively. We were in compliance with our debt covenants as of April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7. Retirement Plans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Pension Plan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non-contributory, single employer defined benefit pension plan covers certain of our employees in the U.S. The net periodic pension cost for this plan for the three and six months ended April 30, 2023 and 2022 was as follows (in thousands): </w:t>
      </w:r>
    </w:p>
    <w:tbl>
      <w:tblPr>
        <w:tblW w:w="6825" w:type="dxa"/>
        <w:jc w:val="center"/>
        <w:tblInd w:w="0" w:type="dxa"/>
        <w:tblLayout w:type="fixed"/>
        <w:tblCellMar>
          <w:top w:w="28" w:type="dxa"/>
          <w:left w:w="28" w:type="dxa"/>
          <w:bottom w:w="28" w:type="dxa"/>
          <w:right w:w="28" w:type="dxa"/>
        </w:tblCellMar>
      </w:tblPr>
      <w:tblGrid>
        <w:gridCol w:w="933"/>
        <w:gridCol w:w="820"/>
        <w:gridCol w:w="82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54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both"/>
        <w:rPr/>
      </w:pPr>
      <w:r>
        <w:rPr>
          <w:rFonts w:ascii="Times New Roman;sans-serif" w:hAnsi="Times New Roman;sans-serif"/>
          <w:b w:val="false"/>
          <w:color w:val="000000"/>
          <w:sz w:val="20"/>
        </w:rPr>
        <w:t xml:space="preserve">During </w:t>
      </w:r>
      <w:r>
        <w:rPr>
          <w:rFonts w:ascii="Times New Roman;sans-serif" w:hAnsi="Times New Roman;sans-serif"/>
          <w:b w:val="false"/>
          <w:color w:val="000000"/>
          <w:sz w:val="20"/>
          <w:shd w:fill="FFFFFF" w:val="clear"/>
        </w:rPr>
        <w:t>the six months ended April 30, 2022</w:t>
      </w:r>
      <w:r>
        <w:rPr>
          <w:rFonts w:ascii="Times New Roman;sans-serif" w:hAnsi="Times New Roman;sans-serif"/>
          <w:b w:val="false"/>
          <w:color w:val="000000"/>
          <w:sz w:val="20"/>
        </w:rPr>
        <w:t>, we made no</w:t>
      </w:r>
      <w:r>
        <w:rPr>
          <w:color w:val="000000"/>
          <w:shd w:fill="FFFFFF" w:val="clear"/>
        </w:rPr>
        <w:t xml:space="preserve"> </w:t>
      </w:r>
      <w:r>
        <w:rPr>
          <w:rFonts w:ascii="Times New Roman;sans-serif" w:hAnsi="Times New Roman;sans-serif"/>
          <w:b w:val="false"/>
          <w:color w:val="000000"/>
          <w:sz w:val="20"/>
          <w:shd w:fill="FFFFFF" w:val="clear"/>
        </w:rPr>
        <w:t xml:space="preserve">contributions to fund our plan. </w:t>
      </w:r>
      <w:r>
        <w:rPr>
          <w:rFonts w:ascii="Times New Roman;sans-serif" w:hAnsi="Times New Roman;sans-serif"/>
          <w:b w:val="false"/>
          <w:color w:val="000000"/>
          <w:sz w:val="20"/>
        </w:rPr>
        <w:t>During fiscal</w:t>
      </w:r>
      <w:r>
        <w:rPr>
          <w:color w:val="000000"/>
          <w:shd w:fill="FFFFFF" w:val="clear"/>
        </w:rPr>
        <w:t xml:space="preserve"> </w:t>
      </w:r>
      <w:r>
        <w:rPr>
          <w:rFonts w:ascii="Times New Roman;sans-serif" w:hAnsi="Times New Roman;sans-serif"/>
          <w:b w:val="false"/>
          <w:color w:val="000000"/>
          <w:sz w:val="20"/>
        </w:rPr>
        <w:t>2023</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0"/>
        </w:rPr>
        <w:t xml:space="preserve">we do not expect to need to make a contribution to the pension plan to maintain targeted funding levels and meet minimum contribution requirements. During the year ended October 31, 2022, we notified participants that our pension plan will be terminated effective November 1, 2022, with final settlement expected to occur in the next twelve months, depending upon the timing of I.R.S. approvals. During the three months ended January 31, 2023, we reclassified the pension obligation of $3.9 million from long-term liabilities under the caption “Deferred pension benefits” to current liabilities under the caption “Accrued liabilities” in the accompanying condensed consolidated balance sheets.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Plans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We also have a supplemental benefit plan covering certain executive officers and key employees and a non-qualified deferred compensation plan covering members of the Board of Directors and certain </w:t>
      </w:r>
      <w:r>
        <w:rPr>
          <w:rFonts w:ascii="Times New Roman;sans-serif" w:hAnsi="Times New Roman;sans-serif"/>
          <w:b w:val="false"/>
          <w:color w:val="000000"/>
          <w:sz w:val="20"/>
          <w:shd w:fill="FFFFFF" w:val="clear"/>
        </w:rPr>
        <w:t>key employees. As of April 30, 2023 and October 31, 2022, our liability under the supplemental benefit plan was approximately $2.0 million and $1.9 million, respectively. As of April 30, 2023 and October 31, 2022, the liability associated with the deferred compensation plan was approximately $3.4 million and $3.3 million, respectively. We record the current portion of liabilities associated with these plans under the caption “Accrued liabilities,” and the long-term portion under the caption “Other liabilities” in the accompanying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8. Income Taxes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To determine our income tax expense or benefit for interim periods, consistent with accounting standards, we apply the estimated annual effective income tax rate t</w:t>
      </w:r>
      <w:r>
        <w:rPr>
          <w:rFonts w:ascii="Times New Roman;sans-serif" w:hAnsi="Times New Roman;sans-serif"/>
          <w:b w:val="false"/>
          <w:color w:val="000000"/>
          <w:sz w:val="20"/>
          <w:shd w:fill="FFFFFF" w:val="clear"/>
        </w:rPr>
        <w: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on equity compensation, and increase or decrease in valuation allowances on deferred tax assets. Our annual effective tax rates from continuing operations for the six months ended April 30, 2023 and 2022 were 19.74% and 25.20%, respectively. The difference between our effective income tax rate and the U.S. federal statutory rate of 21% principally results from discrete tax items, U.S. state tax, non-U.S. tax rate differential and other permanent differences. The primary discrete items affecting the 2023 effective rate was a benefit of $0.2 million related to the rate change on deferred taxes. The primary discrete items affecting the 2022 effective rate were the charge of $0.2 million related to the vesting or exercise of equity-based compensation awards and a benefit of $1.0 million for the true-up of our accruals and related deferred taxes from prior year filings.</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April 30, 2023, our liability for uncertain tax positions (UTP) of $1.4 million relates to certain U.S. federal and state tax items regarding the interpretation of tax laws and regulations, including a minimal amount of interest and penalties. We include all interest and penalties related to uncertain tax benefits within our income tax provision account. To the extent interest and penalties are not assessed with respect to uncertain tax positions or the uncertainty of deductions in the future, amounts accrued will be reduced and reflected as a reduction of the overall income tax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2023, we have an income tax receivable of $0.6 million included in current assets under the caption “Prepaid and other current assets” in the accompanying condensed consolidated balance sheets.</w:t>
      </w:r>
    </w:p>
    <w:p>
      <w:pPr>
        <w:pStyle w:val="TextBody"/>
        <w:bidi w:val="0"/>
        <w:spacing w:lineRule="auto" w:line="288" w:before="18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evaluate the likelihood of realization of our deferred tax assets by considering both positive and negative evidence. We maintain a valuation allowance for certain state net operating losses which totaled $0.5 million as of April 30, 2023 and October 31, 2022, respectively. </w:t>
      </w:r>
    </w:p>
    <w:p>
      <w:pPr>
        <w:pStyle w:val="TextBody"/>
        <w:bidi w:val="0"/>
        <w:spacing w:lineRule="auto" w:line="288" w:before="18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16, 2022 the Inflation Reduction Act of 2022 was signed into law. We are evaluating the regulations but do not believe they will result in a material impact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9. Contingencies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Remediation and Environmental Compliance Costs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Currently, we are not involved in any such matters.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2023.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10. Fair Value Measurement of Assets and Liabilities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Level 1 - Unadjusted quoted prices in active markets that are accessible at the measurement date for identical, unrestricted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pStyle w:val="TextBody"/>
        <w:bidi w:val="0"/>
        <w:spacing w:lineRule="auto" w:line="288" w:before="120" w:after="283"/>
        <w:ind w:left="0" w:right="0" w:hanging="180"/>
        <w:jc w:val="both"/>
        <w:rPr/>
      </w:pPr>
      <w:r>
        <w:rPr>
          <w:color w:val="000000"/>
        </w:rPr>
        <w:t>•</w:t>
      </w:r>
      <w:r>
        <w:rPr>
          <w:rFonts w:ascii="Times New Roman;sans-serif" w:hAnsi="Times New Roman;sans-serif"/>
          <w:b w:val="false"/>
          <w:color w:val="000000"/>
          <w:sz w:val="20"/>
        </w:rPr>
        <w:t>Level 3 - Inputs that are both significant to the fair value measurement and unobservable.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April 30, 2023, and October 31, 2022 (Level 2 measurement).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performance share awards are marked-to-market on a quarterly basis during a three-year vesting period based on market data (Level 2 measurement). For further information, refer to Note 11, “Stock-Based Compensation - Performance Share Awards.”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shd w:fill="FFFFFF" w:val="clear"/>
        </w:rPr>
        <w:t>We used recognized valuation techniques to determine the preliminary fair value of the assets and liabilities, including the excess earnings method for customer relationships and relief from royalty method for trade names and other technology with a discount rate that reflects the risk of the expected future cash flows</w:t>
      </w:r>
      <w:r>
        <w:rPr>
          <w:color w:val="000000"/>
        </w:rPr>
        <w:t xml:space="preserve"> </w:t>
      </w:r>
      <w:r>
        <w:rPr>
          <w:rFonts w:ascii="Times New Roman;sans-serif" w:hAnsi="Times New Roman;sans-serif"/>
          <w:b w:val="false"/>
          <w:color w:val="000000"/>
          <w:sz w:val="20"/>
        </w:rPr>
        <w:t>(Level 3 measurement). For further information, refer to Note 2,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 performance restricted stock units to officers, management and key employees. We also historically granted stock options to certain officers, directors and key employees. Occasionally, we may make additional grants to key employees at other times during the year.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and quarterly dividends are not paid until the award vests. The fair value of the restricted stock award is established on the grant date and then expensed over the vesting period resulting in an increase in additional paid-in-capital. Shares are generally issued from treasury stock at the time of grant.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non-vested restricted stock awards activity during the six months ended April 30, 2023 is presented below:</w:t>
      </w:r>
    </w:p>
    <w:tbl>
      <w:tblPr>
        <w:tblW w:w="7480" w:type="dxa"/>
        <w:jc w:val="center"/>
        <w:tblInd w:w="0" w:type="dxa"/>
        <w:tblLayout w:type="fixed"/>
        <w:tblCellMar>
          <w:top w:w="28" w:type="dxa"/>
          <w:left w:w="28" w:type="dxa"/>
          <w:bottom w:w="28" w:type="dxa"/>
          <w:right w:w="28" w:type="dxa"/>
        </w:tblCellMar>
      </w:tblPr>
      <w:tblGrid>
        <w:gridCol w:w="979"/>
        <w:gridCol w:w="858"/>
        <w:gridCol w:w="863"/>
        <w:gridCol w:w="629"/>
        <w:gridCol w:w="629"/>
        <w:gridCol w:w="631"/>
        <w:gridCol w:w="109"/>
        <w:gridCol w:w="109"/>
        <w:gridCol w:w="109"/>
        <w:gridCol w:w="551"/>
        <w:gridCol w:w="1609"/>
        <w:gridCol w:w="40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 Value per Share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October 31, 2022</w:t>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212,100 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94,700 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April 30, 2023</w:t>
            </w:r>
          </w:p>
        </w:tc>
        <w:tc>
          <w:tcPr>
            <w:tcW w:w="12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256,100 </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both"/>
        <w:rPr/>
      </w:pPr>
      <w:r>
        <w:rPr>
          <w:rFonts w:ascii="Times New Roman;sans-serif" w:hAnsi="Times New Roman;sans-serif"/>
          <w:b w:val="false"/>
          <w:color w:val="000000"/>
          <w:sz w:val="20"/>
        </w:rPr>
        <w:t xml:space="preserve">The total weighted-average grant-date fair value of restricted stock awards that vested during each of the six months ended April 30, 2023 and 2022 </w:t>
      </w:r>
      <w:r>
        <w:rPr>
          <w:rFonts w:ascii="Times New Roman;sans-serif" w:hAnsi="Times New Roman;sans-serif"/>
          <w:b w:val="false"/>
          <w:color w:val="000000"/>
          <w:sz w:val="20"/>
          <w:shd w:fill="FFFFFF" w:val="clear"/>
        </w:rPr>
        <w:t xml:space="preserve">was $0.9 million and $1.2 million, respectively. As of April 30, 2023, total unrecognized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compensation cost related to unamortized restricted stock awards was $3.3 million. We expect to recognize this expense over the remaining weighted-average vesting period of 2.1 years. </w:t>
      </w:r>
    </w:p>
    <w:p>
      <w:pPr>
        <w:pStyle w:val="TextBody"/>
        <w:bidi w:val="0"/>
        <w:spacing w:lineRule="auto" w:line="288" w:before="18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Options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and performance shares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 stock option expense ratably over the shorter of the vesting period or the period from the grant-date to the retirement-eligibility date.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a Black-Scholes pricing model to estimate the fair value of stock options. A description of the methodology for the valuation assumptions was disclosed in our Annual Report on Form 10-K for the fiscal year ended October 31, 2022.</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stock option activity for the six months ended April 30, 2023:</w:t>
      </w:r>
    </w:p>
    <w:tbl>
      <w:tblPr>
        <w:tblW w:w="9306" w:type="dxa"/>
        <w:jc w:val="center"/>
        <w:tblInd w:w="0" w:type="dxa"/>
        <w:tblLayout w:type="fixed"/>
        <w:tblCellMar>
          <w:top w:w="28" w:type="dxa"/>
          <w:left w:w="28" w:type="dxa"/>
          <w:bottom w:w="28" w:type="dxa"/>
          <w:right w:w="28" w:type="dxa"/>
        </w:tblCellMar>
      </w:tblPr>
      <w:tblGrid>
        <w:gridCol w:w="1005"/>
        <w:gridCol w:w="882"/>
        <w:gridCol w:w="887"/>
        <w:gridCol w:w="413"/>
        <w:gridCol w:w="413"/>
        <w:gridCol w:w="376"/>
        <w:gridCol w:w="109"/>
        <w:gridCol w:w="109"/>
        <w:gridCol w:w="109"/>
        <w:gridCol w:w="331"/>
        <w:gridCol w:w="968"/>
        <w:gridCol w:w="172"/>
        <w:gridCol w:w="109"/>
        <w:gridCol w:w="109"/>
        <w:gridCol w:w="109"/>
        <w:gridCol w:w="604"/>
        <w:gridCol w:w="604"/>
        <w:gridCol w:w="606"/>
        <w:gridCol w:w="109"/>
        <w:gridCol w:w="109"/>
        <w:gridCol w:w="109"/>
        <w:gridCol w:w="309"/>
        <w:gridCol w:w="529"/>
        <w:gridCol w:w="226"/>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Remaining Contractual</w:t>
              <w:br/>
              <w:t>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(000s)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October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175,117 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Forfeited/Expired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April 30, 2023</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at April 30, 2023</w:t>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166,117 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April 30, 2023</w:t>
            </w:r>
          </w:p>
        </w:tc>
        <w:tc>
          <w:tcPr>
            <w:tcW w:w="82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166,117 </w:t>
            </w:r>
          </w:p>
        </w:tc>
        <w:tc>
          <w:tcPr>
            <w:tcW w:w="3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both"/>
        <w:rPr/>
      </w:pPr>
      <w:r>
        <w:rPr>
          <w:rFonts w:ascii="Times New Roman;sans-serif" w:hAnsi="Times New Roman;sans-serif"/>
          <w:b w:val="false"/>
          <w:color w:val="000000"/>
          <w:sz w:val="20"/>
        </w:rPr>
        <w:t>Intrinsic value is the amount by which the market price of the common stock on the date of exercise exceeds the exercise price of the stock option. The total intrinsic value of stock options exercised during the six months ended April 30, 2023 and 2022 was</w:t>
      </w:r>
      <w:r>
        <w:rPr>
          <w:color w:val="000000"/>
          <w:shd w:fill="FFFFFF" w:val="clear"/>
        </w:rPr>
        <w:t xml:space="preserve"> </w:t>
      </w:r>
      <w:r>
        <w:rPr>
          <w:rFonts w:ascii="Times New Roman;sans-serif" w:hAnsi="Times New Roman;sans-serif"/>
          <w:b w:val="false"/>
          <w:color w:val="000000"/>
          <w:sz w:val="20"/>
          <w:shd w:fill="FFFFFF" w:val="clear"/>
        </w:rPr>
        <w:t xml:space="preserve">less than $0.1 million.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During the six months ended April 30, 2023 and</w:t>
      </w:r>
      <w:r>
        <w:rPr>
          <w:color w:val="000000"/>
          <w:shd w:fill="FFFFFF" w:val="clear"/>
        </w:rPr>
        <w:t xml:space="preserve"> </w:t>
      </w:r>
      <w:r>
        <w:rPr>
          <w:rFonts w:ascii="Times New Roman;sans-serif" w:hAnsi="Times New Roman;sans-serif"/>
          <w:b w:val="false"/>
          <w:color w:val="000000"/>
          <w:sz w:val="20"/>
          <w:shd w:fill="FFFFFF" w:val="clear"/>
        </w:rPr>
        <w:t xml:space="preserve">2022, non-employee directors received 38,704 and 36,669 restricted stock units, respectively, at a weighted-average grant date fair value of $20.67 per share and $22.52 per share, respectively, which vested immediately. </w:t>
      </w:r>
      <w:r>
        <w:rPr>
          <w:rFonts w:ascii="Times New Roman;sans-serif" w:hAnsi="Times New Roman;sans-serif"/>
          <w:b w:val="false"/>
          <w:color w:val="000000"/>
          <w:sz w:val="20"/>
        </w:rPr>
        <w:t>During the six months ended April 30, 2023, 21,774 restricted stock units, which were awarded to key employees, vested. D</w:t>
      </w:r>
      <w:r>
        <w:rPr>
          <w:rFonts w:ascii="Times New Roman;sans-serif" w:hAnsi="Times New Roman;sans-serif"/>
          <w:b w:val="false"/>
          <w:color w:val="000000"/>
          <w:sz w:val="20"/>
          <w:shd w:fill="FFFFFF" w:val="clear"/>
        </w:rPr>
        <w:t>uring the six months ended April 30, 2023, we paid $0.4 million and $1.0 million for the comparable prior year to settle vested restricted stock units.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Share Awards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awarded annual grants of performance shares to key employees and officers. Performance share awards vest with return on net assets (RONA) as the vesting condition and pay out 100% in cash, and are accounted for as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performance share grants and the grant date fair value for the RONA performance metrics:</w:t>
      </w:r>
    </w:p>
    <w:tbl>
      <w:tblPr>
        <w:tblW w:w="6979" w:type="dxa"/>
        <w:jc w:val="left"/>
        <w:tblInd w:w="0" w:type="dxa"/>
        <w:tblLayout w:type="fixed"/>
        <w:tblCellMar>
          <w:top w:w="28" w:type="dxa"/>
          <w:left w:w="28" w:type="dxa"/>
          <w:bottom w:w="28" w:type="dxa"/>
          <w:right w:w="28" w:type="dxa"/>
        </w:tblCellMar>
      </w:tblPr>
      <w:tblGrid>
        <w:gridCol w:w="575"/>
        <w:gridCol w:w="506"/>
        <w:gridCol w:w="509"/>
        <w:gridCol w:w="109"/>
        <w:gridCol w:w="109"/>
        <w:gridCol w:w="109"/>
        <w:gridCol w:w="429"/>
        <w:gridCol w:w="429"/>
        <w:gridCol w:w="431"/>
        <w:gridCol w:w="109"/>
        <w:gridCol w:w="109"/>
        <w:gridCol w:w="109"/>
        <w:gridCol w:w="399"/>
        <w:gridCol w:w="1165"/>
        <w:gridCol w:w="206"/>
        <w:gridCol w:w="109"/>
        <w:gridCol w:w="109"/>
        <w:gridCol w:w="109"/>
        <w:gridCol w:w="395"/>
        <w:gridCol w:w="395"/>
        <w:gridCol w:w="559"/>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Awarded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Forfeited</w:t>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65,300 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9,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101,200 shares vested pursuant to the December 2018 grant, which were settled with a cash payment of $2.2 million.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share awards are payable in cash based upon the number of performance shares ultimately earned, and are therefore not considered outstanding shares.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Restricted Stock Units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 </w:t>
      </w:r>
    </w:p>
    <w:tbl>
      <w:tblPr>
        <w:tblW w:w="9023" w:type="dxa"/>
        <w:jc w:val="center"/>
        <w:tblInd w:w="0" w:type="dxa"/>
        <w:tblLayout w:type="fixed"/>
        <w:tblCellMar>
          <w:top w:w="28" w:type="dxa"/>
          <w:left w:w="28" w:type="dxa"/>
          <w:bottom w:w="28" w:type="dxa"/>
          <w:right w:w="28" w:type="dxa"/>
        </w:tblCellMar>
      </w:tblPr>
      <w:tblGrid>
        <w:gridCol w:w="462"/>
        <w:gridCol w:w="406"/>
        <w:gridCol w:w="407"/>
        <w:gridCol w:w="109"/>
        <w:gridCol w:w="109"/>
        <w:gridCol w:w="109"/>
        <w:gridCol w:w="1522"/>
        <w:gridCol w:w="1522"/>
        <w:gridCol w:w="1530"/>
        <w:gridCol w:w="109"/>
        <w:gridCol w:w="109"/>
        <w:gridCol w:w="109"/>
        <w:gridCol w:w="738"/>
        <w:gridCol w:w="738"/>
        <w:gridCol w:w="104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Vesting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Vesting Criteria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Award Vested</w:t>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A-TSR greater than or equal to 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A-TSR less than 50% and greater than or equal to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A-TSR less than 20% and greater than or equal to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A-TSR less than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bidi w:val="0"/>
        <w:spacing w:lineRule="auto" w:line="288"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performance restricted stock unit grants and the grant date fair value for the A-TSR performance metric:</w:t>
      </w:r>
    </w:p>
    <w:tbl>
      <w:tblPr>
        <w:tblW w:w="6979" w:type="dxa"/>
        <w:jc w:val="left"/>
        <w:tblInd w:w="0" w:type="dxa"/>
        <w:tblLayout w:type="fixed"/>
        <w:tblCellMar>
          <w:top w:w="28" w:type="dxa"/>
          <w:left w:w="28" w:type="dxa"/>
          <w:bottom w:w="28" w:type="dxa"/>
          <w:right w:w="28" w:type="dxa"/>
        </w:tblCellMar>
      </w:tblPr>
      <w:tblGrid>
        <w:gridCol w:w="575"/>
        <w:gridCol w:w="506"/>
        <w:gridCol w:w="509"/>
        <w:gridCol w:w="109"/>
        <w:gridCol w:w="109"/>
        <w:gridCol w:w="109"/>
        <w:gridCol w:w="429"/>
        <w:gridCol w:w="429"/>
        <w:gridCol w:w="431"/>
        <w:gridCol w:w="109"/>
        <w:gridCol w:w="109"/>
        <w:gridCol w:w="109"/>
        <w:gridCol w:w="399"/>
        <w:gridCol w:w="1165"/>
        <w:gridCol w:w="206"/>
        <w:gridCol w:w="109"/>
        <w:gridCol w:w="109"/>
        <w:gridCol w:w="109"/>
        <w:gridCol w:w="395"/>
        <w:gridCol w:w="395"/>
        <w:gridCol w:w="559"/>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Awarded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Forfeited</w:t>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9,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both"/>
        <w:rPr/>
      </w:pPr>
      <w:r>
        <w:rPr>
          <w:rFonts w:ascii="Times New Roman;sans-serif" w:hAnsi="Times New Roman;sans-serif"/>
          <w:b w:val="false"/>
          <w:color w:val="000000"/>
          <w:sz w:val="20"/>
        </w:rPr>
        <w:t>During the six months ended April 30, 2023</w:t>
      </w:r>
      <w:r>
        <w:rPr>
          <w:rFonts w:ascii="Times New Roman;sans-serif" w:hAnsi="Times New Roman;sans-serif"/>
          <w:b w:val="false"/>
          <w:color w:val="000000"/>
          <w:sz w:val="20"/>
          <w:shd w:fill="FFFFFF" w:val="clear"/>
        </w:rPr>
        <w:t xml:space="preserve">, 32,680 performance restricted stock units vested.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shd w:fill="FFFFFF" w:val="clear"/>
        </w:rPr>
        <w:t>The performance restricted stock units are not considered outstanding shares, do not have voting rights, and are exclud</w:t>
      </w:r>
      <w:r>
        <w:rPr>
          <w:rFonts w:ascii="Times New Roman;sans-serif" w:hAnsi="Times New Roman;sans-serif"/>
          <w:b w:val="false"/>
          <w:color w:val="000000"/>
          <w:sz w:val="20"/>
        </w:rPr>
        <w:t>ed from diluted weighted-average shares used to calculate earnings per share until the performance criteria is probable to result in the issuance of contingent shares. As of April 30, 2023, we have de</w:t>
      </w:r>
      <w:r>
        <w:rPr>
          <w:rFonts w:ascii="Times New Roman;sans-serif" w:hAnsi="Times New Roman;sans-serif"/>
          <w:b w:val="false"/>
          <w:color w:val="000000"/>
          <w:sz w:val="20"/>
          <w:shd w:fill="FFFFFF" w:val="clear"/>
        </w:rPr>
        <w:t xml:space="preserve">emed 27,882 shares related to the December 2020 grant of performance restricted stock units as probable to vest.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amounts expensed as selling, general and administrative expense related to restricted stock awards, stock options, restricted stock units, performance share awards and performance restricted stock units for the three and six months ended April 30, 2023 and 2022 (in thousands):</w:t>
      </w:r>
    </w:p>
    <w:tbl>
      <w:tblPr>
        <w:tblW w:w="7400" w:type="dxa"/>
        <w:jc w:val="left"/>
        <w:tblInd w:w="0" w:type="dxa"/>
        <w:tblLayout w:type="fixed"/>
        <w:tblCellMar>
          <w:top w:w="28" w:type="dxa"/>
          <w:left w:w="28" w:type="dxa"/>
          <w:bottom w:w="28" w:type="dxa"/>
          <w:right w:w="28" w:type="dxa"/>
        </w:tblCellMar>
      </w:tblPr>
      <w:tblGrid>
        <w:gridCol w:w="1031"/>
        <w:gridCol w:w="907"/>
        <w:gridCol w:w="912"/>
        <w:gridCol w:w="215"/>
        <w:gridCol w:w="475"/>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221"/>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 awards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restricted stock units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expense</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Shares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six months ended April 30, 2023.</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treasury stock activity during the six months ended April 30, 2023:</w:t>
      </w:r>
    </w:p>
    <w:tbl>
      <w:tblPr>
        <w:tblW w:w="5240" w:type="dxa"/>
        <w:jc w:val="center"/>
        <w:tblInd w:w="0" w:type="dxa"/>
        <w:tblLayout w:type="fixed"/>
        <w:tblCellMar>
          <w:top w:w="28" w:type="dxa"/>
          <w:left w:w="28" w:type="dxa"/>
          <w:bottom w:w="28" w:type="dxa"/>
          <w:right w:w="28" w:type="dxa"/>
        </w:tblCellMar>
      </w:tblPr>
      <w:tblGrid>
        <w:gridCol w:w="1326"/>
        <w:gridCol w:w="1163"/>
        <w:gridCol w:w="1171"/>
        <w:gridCol w:w="488"/>
        <w:gridCol w:w="488"/>
        <w:gridCol w:w="604"/>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2023</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as of November 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4,081,806 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(94,700)</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restricted stock units 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(32,680)</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repurchases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April 30, 2023</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4,224,426 </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12. Segment Information</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We present three reportable business segments (1) NA Fenestration, comprising four operating segments in 2023 (compared to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operating segments in 2022) primarily focused on the fenestration market in North America including vinyl profiles, insulating glass spacers, screens, custom compound mixing, and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The additional NA Fenestration operating segment in 2023 is related to the Acquisition of LMI, an advanced polymer solutions provider with a focus on advanced methods for mixing rubber compounds. For additional discussion of our Acquisition of LMI, see Note 2, “Acquisition.” Additionally,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w:t>
      </w:r>
      <w:r>
        <w:rPr>
          <w:rFonts w:ascii="Times New Roman;sans-serif" w:hAnsi="Times New Roman;sans-serif"/>
          <w:b w:val="false"/>
          <w:color w:val="000000"/>
          <w:sz w:val="20"/>
          <w:shd w:fill="FFFFFF" w:val="clear"/>
        </w:rPr>
        <w:t>olicies of our operating segments are the same as those used to prepare the accompanying condensed consolidated financial statements. Corporate general and administrative expense allocated during the three and six month period ended April 30, 2023 was $6.1 million and $10.8 million, respectively, and $5.5 million and $11.3 million for the comparable prior year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 </w:t>
      </w:r>
    </w:p>
    <w:p>
      <w:pPr>
        <w:pStyle w:val="TextBody"/>
        <w:bidi w:val="0"/>
        <w:spacing w:lineRule="auto" w:line="288" w:before="180" w:after="20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three and six months ended April 30, 2023 and 2022, and total assets as of April 30, 2023 and October 31, 2022 are summarized in the following table (in thousands):</w:t>
      </w:r>
    </w:p>
    <w:tbl>
      <w:tblPr>
        <w:tblW w:w="10205" w:type="dxa"/>
        <w:jc w:val="left"/>
        <w:tblInd w:w="0" w:type="dxa"/>
        <w:tblLayout w:type="fixed"/>
        <w:tblCellMar>
          <w:top w:w="28" w:type="dxa"/>
          <w:left w:w="28" w:type="dxa"/>
          <w:bottom w:w="28" w:type="dxa"/>
          <w:right w:w="28" w:type="dxa"/>
        </w:tblCellMar>
      </w:tblPr>
      <w:tblGrid>
        <w:gridCol w:w="913"/>
        <w:gridCol w:w="643"/>
        <w:gridCol w:w="649"/>
        <w:gridCol w:w="228"/>
        <w:gridCol w:w="895"/>
        <w:gridCol w:w="118"/>
        <w:gridCol w:w="109"/>
        <w:gridCol w:w="109"/>
        <w:gridCol w:w="109"/>
        <w:gridCol w:w="226"/>
        <w:gridCol w:w="888"/>
        <w:gridCol w:w="116"/>
        <w:gridCol w:w="109"/>
        <w:gridCol w:w="109"/>
        <w:gridCol w:w="109"/>
        <w:gridCol w:w="248"/>
        <w:gridCol w:w="973"/>
        <w:gridCol w:w="128"/>
        <w:gridCol w:w="109"/>
        <w:gridCol w:w="109"/>
        <w:gridCol w:w="109"/>
        <w:gridCol w:w="339"/>
        <w:gridCol w:w="1162"/>
        <w:gridCol w:w="175"/>
        <w:gridCol w:w="109"/>
        <w:gridCol w:w="109"/>
        <w:gridCol w:w="109"/>
        <w:gridCol w:w="211"/>
        <w:gridCol w:w="826"/>
        <w:gridCol w:w="159"/>
      </w:tblGrid>
      <w:tr>
        <w:trPr/>
        <w:tc>
          <w:tcPr>
            <w:tcW w:w="91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 Fenestration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 Fenestration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 Cabinet Comp.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 Corp.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Three Months Ended April 30, 2023</w:t>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Three Months Ended April 30, 2022</w:t>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Six Months Ended April 30, 2023</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Six Months Ended April 30, 2022</w:t>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As of April 30, 2023</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As of October 31, 2022</w:t>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 in the carrying amount of goodwill by reportable business segment for the six months ended April 30, 2023 (in thousands):</w:t>
      </w:r>
    </w:p>
    <w:tbl>
      <w:tblPr>
        <w:tblW w:w="10205" w:type="dxa"/>
        <w:jc w:val="center"/>
        <w:tblInd w:w="0" w:type="dxa"/>
        <w:tblLayout w:type="fixed"/>
        <w:tblCellMar>
          <w:top w:w="28" w:type="dxa"/>
          <w:left w:w="28" w:type="dxa"/>
          <w:bottom w:w="28" w:type="dxa"/>
          <w:right w:w="28" w:type="dxa"/>
        </w:tblCellMar>
      </w:tblPr>
      <w:tblGrid>
        <w:gridCol w:w="927"/>
        <w:gridCol w:w="731"/>
        <w:gridCol w:w="733"/>
        <w:gridCol w:w="241"/>
        <w:gridCol w:w="827"/>
        <w:gridCol w:w="124"/>
        <w:gridCol w:w="109"/>
        <w:gridCol w:w="109"/>
        <w:gridCol w:w="109"/>
        <w:gridCol w:w="240"/>
        <w:gridCol w:w="822"/>
        <w:gridCol w:w="124"/>
        <w:gridCol w:w="109"/>
        <w:gridCol w:w="109"/>
        <w:gridCol w:w="109"/>
        <w:gridCol w:w="263"/>
        <w:gridCol w:w="900"/>
        <w:gridCol w:w="135"/>
        <w:gridCol w:w="109"/>
        <w:gridCol w:w="109"/>
        <w:gridCol w:w="109"/>
        <w:gridCol w:w="473"/>
        <w:gridCol w:w="911"/>
        <w:gridCol w:w="247"/>
        <w:gridCol w:w="109"/>
        <w:gridCol w:w="109"/>
        <w:gridCol w:w="109"/>
        <w:gridCol w:w="211"/>
        <w:gridCol w:w="826"/>
        <w:gridCol w:w="162"/>
      </w:tblGrid>
      <w:tr>
        <w:trPr/>
        <w:tc>
          <w:tcPr>
            <w:tcW w:w="9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 Fenestration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EU Fenestration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 Cabinet Comp.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 Corp.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October 31, 2022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LMI acquisition</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30, 2023</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65,972 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185,224 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details of Goodwill, see Note 5, “Goodwill &amp; Intangible Assets,” located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allocate non-operating loss or income tax benefit to the reportable segments. The following table reconciles operating income as reported above to net income for the three and six months ended April 30, 2023 and 2022 (in thousands):</w:t>
      </w:r>
    </w:p>
    <w:tbl>
      <w:tblPr>
        <w:tblW w:w="6915" w:type="dxa"/>
        <w:jc w:val="left"/>
        <w:tblInd w:w="0" w:type="dxa"/>
        <w:tblLayout w:type="fixed"/>
        <w:tblCellMar>
          <w:top w:w="28" w:type="dxa"/>
          <w:left w:w="28" w:type="dxa"/>
          <w:bottom w:w="28" w:type="dxa"/>
          <w:right w:w="28" w:type="dxa"/>
        </w:tblCellMar>
      </w:tblPr>
      <w:tblGrid>
        <w:gridCol w:w="624"/>
        <w:gridCol w:w="549"/>
        <w:gridCol w:w="55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13. Earnings Per Share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compute basic earnings per share by dividing net income by the weighted-average number of common shares outstanding during the period. Diluted earnings per common and potential common shares include the weighted-average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 xml:space="preserve">Table of Contents </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p>
      <w:pPr>
        <w:pStyle w:val="TextBody"/>
        <w:bidi w:val="0"/>
        <w:spacing w:lineRule="auto" w:line="288" w:before="0" w:after="0"/>
        <w:jc w:val="center"/>
        <w:rPr/>
      </w:pPr>
      <w:r>
        <w:rPr>
          <w:rFonts w:ascii="Times New Roman;sans-serif" w:hAnsi="Times New Roman;sans-serif"/>
          <w:b/>
          <w:color w:val="000000"/>
          <w:sz w:val="20"/>
        </w:rPr>
        <w:t>NOTES TO UNAUDITED CONDENSED CONSOLIDATED FINANCIAL STATEMENTS</w:t>
      </w:r>
      <w:r>
        <w:rPr>
          <w:color w:val="000000"/>
        </w:rPr>
        <w:t xml:space="preserve"> </w:t>
      </w:r>
      <w:r>
        <w:rPr>
          <w:rFonts w:ascii="Times New Roman;sans-serif" w:hAnsi="Times New Roman;sans-serif"/>
          <w:b w:val="false"/>
          <w:color w:val="000000"/>
          <w:sz w:val="20"/>
        </w:rPr>
        <w:t>(continued)</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earnings per share for the three and six months ended April 30, 2023 and 2022 were calculated as follows (in thousands, except per share data):</w:t>
      </w:r>
    </w:p>
    <w:tbl>
      <w:tblPr>
        <w:tblW w:w="7550" w:type="dxa"/>
        <w:jc w:val="center"/>
        <w:tblInd w:w="0" w:type="dxa"/>
        <w:tblLayout w:type="fixed"/>
        <w:tblCellMar>
          <w:top w:w="28" w:type="dxa"/>
          <w:left w:w="28" w:type="dxa"/>
          <w:bottom w:w="28" w:type="dxa"/>
          <w:right w:w="28" w:type="dxa"/>
        </w:tblCellMar>
      </w:tblPr>
      <w:tblGrid>
        <w:gridCol w:w="1081"/>
        <w:gridCol w:w="948"/>
        <w:gridCol w:w="956"/>
        <w:gridCol w:w="211"/>
        <w:gridCol w:w="721"/>
        <w:gridCol w:w="109"/>
        <w:gridCol w:w="109"/>
        <w:gridCol w:w="109"/>
        <w:gridCol w:w="109"/>
        <w:gridCol w:w="664"/>
        <w:gridCol w:w="664"/>
        <w:gridCol w:w="666"/>
        <w:gridCol w:w="109"/>
        <w:gridCol w:w="109"/>
        <w:gridCol w:w="109"/>
        <w:gridCol w:w="211"/>
        <w:gridCol w:w="511"/>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Three Months Ended April 30,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32,858 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33,017 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Three Months Ended April 30, 2022</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33,157 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 of dilutive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33,291 </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Six Months Ended April 30, 2023</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32,905 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33,070 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Six Months Ended April 30, 2022</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33,140 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 of dilutive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33,292 </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There were no anti-dilutive instruments for the three and six months ended April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14. New Accounting Guidance</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new accounting pronouncements are issued by the Financial Accounting Standards Board (FASB) or other standards setting bodies that we adopt as of the specified effective date. We did not adopt any new accounting pronouncements during the three and six months ended April 30, 2023. As of April 30, 2023, we believe the impact of any recently issued standards that are not yet effective are either not applicable to us at this time or will not have a material impact on our condensed consolidated financial statements upon adoption.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indicates otherwise, references to “Quanex”, the “Company”, “we”, “us” and “our” refer to the consolidated business operations of Quanex Building Products Corporation and its subsidiaries.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140"/>
        <w:ind w:left="0" w:right="0" w:firstLine="495"/>
        <w:jc w:val="both"/>
        <w:rPr/>
      </w:pPr>
      <w:r>
        <w:rPr>
          <w:rFonts w:ascii="Times New Roman;sans-serif" w:hAnsi="Times New Roman;sans-serif"/>
          <w:b w:val="false"/>
          <w:color w:val="000000"/>
          <w:sz w:val="20"/>
        </w:rPr>
        <w:t xml:space="preserve">Certain of the statements contained in this document and in documents incorporated by reference herein, including those made under the caption </w:t>
      </w:r>
      <w:r>
        <w:rPr>
          <w:color w:val="000000"/>
        </w:rPr>
        <w:t>“</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 xml:space="preserve">are “forward-looking” statements as defined under the Private 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 </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impacts from public health issues (including pandemics, such as the COVID-19 pandemic and quarantines) on the economy, demand for our products or our operations, including the responses of governmental authorities to contain such public health issues;</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changes in market conditio</w:t>
      </w:r>
      <w:r>
        <w:rPr>
          <w:rFonts w:ascii="Times New Roman;sans-serif" w:hAnsi="Times New Roman;sans-serif"/>
          <w:b w:val="false"/>
          <w:color w:val="000000"/>
          <w:sz w:val="20"/>
          <w:shd w:fill="FFFFFF" w:val="clear"/>
        </w:rPr>
        <w:t>ns, particularly in the new home construction, and residential remodeling and replacement (R&amp;R) activity markets in the United States, United Kingdom, Germany and elsewhere;</w:t>
      </w:r>
    </w:p>
    <w:p>
      <w:pPr>
        <w:pStyle w:val="TextBody"/>
        <w:bidi w:val="0"/>
        <w:spacing w:lineRule="auto" w:line="288" w:before="60" w:after="60"/>
        <w:ind w:left="0" w:right="0" w:hanging="180"/>
        <w:jc w:val="both"/>
        <w:rPr/>
      </w:pPr>
      <w:r>
        <w:rPr>
          <w:color w:val="000000"/>
          <w:shd w:fill="FFFFFF" w:val="clear"/>
        </w:rPr>
        <w:t>•</w:t>
      </w:r>
      <w:r>
        <w:rPr>
          <w:rFonts w:ascii="Times New Roman;sans-serif" w:hAnsi="Times New Roman;sans-serif"/>
          <w:b w:val="false"/>
          <w:color w:val="000000"/>
          <w:sz w:val="20"/>
          <w:shd w:fill="FFFFFF" w:val="clear"/>
        </w:rPr>
        <w:t>changes in non-pass-through raw material costs;</w:t>
      </w:r>
    </w:p>
    <w:p>
      <w:pPr>
        <w:pStyle w:val="TextBody"/>
        <w:bidi w:val="0"/>
        <w:spacing w:lineRule="auto" w:line="288" w:before="60" w:after="60"/>
        <w:ind w:left="0" w:right="0" w:hanging="180"/>
        <w:jc w:val="both"/>
        <w:rPr/>
      </w:pPr>
      <w:r>
        <w:rPr>
          <w:color w:val="000000"/>
          <w:shd w:fill="FFFFFF" w:val="clear"/>
        </w:rPr>
        <w:t>•</w:t>
      </w:r>
      <w:r>
        <w:rPr>
          <w:rFonts w:ascii="Times New Roman;sans-serif" w:hAnsi="Times New Roman;sans-serif"/>
          <w:b w:val="false"/>
          <w:color w:val="000000"/>
          <w:sz w:val="20"/>
          <w:shd w:fill="FFFFFF" w:val="clear"/>
        </w:rPr>
        <w:t xml:space="preserve">changes in domestic and international economic conditions; </w:t>
      </w:r>
    </w:p>
    <w:p>
      <w:pPr>
        <w:pStyle w:val="TextBody"/>
        <w:bidi w:val="0"/>
        <w:spacing w:lineRule="auto" w:line="288" w:before="60" w:after="60"/>
        <w:ind w:left="0" w:right="0" w:hanging="180"/>
        <w:jc w:val="both"/>
        <w:rPr/>
      </w:pPr>
      <w:r>
        <w:rPr>
          <w:color w:val="000000"/>
          <w:shd w:fill="FFFFFF" w:val="clear"/>
        </w:rPr>
        <w:t>•</w:t>
      </w:r>
      <w:r>
        <w:rPr>
          <w:rFonts w:ascii="Times New Roman;sans-serif" w:hAnsi="Times New Roman;sans-serif"/>
          <w:b w:val="false"/>
          <w:color w:val="000000"/>
          <w:sz w:val="20"/>
          <w:shd w:fill="FFFFFF" w:val="clear"/>
        </w:rPr>
        <w:t>changes in availability and prices of raw material including inflationary pressures and supply chain challenges, which could be exacerbated by political or global unrest such as the current military conflict in Ukraine;</w:t>
      </w:r>
    </w:p>
    <w:p>
      <w:pPr>
        <w:pStyle w:val="TextBody"/>
        <w:bidi w:val="0"/>
        <w:spacing w:lineRule="auto" w:line="288" w:before="60" w:after="60"/>
        <w:ind w:left="0" w:right="0" w:hanging="180"/>
        <w:jc w:val="both"/>
        <w:rPr/>
      </w:pPr>
      <w:r>
        <w:rPr>
          <w:color w:val="000000"/>
          <w:shd w:fill="FFFFFF" w:val="clear"/>
        </w:rPr>
        <w:t>•</w:t>
      </w:r>
      <w:r>
        <w:rPr>
          <w:rFonts w:ascii="Times New Roman;sans-serif" w:hAnsi="Times New Roman;sans-serif"/>
          <w:b w:val="false"/>
          <w:color w:val="000000"/>
          <w:sz w:val="20"/>
          <w:shd w:fill="FFFFFF" w:val="clear"/>
        </w:rPr>
        <w:t>our ability to attract and retain skilled labor;</w:t>
      </w:r>
    </w:p>
    <w:p>
      <w:pPr>
        <w:pStyle w:val="TextBody"/>
        <w:bidi w:val="0"/>
        <w:spacing w:lineRule="auto" w:line="288" w:before="60" w:after="60"/>
        <w:ind w:left="0" w:right="0" w:hanging="180"/>
        <w:jc w:val="both"/>
        <w:rPr/>
      </w:pPr>
      <w:r>
        <w:rPr>
          <w:color w:val="000000"/>
          <w:shd w:fill="FFFFFF" w:val="clear"/>
        </w:rPr>
        <w:t>•</w:t>
      </w:r>
      <w:r>
        <w:rPr>
          <w:rFonts w:ascii="Times New Roman;sans-serif" w:hAnsi="Times New Roman;sans-serif"/>
          <w:b w:val="false"/>
          <w:color w:val="000000"/>
          <w:sz w:val="20"/>
          <w:shd w:fill="FFFFFF" w:val="clear"/>
        </w:rPr>
        <w:t>changes in purchases by our principal customers;</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our ability to maintain an effective system of internal controls;</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our ability to successfully implement our internal operating plans and acquisition strategies;</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our ability to successfully implement our plans with respect to information technology (IT) systems and processes;</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our ability to control costs and increase profitability;</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changes in environmental laws and regulations;</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changes in warranty obligations;</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 xml:space="preserve">changes in energy costs and the availability of energy; </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changes in tax laws, and interpretations thereof;</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changes in interest rates;</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our ability to service our debt facilities and remain in good standing with our lenders;</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changes in the availability or applicability of our insurance coverage;</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our ability to maintain good relationships with our suppliers, subcontractors, and key customers; and</w:t>
      </w:r>
    </w:p>
    <w:p>
      <w:pPr>
        <w:pStyle w:val="TextBody"/>
        <w:bidi w:val="0"/>
        <w:spacing w:lineRule="auto" w:line="288" w:before="60" w:after="60"/>
        <w:ind w:left="0" w:right="0" w:hanging="180"/>
        <w:jc w:val="both"/>
        <w:rPr/>
      </w:pPr>
      <w:r>
        <w:rPr>
          <w:color w:val="000000"/>
        </w:rPr>
        <w:t>•</w:t>
      </w:r>
      <w:r>
        <w:rPr>
          <w:rFonts w:ascii="Times New Roman;sans-serif" w:hAnsi="Times New Roman;sans-serif"/>
          <w:b w:val="false"/>
          <w:color w:val="000000"/>
          <w:sz w:val="20"/>
        </w:rPr>
        <w:t>the resolution of litigation and other legal proceedings.</w:t>
      </w:r>
    </w:p>
    <w:p>
      <w:pPr>
        <w:pStyle w:val="TextBody"/>
        <w:bidi w:val="0"/>
        <w:spacing w:lineRule="auto" w:line="288" w:before="160" w:after="283"/>
        <w:ind w:left="0" w:right="0" w:firstLine="495"/>
        <w:jc w:val="both"/>
        <w:rPr/>
      </w:pPr>
      <w:r>
        <w:rPr>
          <w:rFonts w:ascii="Times New Roman;sans-serif" w:hAnsi="Times New Roman;sans-serif"/>
          <w:b w:val="false"/>
          <w:color w:val="000000"/>
          <w:sz w:val="20"/>
        </w:rPr>
        <w:t xml:space="preserve">For information on additional factors that could cause actual results to differ materially, please refer to the section entitled </w:t>
      </w:r>
      <w:r>
        <w:rPr>
          <w:color w:val="000000"/>
        </w:rPr>
        <w:t>“</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in our Annual Report on Form 10-K for the fiscal year ended October 31, 2022.</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About Third-Party Information</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Item 2. Management’s Discussion and Analysis of Financial Condition and Results of Operations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should be read in conjunction with the accompanying unaudited condensed consolidated financial statements and related notes as of April 30, 2023, and for the three and six months ended April 30, 2023 and 2022, included elsewhere herein. For additional information pertaining to our business, including risk factors which should be considered before investing in our common stock, refer to our Annual Report on Form 10-K for the fiscal year ended October 31, 2022.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Business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customized compounds,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three reportable business segments: (1) North American Fenestration segment (“NA Fenestration”), comprising four operating segments, manufacturing vinyl profiles, IG spacers, screens, custom compound mixing,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 </w:t>
      </w:r>
    </w:p>
    <w:p>
      <w:pPr>
        <w:pStyle w:val="TextBody"/>
        <w:bidi w:val="0"/>
        <w:spacing w:lineRule="auto" w:line="288" w:before="16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Transactions and Events</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 2022, we entered into an Asset Purchase Agreement with LMI and the equity owners of LMI, Lauren International, Ltd. and Meteor-US-Beteiligungs GMBH. Under the Purchase Agreement, we acquired substantially all of the operating assets comprising LMI’s polymer mixing and rubber compound production business and also agreed to assume certain liabilities relating to the Acquisition. As consideration for the Purchased Assets, we paid $91.3 million in cash utilizing funds borrowed under our Credit Facility. In connection with the Acquisition, we amended our existing finance lease with Lauren Real Estate Holding LLC for the purpose of adding an additional lease renewal option and increasing rental space by approximately 60,000 square feet of rental space which was added to the 313,595 square feet of rentable area located in Cambridge, Ohio.</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and global markets are experiencing volatility and disruption following the escalation of geopolitical tensions and the military conflict between Russia and Ukraine. Although the length and impact of the ongoing military conflict is highly unpredictable, the conflict in Ukraine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same time last year resulting in the increase in natural gas prices and the potential for natural gas shortages. If this trend continues, this would not only negatively impact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European manufacturing facilities, this may also impact our customers and their demand for our products. We continue to monitor these situations and their impact on our business.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 in Ukraine and the impact on the global economy including inflation and the price of raw materials, supply chain disruptions, and the volatility in interest rates including home mortgage rates are unpredictable and there may be developments outside our control requiring us to adjust our operating plan.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Overview and Outlook</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 xml:space="preserve">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w:t>
      </w:r>
      <w:r>
        <w:rPr>
          <w:rFonts w:ascii="Times New Roman;sans-serif" w:hAnsi="Times New Roman;sans-serif"/>
          <w:b w:val="false"/>
          <w:color w:val="000000"/>
          <w:sz w:val="20"/>
          <w:shd w:fill="FFFFFF" w:val="clear"/>
        </w:rPr>
        <w:t>firm, for insight into the U.S. residential wood cabinet demand.</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shd w:fill="FFFFFF" w:val="clear"/>
        </w:rPr>
        <w:t xml:space="preserve">In May </w:t>
      </w:r>
      <w:r>
        <w:rPr>
          <w:rFonts w:ascii="Times New Roman;sans-serif" w:hAnsi="Times New Roman;sans-serif"/>
          <w:b w:val="false"/>
          <w:color w:val="000000"/>
          <w:sz w:val="18"/>
          <w:shd w:fill="FFFFFF" w:val="clear"/>
        </w:rPr>
        <w:t>2023</w:t>
      </w:r>
      <w:r>
        <w:rPr>
          <w:rFonts w:ascii="Times New Roman;sans-serif" w:hAnsi="Times New Roman;sans-serif"/>
          <w:b w:val="false"/>
          <w:color w:val="000000"/>
          <w:sz w:val="20"/>
          <w:shd w:fill="FFFFFF" w:val="clear"/>
        </w:rPr>
        <w:t xml:space="preserve">, the NAHB forecasted calendar-year housing starts to be 1.3 million in the 2023 and 2024 calendar-years and 1.5 million in 2025. In May </w:t>
      </w:r>
      <w:r>
        <w:rPr>
          <w:rFonts w:ascii="Times New Roman;sans-serif" w:hAnsi="Times New Roman;sans-serif"/>
          <w:b w:val="false"/>
          <w:color w:val="000000"/>
          <w:sz w:val="18"/>
          <w:shd w:fill="FFFFFF" w:val="clear"/>
        </w:rPr>
        <w:t>2023</w:t>
      </w:r>
      <w:r>
        <w:rPr>
          <w:rFonts w:ascii="Times New Roman;sans-serif" w:hAnsi="Times New Roman;sans-serif"/>
          <w:b w:val="false"/>
          <w:color w:val="000000"/>
          <w:sz w:val="20"/>
          <w:shd w:fill="FFFFFF" w:val="clear"/>
        </w:rPr>
        <w:t>, the Ducker forecast indicated that total window shipments are expected to decrease 5.9% in calendar-year 2023 and 2.8% in 2024.</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shd w:fill="FFFFFF" w:val="clear"/>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impact of pass-through price changes for our primary commodities with our customers commensurate with the market at large. Our long</w:t>
      </w:r>
      <w:r>
        <w:rPr>
          <w:rFonts w:ascii="Times New Roman;sans-serif" w:hAnsi="Times New Roman;sans-serif"/>
          <w:b w:val="false"/>
          <w:color w:val="000000"/>
          <w:sz w:val="20"/>
        </w:rPr>
        <w:t xml:space="preserve">-term exposure to these price fluctuations is somewhat mitigated due to the contractual component of the adjuster programs.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 </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Three Months Ended April 30, 2023 Compared to Three Months Ended April 30, 2022</w:t>
      </w:r>
    </w:p>
    <w:tbl>
      <w:tblPr>
        <w:tblW w:w="10154" w:type="dxa"/>
        <w:jc w:val="center"/>
        <w:tblInd w:w="0" w:type="dxa"/>
        <w:tblLayout w:type="fixed"/>
        <w:tblCellMar>
          <w:top w:w="28" w:type="dxa"/>
          <w:left w:w="28" w:type="dxa"/>
          <w:bottom w:w="28" w:type="dxa"/>
          <w:right w:w="28" w:type="dxa"/>
        </w:tblCellMar>
      </w:tblPr>
      <w:tblGrid>
        <w:gridCol w:w="1670"/>
        <w:gridCol w:w="1463"/>
        <w:gridCol w:w="148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69"/>
        <w:gridCol w:w="271"/>
        <w:gridCol w:w="605"/>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Variance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period-over-period results by reportable segment follow.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Related to Operating Income by Reportable Segment: </w:t>
      </w:r>
    </w:p>
    <w:p>
      <w:pPr>
        <w:pStyle w:val="TextBody"/>
        <w:bidi w:val="0"/>
        <w:spacing w:lineRule="auto" w:line="288" w:before="180" w:after="14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NA Fenestration</w:t>
      </w:r>
    </w:p>
    <w:tbl>
      <w:tblPr>
        <w:tblW w:w="10205" w:type="dxa"/>
        <w:jc w:val="center"/>
        <w:tblInd w:w="0" w:type="dxa"/>
        <w:tblLayout w:type="fixed"/>
        <w:tblCellMar>
          <w:top w:w="28" w:type="dxa"/>
          <w:left w:w="28" w:type="dxa"/>
          <w:bottom w:w="28" w:type="dxa"/>
          <w:right w:w="28" w:type="dxa"/>
        </w:tblCellMar>
      </w:tblPr>
      <w:tblGrid>
        <w:gridCol w:w="1620"/>
        <w:gridCol w:w="1414"/>
        <w:gridCol w:w="1437"/>
        <w:gridCol w:w="211"/>
        <w:gridCol w:w="826"/>
        <w:gridCol w:w="271"/>
        <w:gridCol w:w="109"/>
        <w:gridCol w:w="109"/>
        <w:gridCol w:w="109"/>
        <w:gridCol w:w="211"/>
        <w:gridCol w:w="826"/>
        <w:gridCol w:w="271"/>
        <w:gridCol w:w="109"/>
        <w:gridCol w:w="109"/>
        <w:gridCol w:w="109"/>
        <w:gridCol w:w="211"/>
        <w:gridCol w:w="793"/>
        <w:gridCol w:w="109"/>
        <w:gridCol w:w="109"/>
        <w:gridCol w:w="109"/>
        <w:gridCol w:w="109"/>
        <w:gridCol w:w="299"/>
        <w:gridCol w:w="299"/>
        <w:gridCol w:w="426"/>
      </w:tblGrid>
      <w:tr>
        <w:trPr/>
        <w:tc>
          <w:tcPr>
            <w:tcW w:w="1620"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r>
      <w:tr>
        <w:trPr/>
        <w:tc>
          <w:tcPr>
            <w:tcW w:w="4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Variance</w:t>
            </w:r>
          </w:p>
        </w:tc>
      </w:tr>
      <w:tr>
        <w:trPr/>
        <w:tc>
          <w:tcPr>
            <w:tcW w:w="4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pPr>
      <w:r>
        <w:rPr>
          <w:rFonts w:ascii="Times New Roman;sans-serif" w:hAnsi="Times New Roman;sans-serif"/>
          <w:b w:val="false"/>
          <w:i/>
          <w:color w:val="000000"/>
          <w:sz w:val="20"/>
        </w:rPr>
        <w:t>Net Sales.</w:t>
      </w:r>
      <w:r>
        <w:rPr>
          <w:color w:val="000000"/>
        </w:rPr>
        <w:t xml:space="preserve"> </w:t>
      </w:r>
      <w:r>
        <w:rPr>
          <w:rFonts w:ascii="Times New Roman;sans-serif" w:hAnsi="Times New Roman;sans-serif"/>
          <w:b w:val="false"/>
          <w:color w:val="000000"/>
          <w:sz w:val="20"/>
        </w:rPr>
        <w:t>Net sales decreased</w:t>
      </w:r>
      <w:r>
        <w:rPr>
          <w:color w:val="000000"/>
          <w:shd w:fill="FFFFFF" w:val="clear"/>
        </w:rPr>
        <w:t xml:space="preserve"> </w:t>
      </w:r>
      <w:r>
        <w:rPr>
          <w:rFonts w:ascii="Times New Roman;sans-serif" w:hAnsi="Times New Roman;sans-serif"/>
          <w:b w:val="false"/>
          <w:color w:val="000000"/>
          <w:sz w:val="20"/>
          <w:shd w:fill="FFFFFF" w:val="clear"/>
        </w:rPr>
        <w:t>$20.9 million, or 12%, for the three months ended April 30, 2023 compared to the same period in 2022, which was primarily driven by a $33.1 million decrease in volumes mainly due to softer market demand, a return to normal seasonality, customer destocking, and a decrease in price and raw material surcharges of $5.6 million, partially offset by a $17.8 million contribution from the addition of LMI in 2023.</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shd w:fill="FFFFFF" w:val="clear"/>
        </w:rPr>
        <w:t xml:space="preserve">Cost of Sales. </w:t>
      </w:r>
      <w:r>
        <w:rPr>
          <w:rFonts w:ascii="Times New Roman;sans-serif" w:hAnsi="Times New Roman;sans-serif"/>
          <w:b w:val="false"/>
          <w:color w:val="000000"/>
          <w:sz w:val="20"/>
          <w:shd w:fill="FFFFFF" w:val="clear"/>
        </w:rPr>
        <w:t>The cost of sales decreased $15.1 million, or 11%, for the three months ended April 30, 2023 compared to the same period in 2022. Cost of sales, including labor, decreased primarily due to lower volumes and deflation of raw materials during the period partially offset by LMI’s cost of sales in 2023.</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rPr>
        <w:t>Selling, General and Administrative. S</w:t>
      </w:r>
      <w:r>
        <w:rPr>
          <w:rFonts w:ascii="Times New Roman;sans-serif" w:hAnsi="Times New Roman;sans-serif"/>
          <w:b w:val="false"/>
          <w:color w:val="000000"/>
          <w:sz w:val="20"/>
        </w:rPr>
        <w:t>elling, general and administrative expenses increased $0.1 million, or 1%, for the three months ended April 30, 2023 compared to the sam</w:t>
      </w:r>
      <w:r>
        <w:rPr>
          <w:rFonts w:ascii="Times New Roman;sans-serif" w:hAnsi="Times New Roman;sans-serif"/>
          <w:b w:val="false"/>
          <w:color w:val="000000"/>
          <w:sz w:val="20"/>
          <w:shd w:fill="FFFFFF" w:val="clear"/>
        </w:rPr>
        <w:t>e period in 2022, which was essentially flat year-over-year.</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 increased $1.0 million, or 25%, </w:t>
      </w:r>
      <w:r>
        <w:rPr>
          <w:rFonts w:ascii="Times New Roman;sans-serif" w:hAnsi="Times New Roman;sans-serif"/>
          <w:b w:val="false"/>
          <w:color w:val="000000"/>
          <w:sz w:val="20"/>
          <w:shd w:fill="FFFFFF" w:val="clear"/>
        </w:rPr>
        <w:t>for the three months ended April 30, 2023 as compared to the same period in 2022, primarily due to the acquisition of LMI’s property, plant and equipment and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EU Fenestration</w:t>
      </w:r>
    </w:p>
    <w:tbl>
      <w:tblPr>
        <w:tblW w:w="10039" w:type="dxa"/>
        <w:jc w:val="left"/>
        <w:tblInd w:w="0" w:type="dxa"/>
        <w:tblLayout w:type="fixed"/>
        <w:tblCellMar>
          <w:top w:w="28" w:type="dxa"/>
          <w:left w:w="28" w:type="dxa"/>
          <w:bottom w:w="28" w:type="dxa"/>
          <w:right w:w="28" w:type="dxa"/>
        </w:tblCellMar>
      </w:tblPr>
      <w:tblGrid>
        <w:gridCol w:w="1670"/>
        <w:gridCol w:w="1463"/>
        <w:gridCol w:w="1487"/>
        <w:gridCol w:w="211"/>
        <w:gridCol w:w="721"/>
        <w:gridCol w:w="271"/>
        <w:gridCol w:w="109"/>
        <w:gridCol w:w="109"/>
        <w:gridCol w:w="109"/>
        <w:gridCol w:w="211"/>
        <w:gridCol w:w="721"/>
        <w:gridCol w:w="271"/>
        <w:gridCol w:w="109"/>
        <w:gridCol w:w="109"/>
        <w:gridCol w:w="109"/>
        <w:gridCol w:w="211"/>
        <w:gridCol w:w="691"/>
        <w:gridCol w:w="109"/>
        <w:gridCol w:w="109"/>
        <w:gridCol w:w="109"/>
        <w:gridCol w:w="109"/>
        <w:gridCol w:w="299"/>
        <w:gridCol w:w="299"/>
        <w:gridCol w:w="423"/>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Variance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pPr>
      <w:r>
        <w:rPr>
          <w:rFonts w:ascii="Times New Roman;sans-serif" w:hAnsi="Times New Roman;sans-serif"/>
          <w:b w:val="false"/>
          <w:i/>
          <w:color w:val="000000"/>
          <w:sz w:val="20"/>
        </w:rPr>
        <w:t>Net Sales</w:t>
      </w:r>
      <w:r>
        <w:rPr>
          <w:rFonts w:ascii="Times New Roman;sans-serif" w:hAnsi="Times New Roman;sans-serif"/>
          <w:b w:val="false"/>
          <w:color w:val="000000"/>
          <w:sz w:val="20"/>
          <w:shd w:fill="FFFFFF" w:val="clear"/>
        </w:rPr>
        <w:t>. Net sales decreased $9.7 million, or 13%, for the three months ended April 30, 2023 compared to the same period in 2022, which was primarily driven by a $7.7 million decrease in volumes largely due to softer market demand, a return to normal seasonality, customer destocking, and $4.8 million of foreign currency rate change, partially offset by $2.8 million of base price increases.</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shd w:fill="FFFFFF" w:val="clear"/>
        </w:rPr>
        <w:t xml:space="preserve">Cost of Sales. </w:t>
      </w:r>
      <w:r>
        <w:rPr>
          <w:rFonts w:ascii="Times New Roman;sans-serif" w:hAnsi="Times New Roman;sans-serif"/>
          <w:b w:val="false"/>
          <w:color w:val="000000"/>
          <w:sz w:val="20"/>
          <w:shd w:fill="FFFFFF" w:val="clear"/>
        </w:rPr>
        <w:t>The cost of sales decreased $9.3 million, or 19%, for the three months ended April 30, 2023 compared to the same period in 2022. Cost of sales decreased primarily due to lower volumes and foreign currency rate changes during the period partially offset by inflation of raw materials.</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shd w:fill="FFFFFF" w:val="clear"/>
        </w:rPr>
        <w:t xml:space="preserve">Selling, General and Administrative. </w:t>
      </w:r>
      <w:r>
        <w:rPr>
          <w:rFonts w:ascii="Times New Roman;sans-serif" w:hAnsi="Times New Roman;sans-serif"/>
          <w:b w:val="false"/>
          <w:color w:val="000000"/>
          <w:sz w:val="20"/>
          <w:shd w:fill="FFFFFF" w:val="clear"/>
        </w:rPr>
        <w:t>Selling, general and administrative expense decreased $0.1 million, or 2%, for the three months ended April 30, 2023 compared to the same period in 2022. The decrease is primarily due to a decrease in professional fees, labor costs and foreign currency impacts year-over-year.</w:t>
      </w:r>
    </w:p>
    <w:p>
      <w:pPr>
        <w:pStyle w:val="TextBody"/>
        <w:bidi w:val="0"/>
        <w:spacing w:lineRule="auto" w:line="288" w:before="16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NA Cabinet Components</w:t>
      </w:r>
    </w:p>
    <w:tbl>
      <w:tblPr>
        <w:tblW w:w="10143" w:type="dxa"/>
        <w:jc w:val="left"/>
        <w:tblInd w:w="0" w:type="dxa"/>
        <w:tblLayout w:type="fixed"/>
        <w:tblCellMar>
          <w:top w:w="28" w:type="dxa"/>
          <w:left w:w="28" w:type="dxa"/>
          <w:bottom w:w="28" w:type="dxa"/>
          <w:right w:w="28" w:type="dxa"/>
        </w:tblCellMar>
      </w:tblPr>
      <w:tblGrid>
        <w:gridCol w:w="1670"/>
        <w:gridCol w:w="1463"/>
        <w:gridCol w:w="1487"/>
        <w:gridCol w:w="211"/>
        <w:gridCol w:w="721"/>
        <w:gridCol w:w="271"/>
        <w:gridCol w:w="109"/>
        <w:gridCol w:w="109"/>
        <w:gridCol w:w="109"/>
        <w:gridCol w:w="211"/>
        <w:gridCol w:w="721"/>
        <w:gridCol w:w="271"/>
        <w:gridCol w:w="109"/>
        <w:gridCol w:w="109"/>
        <w:gridCol w:w="109"/>
        <w:gridCol w:w="211"/>
        <w:gridCol w:w="796"/>
        <w:gridCol w:w="109"/>
        <w:gridCol w:w="109"/>
        <w:gridCol w:w="109"/>
        <w:gridCol w:w="109"/>
        <w:gridCol w:w="298"/>
        <w:gridCol w:w="298"/>
        <w:gridCol w:w="424"/>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 %</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2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both"/>
        <w:rPr/>
      </w:pPr>
      <w:r>
        <w:rPr>
          <w:rFonts w:ascii="Times New Roman;sans-serif" w:hAnsi="Times New Roman;sans-serif"/>
          <w:b w:val="false"/>
          <w:i/>
          <w:color w:val="000000"/>
          <w:sz w:val="20"/>
        </w:rPr>
        <w:t>Net Sales</w:t>
      </w:r>
      <w:r>
        <w:rPr>
          <w:rFonts w:ascii="Times New Roman;sans-serif" w:hAnsi="Times New Roman;sans-serif"/>
          <w:b w:val="false"/>
          <w:color w:val="000000"/>
          <w:sz w:val="20"/>
        </w:rPr>
        <w:t>. N</w:t>
      </w:r>
      <w:r>
        <w:rPr>
          <w:rFonts w:ascii="Times New Roman;sans-serif" w:hAnsi="Times New Roman;sans-serif"/>
          <w:b w:val="false"/>
          <w:color w:val="000000"/>
          <w:sz w:val="20"/>
          <w:shd w:fill="FFFFFF" w:val="clear"/>
        </w:rPr>
        <w:t xml:space="preserve">et sales decreased $19.4 million, or 27%, for the three months ended April 30, 2023 compared to the same period in 2022, which was driven by an $18.1 million decrease in volumes due to softer market demand driven by weaker consumer confidence and a $1.3 million decrease in price and raw material indexes. </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shd w:fill="FFFFFF" w:val="clear"/>
        </w:rPr>
        <w:t>Cost of Sales</w:t>
      </w:r>
      <w:r>
        <w:rPr>
          <w:rFonts w:ascii="Times New Roman;sans-serif" w:hAnsi="Times New Roman;sans-serif"/>
          <w:b w:val="false"/>
          <w:color w:val="000000"/>
          <w:sz w:val="20"/>
          <w:shd w:fill="FFFFFF" w:val="clear"/>
        </w:rPr>
        <w:t>. Cost of sales decreased $19.4 million, or 31%, for the three months ended April 30, 2023 compared to the same period in 2022. Cost of sales decreased primarily due to lower volumes during the period and lumber price deflation.</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rPr>
        <w:t>Selling, General and Administrative</w:t>
      </w:r>
      <w:r>
        <w:rPr>
          <w:rFonts w:ascii="Times New Roman;sans-serif" w:hAnsi="Times New Roman;sans-serif"/>
          <w:b w:val="false"/>
          <w:color w:val="000000"/>
          <w:sz w:val="20"/>
        </w:rPr>
        <w:t>. Selling, general and administrative expense increased</w:t>
      </w:r>
      <w:r>
        <w:rPr>
          <w:color w:val="000000"/>
          <w:shd w:fill="FFFFFF" w:val="clear"/>
        </w:rPr>
        <w:t xml:space="preserve"> </w:t>
      </w:r>
      <w:r>
        <w:rPr>
          <w:rFonts w:ascii="Times New Roman;sans-serif" w:hAnsi="Times New Roman;sans-serif"/>
          <w:b w:val="false"/>
          <w:color w:val="000000"/>
          <w:sz w:val="20"/>
          <w:shd w:fill="FFFFFF" w:val="clear"/>
        </w:rPr>
        <w:t>$0.8 million, or 14%, for the three months ended April 30, 2023 compared to the same period in 2022. The increase is primarily due to a loss on an asset caused by wind damage to a manufacturing facility and an increase in professional fees partially offset by a decrease in labor costs.</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 decreased </w:t>
      </w:r>
      <w:r>
        <w:rPr>
          <w:rFonts w:ascii="Times New Roman;sans-serif" w:hAnsi="Times New Roman;sans-serif"/>
          <w:b w:val="false"/>
          <w:color w:val="000000"/>
          <w:sz w:val="20"/>
          <w:shd w:fill="FFFFFF" w:val="clear"/>
        </w:rPr>
        <w:t>$0.9 million</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shd w:fill="FFFFFF" w:val="clear"/>
        </w:rPr>
        <w:t>24%</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for the three months ended April 30, 2023 as compared to the same period in 2022, reflecting the run-off of depreciation expense related to</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existing assets.</w:t>
      </w:r>
    </w:p>
    <w:p>
      <w:pPr>
        <w:pStyle w:val="TextBody"/>
        <w:bidi w:val="0"/>
        <w:spacing w:before="160" w:after="283"/>
        <w:ind w:left="0" w:right="0" w:firstLine="495"/>
        <w:jc w:val="both"/>
        <w:rPr/>
      </w:pPr>
      <w:r>
        <w:rPr/>
      </w:r>
    </w:p>
    <w:p>
      <w:pPr>
        <w:pStyle w:val="TextBody"/>
        <w:bidi w:val="0"/>
        <w:spacing w:before="160" w:after="283"/>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Unallocated Corporate &amp; Other</w:t>
      </w:r>
    </w:p>
    <w:tbl>
      <w:tblPr>
        <w:tblW w:w="9429" w:type="dxa"/>
        <w:jc w:val="center"/>
        <w:tblInd w:w="0" w:type="dxa"/>
        <w:tblLayout w:type="fixed"/>
        <w:tblCellMar>
          <w:top w:w="28" w:type="dxa"/>
          <w:left w:w="28" w:type="dxa"/>
          <w:bottom w:w="28" w:type="dxa"/>
          <w:right w:w="28" w:type="dxa"/>
        </w:tblCellMar>
      </w:tblPr>
      <w:tblGrid>
        <w:gridCol w:w="1670"/>
        <w:gridCol w:w="1463"/>
        <w:gridCol w:w="1487"/>
        <w:gridCol w:w="211"/>
        <w:gridCol w:w="541"/>
        <w:gridCol w:w="109"/>
        <w:gridCol w:w="109"/>
        <w:gridCol w:w="109"/>
        <w:gridCol w:w="109"/>
        <w:gridCol w:w="211"/>
        <w:gridCol w:w="691"/>
        <w:gridCol w:w="109"/>
        <w:gridCol w:w="109"/>
        <w:gridCol w:w="109"/>
        <w:gridCol w:w="109"/>
        <w:gridCol w:w="211"/>
        <w:gridCol w:w="616"/>
        <w:gridCol w:w="109"/>
        <w:gridCol w:w="109"/>
        <w:gridCol w:w="109"/>
        <w:gridCol w:w="109"/>
        <w:gridCol w:w="298"/>
        <w:gridCol w:w="298"/>
        <w:gridCol w:w="424"/>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 %</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c>
      </w:tr>
    </w:tbl>
    <w:p>
      <w:pPr>
        <w:pStyle w:val="TextBody"/>
        <w:bidi w:val="0"/>
        <w:spacing w:lineRule="auto" w:line="288" w:before="120" w:after="283"/>
        <w:ind w:left="0" w:right="0" w:firstLine="495"/>
        <w:jc w:val="both"/>
        <w:rPr/>
      </w:pPr>
      <w:r>
        <w:rPr>
          <w:rFonts w:ascii="Times New Roman;sans-serif" w:hAnsi="Times New Roman;sans-serif"/>
          <w:b w:val="false"/>
          <w:i/>
          <w:color w:val="000000"/>
          <w:sz w:val="20"/>
        </w:rPr>
        <w:t>Net Sales</w:t>
      </w:r>
      <w:r>
        <w:rPr>
          <w:rFonts w:ascii="Times New Roman;sans-serif" w:hAnsi="Times New Roman;sans-serif"/>
          <w:b w:val="false"/>
          <w:color w:val="000000"/>
          <w:sz w:val="20"/>
        </w:rPr>
        <w:t xml:space="preserve">. Net sales for Unallocated Corporate &amp; Other represents the elimination of inter-segment sales for the three months ended April 30, 2023 and 2022. </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Cost of Sales</w:t>
      </w:r>
      <w:r>
        <w:rPr>
          <w:rFonts w:ascii="Times New Roman;sans-serif" w:hAnsi="Times New Roman;sans-serif"/>
          <w:b w:val="false"/>
          <w:color w:val="000000"/>
          <w:sz w:val="20"/>
        </w:rPr>
        <w:t xml:space="preserve">. Cost of sales for Unallocated Corporate &amp; Other consists of the elimination of inter-segment sales, profit in inventory, and other costs. </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 xml:space="preserve">Selling, </w:t>
      </w:r>
      <w:r>
        <w:rPr>
          <w:rFonts w:ascii="Times New Roman;sans-serif" w:hAnsi="Times New Roman;sans-serif"/>
          <w:b w:val="false"/>
          <w:i/>
          <w:color w:val="000000"/>
          <w:sz w:val="20"/>
          <w:shd w:fill="FFFFFF" w:val="clear"/>
        </w:rPr>
        <w:t>General and Administrative</w:t>
      </w:r>
      <w:r>
        <w:rPr>
          <w:rFonts w:ascii="Times New Roman;sans-serif" w:hAnsi="Times New Roman;sans-serif"/>
          <w:b w:val="false"/>
          <w:color w:val="000000"/>
          <w:sz w:val="20"/>
          <w:shd w:fill="FFFFFF" w:val="clear"/>
        </w:rPr>
        <w:t xml:space="preserve">. Selling, general and administrative expenses decreased $1.4 million, or 622%, for the three months ended April 30, 2023 compared to the same period in 2022. This decrease is primarily attributable to a decrease in medical expense claims and lower compensation expense including the valuations of our stock-based compensation awards during the three months ended April 30, 2023 as compared to the prior year period. </w:t>
      </w:r>
    </w:p>
    <w:p>
      <w:pPr>
        <w:pStyle w:val="TextBody"/>
        <w:bidi w:val="0"/>
        <w:spacing w:lineRule="auto" w:line="28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related to Non-Operating Items:</w:t>
      </w:r>
    </w:p>
    <w:p>
      <w:pPr>
        <w:pStyle w:val="TextBody"/>
        <w:bidi w:val="0"/>
        <w:spacing w:lineRule="auto" w:line="268" w:before="60" w:after="180"/>
        <w:ind w:left="0" w:right="0" w:firstLine="495"/>
        <w:jc w:val="both"/>
        <w:rPr/>
      </w:pPr>
      <w:r>
        <w:rPr>
          <w:rFonts w:ascii="Times New Roman;sans-serif" w:hAnsi="Times New Roman;sans-serif"/>
          <w:b w:val="false"/>
          <w:i/>
          <w:color w:val="000000"/>
          <w:sz w:val="20"/>
        </w:rPr>
        <w:t>Interest Exp</w:t>
      </w:r>
      <w:r>
        <w:rPr>
          <w:rFonts w:ascii="Times New Roman;sans-serif" w:hAnsi="Times New Roman;sans-serif"/>
          <w:b w:val="false"/>
          <w:i/>
          <w:color w:val="000000"/>
          <w:sz w:val="20"/>
          <w:shd w:fill="FFFFFF" w:val="clear"/>
        </w:rPr>
        <w:t>ense</w:t>
      </w:r>
      <w:r>
        <w:rPr>
          <w:rFonts w:ascii="Times New Roman;sans-serif" w:hAnsi="Times New Roman;sans-serif"/>
          <w:b w:val="false"/>
          <w:color w:val="000000"/>
          <w:sz w:val="20"/>
          <w:shd w:fill="FFFFFF" w:val="clear"/>
        </w:rPr>
        <w:t xml:space="preserve">. Interest expense increased $1.6 million for the three months ended </w:t>
      </w:r>
      <w:r>
        <w:rPr>
          <w:rFonts w:ascii="Times New Roman;sans-serif" w:hAnsi="Times New Roman;sans-serif"/>
          <w:b w:val="false"/>
          <w:color w:val="000000"/>
          <w:sz w:val="20"/>
        </w:rPr>
        <w:t>April 30, 2023</w:t>
      </w:r>
      <w:r>
        <w:rPr>
          <w:color w:val="000000"/>
          <w:shd w:fill="FFFFFF" w:val="clear"/>
        </w:rPr>
        <w:t xml:space="preserve"> </w:t>
      </w:r>
      <w:r>
        <w:rPr>
          <w:rFonts w:ascii="Times New Roman;sans-serif" w:hAnsi="Times New Roman;sans-serif"/>
          <w:b w:val="false"/>
          <w:color w:val="000000"/>
          <w:sz w:val="20"/>
          <w:shd w:fill="FFFFFF" w:val="clear"/>
        </w:rPr>
        <w:t xml:space="preserve">compared to the same period in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as a result of higher borrowings outstanding during the period and an increase in interest rates.</w:t>
      </w:r>
    </w:p>
    <w:p>
      <w:pPr>
        <w:pStyle w:val="TextBody"/>
        <w:bidi w:val="0"/>
        <w:spacing w:lineRule="auto" w:line="268" w:before="60" w:after="180"/>
        <w:ind w:left="0" w:right="0" w:firstLine="495"/>
        <w:jc w:val="both"/>
        <w:rPr/>
      </w:pPr>
      <w:r>
        <w:rPr>
          <w:rFonts w:ascii="Times New Roman;sans-serif" w:hAnsi="Times New Roman;sans-serif"/>
          <w:b w:val="false"/>
          <w:i/>
          <w:color w:val="000000"/>
          <w:sz w:val="20"/>
        </w:rPr>
        <w:t>Income Taxes</w:t>
      </w:r>
      <w:r>
        <w:rPr>
          <w:rFonts w:ascii="Times New Roman;sans-serif" w:hAnsi="Times New Roman;sans-serif"/>
          <w:b w:val="false"/>
          <w:color w:val="000000"/>
          <w:sz w:val="20"/>
        </w:rPr>
        <w:t>. We recorded inco</w:t>
      </w:r>
      <w:r>
        <w:rPr>
          <w:rFonts w:ascii="Times New Roman;sans-serif" w:hAnsi="Times New Roman;sans-serif"/>
          <w:b w:val="false"/>
          <w:color w:val="000000"/>
          <w:sz w:val="20"/>
          <w:shd w:fill="FFFFFF" w:val="clear"/>
        </w:rPr>
        <w:t xml:space="preserve">me tax expense of $5.6 million on pre-tax </w:t>
      </w:r>
      <w:r>
        <w:rPr>
          <w:rFonts w:ascii="Times New Roman;sans-serif" w:hAnsi="Times New Roman;sans-serif"/>
          <w:b w:val="false"/>
          <w:color w:val="000000"/>
          <w:sz w:val="18"/>
          <w:shd w:fill="FFFFFF" w:val="clear"/>
        </w:rPr>
        <w:t>income</w:t>
      </w:r>
      <w:r>
        <w:rPr>
          <w:color w:val="000000"/>
          <w:shd w:fill="FFFFFF" w:val="clear"/>
        </w:rPr>
        <w:t xml:space="preserve"> </w:t>
      </w:r>
      <w:r>
        <w:rPr>
          <w:rFonts w:ascii="Times New Roman;sans-serif" w:hAnsi="Times New Roman;sans-serif"/>
          <w:b w:val="false"/>
          <w:color w:val="000000"/>
          <w:sz w:val="20"/>
          <w:shd w:fill="FFFFFF" w:val="clear"/>
        </w:rPr>
        <w:t xml:space="preserve">of $27.1 million for the three months ended April 30, 2023, an effective rate of 20.5%, and income tax </w:t>
      </w:r>
      <w:r>
        <w:rPr>
          <w:rFonts w:ascii="Times New Roman;sans-serif" w:hAnsi="Times New Roman;sans-serif"/>
          <w:b w:val="false"/>
          <w:color w:val="000000"/>
          <w:sz w:val="18"/>
          <w:shd w:fill="FFFFFF" w:val="clear"/>
        </w:rPr>
        <w:t>expense</w:t>
      </w:r>
      <w:r>
        <w:rPr>
          <w:color w:val="000000"/>
          <w:shd w:fill="FFFFFF" w:val="clear"/>
        </w:rPr>
        <w:t xml:space="preserve"> </w:t>
      </w:r>
      <w:r>
        <w:rPr>
          <w:rFonts w:ascii="Times New Roman;sans-serif" w:hAnsi="Times New Roman;sans-serif"/>
          <w:b w:val="false"/>
          <w:color w:val="000000"/>
          <w:sz w:val="20"/>
          <w:shd w:fill="FFFFFF" w:val="clear"/>
        </w:rPr>
        <w:t xml:space="preserve">of $7.9 million on pre-tax </w:t>
      </w:r>
      <w:r>
        <w:rPr>
          <w:rFonts w:ascii="Times New Roman;sans-serif" w:hAnsi="Times New Roman;sans-serif"/>
          <w:b w:val="false"/>
          <w:color w:val="000000"/>
          <w:sz w:val="18"/>
          <w:shd w:fill="FFFFFF" w:val="clear"/>
        </w:rPr>
        <w:t>income</w:t>
      </w:r>
      <w:r>
        <w:rPr>
          <w:color w:val="000000"/>
          <w:shd w:fill="FFFFFF" w:val="clear"/>
        </w:rPr>
        <w:t xml:space="preserve"> </w:t>
      </w:r>
      <w:r>
        <w:rPr>
          <w:rFonts w:ascii="Times New Roman;sans-serif" w:hAnsi="Times New Roman;sans-serif"/>
          <w:b w:val="false"/>
          <w:color w:val="000000"/>
          <w:sz w:val="20"/>
          <w:shd w:fill="FFFFFF" w:val="clear"/>
        </w:rPr>
        <w:t>of $34.4 million for the three months ended April 30, 2022, an effective rate of 22.9%. The decrease in income tax expense year-over-year was primarily driven by the decrease in pre-tax book income during the three months ended April 30, 2023, relative to the three months ended April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i/>
          <w:color w:val="000000"/>
          <w:sz w:val="18"/>
        </w:rPr>
        <w:t>Six Months Ended</w:t>
      </w:r>
      <w:r>
        <w:rPr>
          <w:color w:val="000000"/>
        </w:rPr>
        <w:t xml:space="preserve"> </w:t>
      </w:r>
      <w:r>
        <w:rPr>
          <w:rFonts w:ascii="Times New Roman;sans-serif" w:hAnsi="Times New Roman;sans-serif"/>
          <w:b/>
          <w:i/>
          <w:color w:val="000000"/>
          <w:sz w:val="20"/>
        </w:rPr>
        <w:t xml:space="preserve">April 30, 2023 Compared to </w:t>
      </w:r>
      <w:r>
        <w:rPr>
          <w:rFonts w:ascii="Times New Roman;sans-serif" w:hAnsi="Times New Roman;sans-serif"/>
          <w:b/>
          <w:i/>
          <w:color w:val="000000"/>
          <w:sz w:val="18"/>
        </w:rPr>
        <w:t>Six Months Ended</w:t>
      </w:r>
      <w:r>
        <w:rPr>
          <w:color w:val="000000"/>
        </w:rPr>
        <w:t xml:space="preserve"> </w:t>
      </w:r>
      <w:r>
        <w:rPr>
          <w:rFonts w:ascii="Times New Roman;sans-serif" w:hAnsi="Times New Roman;sans-serif"/>
          <w:b/>
          <w:i/>
          <w:color w:val="000000"/>
          <w:sz w:val="18"/>
        </w:rPr>
        <w:t>April 30,</w:t>
      </w:r>
      <w:r>
        <w:rPr>
          <w:color w:val="000000"/>
        </w:rPr>
        <w:t xml:space="preserve"> </w:t>
      </w:r>
      <w:r>
        <w:rPr>
          <w:rFonts w:ascii="Times New Roman;sans-serif" w:hAnsi="Times New Roman;sans-serif"/>
          <w:b/>
          <w:i/>
          <w:color w:val="000000"/>
          <w:sz w:val="20"/>
        </w:rPr>
        <w:t xml:space="preserve">2022 </w:t>
      </w:r>
    </w:p>
    <w:tbl>
      <w:tblPr>
        <w:tblW w:w="10154" w:type="dxa"/>
        <w:jc w:val="center"/>
        <w:tblInd w:w="0" w:type="dxa"/>
        <w:tblLayout w:type="fixed"/>
        <w:tblCellMar>
          <w:top w:w="28" w:type="dxa"/>
          <w:left w:w="28" w:type="dxa"/>
          <w:bottom w:w="28" w:type="dxa"/>
          <w:right w:w="28" w:type="dxa"/>
        </w:tblCellMar>
      </w:tblPr>
      <w:tblGrid>
        <w:gridCol w:w="1670"/>
        <w:gridCol w:w="1463"/>
        <w:gridCol w:w="148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69"/>
        <w:gridCol w:w="271"/>
        <w:gridCol w:w="605"/>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April 30,</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Variance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period-over-period results by reportable segment follow.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Related to Operating Income by Reportable Segment: </w:t>
      </w:r>
    </w:p>
    <w:p>
      <w:pPr>
        <w:pStyle w:val="TextBody"/>
        <w:bidi w:val="0"/>
        <w:spacing w:lineRule="auto" w:line="288" w:before="180" w:after="14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NA Fenestration</w:t>
      </w:r>
    </w:p>
    <w:tbl>
      <w:tblPr>
        <w:tblW w:w="10205" w:type="dxa"/>
        <w:jc w:val="center"/>
        <w:tblInd w:w="0" w:type="dxa"/>
        <w:tblLayout w:type="fixed"/>
        <w:tblCellMar>
          <w:top w:w="28" w:type="dxa"/>
          <w:left w:w="28" w:type="dxa"/>
          <w:bottom w:w="28" w:type="dxa"/>
          <w:right w:w="28" w:type="dxa"/>
        </w:tblCellMar>
      </w:tblPr>
      <w:tblGrid>
        <w:gridCol w:w="1655"/>
        <w:gridCol w:w="1448"/>
        <w:gridCol w:w="1472"/>
        <w:gridCol w:w="211"/>
        <w:gridCol w:w="826"/>
        <w:gridCol w:w="271"/>
        <w:gridCol w:w="109"/>
        <w:gridCol w:w="109"/>
        <w:gridCol w:w="109"/>
        <w:gridCol w:w="211"/>
        <w:gridCol w:w="826"/>
        <w:gridCol w:w="271"/>
        <w:gridCol w:w="109"/>
        <w:gridCol w:w="109"/>
        <w:gridCol w:w="109"/>
        <w:gridCol w:w="211"/>
        <w:gridCol w:w="795"/>
        <w:gridCol w:w="109"/>
        <w:gridCol w:w="109"/>
        <w:gridCol w:w="109"/>
        <w:gridCol w:w="109"/>
        <w:gridCol w:w="268"/>
        <w:gridCol w:w="268"/>
        <w:gridCol w:w="382"/>
      </w:tblGrid>
      <w:tr>
        <w:trPr/>
        <w:tc>
          <w:tcPr>
            <w:tcW w:w="165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April 30,</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Variance</w:t>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95"/>
        <w:jc w:val="both"/>
        <w:rPr/>
      </w:pPr>
      <w:r>
        <w:rPr>
          <w:rFonts w:ascii="Times New Roman;sans-serif" w:hAnsi="Times New Roman;sans-serif"/>
          <w:b w:val="false"/>
          <w:i/>
          <w:color w:val="000000"/>
          <w:sz w:val="20"/>
        </w:rPr>
        <w:t>Net Sales.</w:t>
      </w:r>
      <w:r>
        <w:rPr>
          <w:color w:val="000000"/>
        </w:rPr>
        <w:t xml:space="preserve"> </w:t>
      </w:r>
      <w:r>
        <w:rPr>
          <w:rFonts w:ascii="Times New Roman;sans-serif" w:hAnsi="Times New Roman;sans-serif"/>
          <w:b w:val="false"/>
          <w:color w:val="000000"/>
          <w:sz w:val="20"/>
        </w:rPr>
        <w:t>Ne</w:t>
      </w:r>
      <w:r>
        <w:rPr>
          <w:rFonts w:ascii="Times New Roman;sans-serif" w:hAnsi="Times New Roman;sans-serif"/>
          <w:b w:val="false"/>
          <w:color w:val="000000"/>
          <w:sz w:val="20"/>
          <w:shd w:fill="FFFFFF" w:val="clear"/>
        </w:rPr>
        <w:t>t sales decreased $14.6 million, or 4%, for the six months ended April 30, 2023 compared to the same period in 2022, which was primarily driven by a $48.3 million decrease in volumes mainly due to softer market demand, a return to normal seasonality, customer destocking, and an decrease in price and raw material surcharges of $0.5 million, partially offset by a $34.2 million contribution from the addition of LMI in 2023.</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shd w:fill="FFFFFF" w:val="clear"/>
        </w:rPr>
        <w:t xml:space="preserve">Cost of Sales. </w:t>
      </w:r>
      <w:r>
        <w:rPr>
          <w:rFonts w:ascii="Times New Roman;sans-serif" w:hAnsi="Times New Roman;sans-serif"/>
          <w:b w:val="false"/>
          <w:color w:val="000000"/>
          <w:sz w:val="20"/>
          <w:shd w:fill="FFFFFF" w:val="clear"/>
        </w:rPr>
        <w:t>The cost of sales decreased $6.3 million, or 3%, for the six months ended April 30, 2023 as compared to the same period in 2022. Cost of sales, including labor, decreased primarily due to lower volumes and deflation of raw materials during the period partially offset by LMI’s cost of sales in 2023.</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rPr>
        <w:t xml:space="preserve">Selling, General </w:t>
      </w:r>
      <w:r>
        <w:rPr>
          <w:rFonts w:ascii="Times New Roman;sans-serif" w:hAnsi="Times New Roman;sans-serif"/>
          <w:b w:val="false"/>
          <w:i/>
          <w:color w:val="000000"/>
          <w:sz w:val="20"/>
          <w:shd w:fill="FFFFFF" w:val="clear"/>
        </w:rPr>
        <w:t>and Administrative. S</w:t>
      </w:r>
      <w:r>
        <w:rPr>
          <w:rFonts w:ascii="Times New Roman;sans-serif" w:hAnsi="Times New Roman;sans-serif"/>
          <w:b w:val="false"/>
          <w:color w:val="000000"/>
          <w:sz w:val="20"/>
          <w:shd w:fill="FFFFFF" w:val="clear"/>
        </w:rPr>
        <w:t>elling, general and administrative expenses decreased $1.0 million, or 4%, for the six months ended April 30, 2023 as compared to the same period in 2022. This decrease was primarily due to a decrease in labor costs year-over-year.</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 increased $2.1 million, or 26%, </w:t>
      </w:r>
      <w:r>
        <w:rPr>
          <w:rFonts w:ascii="Times New Roman;sans-serif" w:hAnsi="Times New Roman;sans-serif"/>
          <w:b w:val="false"/>
          <w:color w:val="000000"/>
          <w:sz w:val="20"/>
          <w:shd w:fill="FFFFFF" w:val="clear"/>
        </w:rPr>
        <w:t>for the six months ended April 30, 2023 as compared to the same period in 2022, primarily due to the acquisition of LMI’s property, plant and equipment and intangible assets.</w:t>
      </w: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EU Fenestration</w:t>
      </w:r>
    </w:p>
    <w:tbl>
      <w:tblPr>
        <w:tblW w:w="10205" w:type="dxa"/>
        <w:jc w:val="left"/>
        <w:tblInd w:w="0" w:type="dxa"/>
        <w:tblLayout w:type="fixed"/>
        <w:tblCellMar>
          <w:top w:w="28" w:type="dxa"/>
          <w:left w:w="28" w:type="dxa"/>
          <w:bottom w:w="28" w:type="dxa"/>
          <w:right w:w="28" w:type="dxa"/>
        </w:tblCellMar>
      </w:tblPr>
      <w:tblGrid>
        <w:gridCol w:w="1656"/>
        <w:gridCol w:w="1449"/>
        <w:gridCol w:w="1473"/>
        <w:gridCol w:w="211"/>
        <w:gridCol w:w="826"/>
        <w:gridCol w:w="271"/>
        <w:gridCol w:w="109"/>
        <w:gridCol w:w="109"/>
        <w:gridCol w:w="109"/>
        <w:gridCol w:w="211"/>
        <w:gridCol w:w="826"/>
        <w:gridCol w:w="271"/>
        <w:gridCol w:w="109"/>
        <w:gridCol w:w="109"/>
        <w:gridCol w:w="109"/>
        <w:gridCol w:w="211"/>
        <w:gridCol w:w="795"/>
        <w:gridCol w:w="109"/>
        <w:gridCol w:w="109"/>
        <w:gridCol w:w="109"/>
        <w:gridCol w:w="109"/>
        <w:gridCol w:w="267"/>
        <w:gridCol w:w="267"/>
        <w:gridCol w:w="381"/>
      </w:tblGrid>
      <w:tr>
        <w:trPr/>
        <w:tc>
          <w:tcPr>
            <w:tcW w:w="165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April 30,</w:t>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Variance %</w:t>
            </w:r>
          </w:p>
        </w:tc>
      </w:tr>
      <w:tr>
        <w:trPr/>
        <w:tc>
          <w:tcPr>
            <w:tcW w:w="45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95"/>
        <w:jc w:val="both"/>
        <w:rPr/>
      </w:pPr>
      <w:r>
        <w:rPr>
          <w:rFonts w:ascii="Times New Roman;sans-serif" w:hAnsi="Times New Roman;sans-serif"/>
          <w:b w:val="false"/>
          <w:i/>
          <w:color w:val="000000"/>
          <w:sz w:val="20"/>
        </w:rPr>
        <w:t>Net Sales</w:t>
      </w:r>
      <w:r>
        <w:rPr>
          <w:rFonts w:ascii="Times New Roman;sans-serif" w:hAnsi="Times New Roman;sans-serif"/>
          <w:b w:val="false"/>
          <w:color w:val="000000"/>
          <w:sz w:val="20"/>
        </w:rPr>
        <w:t>. Net sales decreased</w:t>
      </w:r>
      <w:r>
        <w:rPr>
          <w:color w:val="000000"/>
          <w:shd w:fill="FFFFFF" w:val="clear"/>
        </w:rPr>
        <w:t xml:space="preserve"> </w:t>
      </w:r>
      <w:r>
        <w:rPr>
          <w:rFonts w:ascii="Times New Roman;sans-serif" w:hAnsi="Times New Roman;sans-serif"/>
          <w:b w:val="false"/>
          <w:color w:val="000000"/>
          <w:sz w:val="20"/>
          <w:shd w:fill="FFFFFF" w:val="clear"/>
        </w:rPr>
        <w:t>$13.6 million, or 10%, comparing the six months ended April 30, 2023 to the same period in 2022, which was primarily driven by a $12.0 million decrease in volumes largely due to softer market demand, a return to normal seasonality, customer destocking, and $10.8 million of foreign currency rate change, partially offset by $9.2 million of base price increases.</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shd w:fill="FFFFFF" w:val="clear"/>
        </w:rPr>
        <w:t xml:space="preserve">Cost of Sales. </w:t>
      </w:r>
      <w:r>
        <w:rPr>
          <w:rFonts w:ascii="Times New Roman;sans-serif" w:hAnsi="Times New Roman;sans-serif"/>
          <w:b w:val="false"/>
          <w:color w:val="000000"/>
          <w:sz w:val="20"/>
          <w:shd w:fill="FFFFFF" w:val="clear"/>
        </w:rPr>
        <w:t>The cost of sales decreased $12.8 million, or 14%, for the six months ended April 30, 2023 compared to the same period in 2022. Cost of sales decreased primarily due to a decrease in volumes and foreign currency impacts partially offset by inflation of raw materials.</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shd w:fill="FFFFFF" w:val="clear"/>
        </w:rPr>
        <w:t xml:space="preserve">Selling, General and Administrative. </w:t>
      </w:r>
      <w:r>
        <w:rPr>
          <w:rFonts w:ascii="Times New Roman;sans-serif" w:hAnsi="Times New Roman;sans-serif"/>
          <w:b w:val="false"/>
          <w:color w:val="000000"/>
          <w:sz w:val="20"/>
          <w:shd w:fill="FFFFFF" w:val="clear"/>
        </w:rPr>
        <w:t>Selling, general and administrative expense increased $0.1 million, for the six months ended April 30, 2023 compared to the same period in 2022, which was essentially flat year-over-year.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NA Cabinet Components</w:t>
      </w:r>
    </w:p>
    <w:tbl>
      <w:tblPr>
        <w:tblW w:w="10205" w:type="dxa"/>
        <w:jc w:val="left"/>
        <w:tblInd w:w="0" w:type="dxa"/>
        <w:tblLayout w:type="fixed"/>
        <w:tblCellMar>
          <w:top w:w="28" w:type="dxa"/>
          <w:left w:w="28" w:type="dxa"/>
          <w:bottom w:w="28" w:type="dxa"/>
          <w:right w:w="28" w:type="dxa"/>
        </w:tblCellMar>
      </w:tblPr>
      <w:tblGrid>
        <w:gridCol w:w="1656"/>
        <w:gridCol w:w="1449"/>
        <w:gridCol w:w="1473"/>
        <w:gridCol w:w="211"/>
        <w:gridCol w:w="826"/>
        <w:gridCol w:w="271"/>
        <w:gridCol w:w="109"/>
        <w:gridCol w:w="109"/>
        <w:gridCol w:w="109"/>
        <w:gridCol w:w="211"/>
        <w:gridCol w:w="826"/>
        <w:gridCol w:w="271"/>
        <w:gridCol w:w="109"/>
        <w:gridCol w:w="109"/>
        <w:gridCol w:w="109"/>
        <w:gridCol w:w="211"/>
        <w:gridCol w:w="795"/>
        <w:gridCol w:w="109"/>
        <w:gridCol w:w="109"/>
        <w:gridCol w:w="109"/>
        <w:gridCol w:w="109"/>
        <w:gridCol w:w="267"/>
        <w:gridCol w:w="267"/>
        <w:gridCol w:w="381"/>
      </w:tblGrid>
      <w:tr>
        <w:trPr/>
        <w:tc>
          <w:tcPr>
            <w:tcW w:w="165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April 30,</w:t>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Variance %</w:t>
            </w:r>
          </w:p>
        </w:tc>
      </w:tr>
      <w:tr>
        <w:trPr/>
        <w:tc>
          <w:tcPr>
            <w:tcW w:w="45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pPr>
      <w:r>
        <w:rPr>
          <w:rFonts w:ascii="Times New Roman;sans-serif" w:hAnsi="Times New Roman;sans-serif"/>
          <w:b w:val="false"/>
          <w:i/>
          <w:color w:val="000000"/>
          <w:sz w:val="20"/>
          <w:shd w:fill="FFFFFF" w:val="clear"/>
        </w:rPr>
        <w:t>Net Sales</w:t>
      </w:r>
      <w:r>
        <w:rPr>
          <w:rFonts w:ascii="Times New Roman;sans-serif" w:hAnsi="Times New Roman;sans-serif"/>
          <w:b w:val="false"/>
          <w:color w:val="000000"/>
          <w:sz w:val="20"/>
          <w:shd w:fill="FFFFFF" w:val="clear"/>
        </w:rPr>
        <w:t xml:space="preserve">. Net sales decreased $27.0 million, or 20%, for the six months ended April 30, 2023 compared to the same period in 2022, which was driven by a $29.1 million decrease in volumes due to softer market demand driven by weaker consumer confidence partially offset by a $2.1 million increase in price and raw material indexes. </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shd w:fill="FFFFFF" w:val="clear"/>
        </w:rPr>
        <w:t>Cost of Sales</w:t>
      </w:r>
      <w:r>
        <w:rPr>
          <w:rFonts w:ascii="Times New Roman;sans-serif" w:hAnsi="Times New Roman;sans-serif"/>
          <w:b w:val="false"/>
          <w:color w:val="000000"/>
          <w:sz w:val="20"/>
          <w:shd w:fill="FFFFFF" w:val="clear"/>
        </w:rPr>
        <w:t xml:space="preserve">. Cost of sales decreased $26.5 million, or 22%, for the six months ended April 30, 2023 compared with the same period in 2022, primarily as a result of lower volumes year-over-year and lumber price deflation. </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rPr>
        <w:t>Selling, General and Administrative</w:t>
      </w:r>
      <w:r>
        <w:rPr>
          <w:rFonts w:ascii="Times New Roman;sans-serif" w:hAnsi="Times New Roman;sans-serif"/>
          <w:b w:val="false"/>
          <w:color w:val="000000"/>
          <w:sz w:val="20"/>
        </w:rPr>
        <w:t xml:space="preserve">. Selling, general and administrative expense increased $0.4 million, or 3%, for the six months ended April 30, 2023 compared to the same period in 2022 </w:t>
      </w:r>
      <w:r>
        <w:rPr>
          <w:rFonts w:ascii="Times New Roman;sans-serif" w:hAnsi="Times New Roman;sans-serif"/>
          <w:b w:val="false"/>
          <w:color w:val="000000"/>
          <w:sz w:val="20"/>
          <w:shd w:fill="FFFFFF" w:val="clear"/>
        </w:rPr>
        <w:t>primarily due to a loss on an asset caused by wind damage to a manufacturing facility and an increase in professional fees partially offset by a decrease in labor costs.</w:t>
      </w:r>
    </w:p>
    <w:p>
      <w:pPr>
        <w:pStyle w:val="TextBody"/>
        <w:bidi w:val="0"/>
        <w:spacing w:lineRule="auto" w:line="288" w:before="160" w:after="283"/>
        <w:ind w:left="0" w:right="0" w:firstLine="495"/>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 decreased </w:t>
      </w:r>
      <w:r>
        <w:rPr>
          <w:rFonts w:ascii="Times New Roman;sans-serif" w:hAnsi="Times New Roman;sans-serif"/>
          <w:b w:val="false"/>
          <w:color w:val="000000"/>
          <w:sz w:val="20"/>
          <w:shd w:fill="FFFFFF" w:val="clear"/>
        </w:rPr>
        <w:t>$1.5 million</w:t>
      </w:r>
      <w:r>
        <w:rPr>
          <w:rFonts w:ascii="Times New Roman;sans-serif" w:hAnsi="Times New Roman;sans-serif"/>
          <w:b w:val="false"/>
          <w:color w:val="000000"/>
          <w:sz w:val="20"/>
        </w:rPr>
        <w:t xml:space="preserve">, or 20%,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months ended April 30, 2023 as compared to the same period in 2022, reflecting the run-off of depreciation expense related to</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existing assets.</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Unallocated Corporate &amp; Other</w:t>
      </w:r>
    </w:p>
    <w:tbl>
      <w:tblPr>
        <w:tblW w:w="9654" w:type="dxa"/>
        <w:jc w:val="center"/>
        <w:tblInd w:w="0" w:type="dxa"/>
        <w:tblLayout w:type="fixed"/>
        <w:tblCellMar>
          <w:top w:w="28" w:type="dxa"/>
          <w:left w:w="28" w:type="dxa"/>
          <w:bottom w:w="28" w:type="dxa"/>
          <w:right w:w="28" w:type="dxa"/>
        </w:tblCellMar>
      </w:tblPr>
      <w:tblGrid>
        <w:gridCol w:w="1670"/>
        <w:gridCol w:w="1463"/>
        <w:gridCol w:w="1487"/>
        <w:gridCol w:w="211"/>
        <w:gridCol w:w="796"/>
        <w:gridCol w:w="109"/>
        <w:gridCol w:w="109"/>
        <w:gridCol w:w="109"/>
        <w:gridCol w:w="109"/>
        <w:gridCol w:w="211"/>
        <w:gridCol w:w="691"/>
        <w:gridCol w:w="109"/>
        <w:gridCol w:w="109"/>
        <w:gridCol w:w="109"/>
        <w:gridCol w:w="109"/>
        <w:gridCol w:w="211"/>
        <w:gridCol w:w="691"/>
        <w:gridCol w:w="109"/>
        <w:gridCol w:w="109"/>
        <w:gridCol w:w="109"/>
        <w:gridCol w:w="109"/>
        <w:gridCol w:w="268"/>
        <w:gridCol w:w="268"/>
        <w:gridCol w:w="379"/>
      </w:tblGrid>
      <w:tr>
        <w:trPr/>
        <w:tc>
          <w:tcPr>
            <w:tcW w:w="167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April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Variance %</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(excluding 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r>
    </w:tbl>
    <w:p>
      <w:pPr>
        <w:pStyle w:val="TextBody"/>
        <w:bidi w:val="0"/>
        <w:spacing w:lineRule="auto" w:line="288" w:before="120" w:after="283"/>
        <w:ind w:left="0" w:right="0" w:firstLine="495"/>
        <w:jc w:val="both"/>
        <w:rPr/>
      </w:pPr>
      <w:r>
        <w:rPr>
          <w:rFonts w:ascii="Times New Roman;sans-serif" w:hAnsi="Times New Roman;sans-serif"/>
          <w:b w:val="false"/>
          <w:i/>
          <w:color w:val="000000"/>
          <w:sz w:val="20"/>
        </w:rPr>
        <w:t>Net Sales</w:t>
      </w:r>
      <w:r>
        <w:rPr>
          <w:rFonts w:ascii="Times New Roman;sans-serif" w:hAnsi="Times New Roman;sans-serif"/>
          <w:b w:val="false"/>
          <w:color w:val="000000"/>
          <w:sz w:val="20"/>
        </w:rPr>
        <w:t xml:space="preserve">. Net sales for Unallocated Corporate &amp; Other represents the elimination of inter-segment sales for the six months ended April 30, 2023 and 2022. </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Cost of Sales</w:t>
      </w:r>
      <w:r>
        <w:rPr>
          <w:rFonts w:ascii="Times New Roman;sans-serif" w:hAnsi="Times New Roman;sans-serif"/>
          <w:b w:val="false"/>
          <w:color w:val="000000"/>
          <w:sz w:val="20"/>
        </w:rPr>
        <w:t xml:space="preserve">. Cost of sales for Unallocated Corporate &amp; Other consists of the elimination of inter-segment sales, profit in inventory, and other costs. </w:t>
      </w:r>
    </w:p>
    <w:p>
      <w:pPr>
        <w:pStyle w:val="TextBody"/>
        <w:bidi w:val="0"/>
        <w:spacing w:lineRule="auto" w:line="288" w:before="180" w:after="283"/>
        <w:ind w:left="0" w:right="0" w:firstLine="495"/>
        <w:jc w:val="both"/>
        <w:rPr/>
      </w:pPr>
      <w:r>
        <w:rPr>
          <w:rFonts w:ascii="Times New Roman;sans-serif" w:hAnsi="Times New Roman;sans-serif"/>
          <w:b w:val="false"/>
          <w:i/>
          <w:color w:val="000000"/>
          <w:sz w:val="20"/>
        </w:rPr>
        <w:t>Selling, General and Administrative</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Selling, general and administrative expenses increased $5.8 million, or 140%, for the six months ended April 30, 2023 compared to the same period in 2022. This increase is primarily attributable an increase in transaction fees and compensation expense including the valuations of our stock-based compensation awards, partially offset by a decrease related to medical expense claims during the six months ended April 30, 2023 as compared to the prior year period. </w:t>
      </w:r>
    </w:p>
    <w:p>
      <w:pPr>
        <w:pStyle w:val="TextBody"/>
        <w:bidi w:val="0"/>
        <w:spacing w:lineRule="auto" w:line="417"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Changes related to Non-Operating Items:</w:t>
      </w:r>
    </w:p>
    <w:p>
      <w:pPr>
        <w:pStyle w:val="TextBody"/>
        <w:bidi w:val="0"/>
        <w:spacing w:lineRule="auto" w:line="268" w:before="60" w:after="180"/>
        <w:ind w:left="0" w:right="0" w:firstLine="495"/>
        <w:jc w:val="both"/>
        <w:rPr/>
      </w:pPr>
      <w:r>
        <w:rPr>
          <w:rFonts w:ascii="Times New Roman;sans-serif" w:hAnsi="Times New Roman;sans-serif"/>
          <w:b w:val="false"/>
          <w:i/>
          <w:color w:val="000000"/>
          <w:sz w:val="20"/>
        </w:rPr>
        <w:t>Interest Exp</w:t>
      </w:r>
      <w:r>
        <w:rPr>
          <w:rFonts w:ascii="Times New Roman;sans-serif" w:hAnsi="Times New Roman;sans-serif"/>
          <w:b w:val="false"/>
          <w:i/>
          <w:color w:val="000000"/>
          <w:sz w:val="20"/>
          <w:shd w:fill="FFFFFF" w:val="clear"/>
        </w:rPr>
        <w:t>ense</w:t>
      </w:r>
      <w:r>
        <w:rPr>
          <w:rFonts w:ascii="Times New Roman;sans-serif" w:hAnsi="Times New Roman;sans-serif"/>
          <w:b w:val="false"/>
          <w:color w:val="000000"/>
          <w:sz w:val="20"/>
          <w:shd w:fill="FFFFFF" w:val="clear"/>
        </w:rPr>
        <w:t xml:space="preserve">. Interest expense increased $3.4 million for the six months ended </w:t>
      </w:r>
      <w:r>
        <w:rPr>
          <w:rFonts w:ascii="Times New Roman;sans-serif" w:hAnsi="Times New Roman;sans-serif"/>
          <w:b w:val="false"/>
          <w:color w:val="000000"/>
          <w:sz w:val="20"/>
        </w:rPr>
        <w:t>April 30, 2023</w:t>
      </w:r>
      <w:r>
        <w:rPr>
          <w:color w:val="000000"/>
          <w:shd w:fill="FFFFFF" w:val="clear"/>
        </w:rPr>
        <w:t xml:space="preserve"> </w:t>
      </w:r>
      <w:r>
        <w:rPr>
          <w:rFonts w:ascii="Times New Roman;sans-serif" w:hAnsi="Times New Roman;sans-serif"/>
          <w:b w:val="false"/>
          <w:color w:val="000000"/>
          <w:sz w:val="20"/>
          <w:shd w:fill="FFFFFF" w:val="clear"/>
        </w:rPr>
        <w:t xml:space="preserve">compared to the same period in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as a result of higher borrowings outstanding during the period and an increase in interest rates.</w:t>
      </w:r>
    </w:p>
    <w:p>
      <w:pPr>
        <w:pStyle w:val="TextBody"/>
        <w:bidi w:val="0"/>
        <w:spacing w:lineRule="auto" w:line="268" w:before="60" w:after="180"/>
        <w:ind w:left="0" w:right="0" w:firstLine="495"/>
        <w:jc w:val="both"/>
        <w:rPr/>
      </w:pPr>
      <w:r>
        <w:rPr>
          <w:rFonts w:ascii="Times New Roman;sans-serif" w:hAnsi="Times New Roman;sans-serif"/>
          <w:b w:val="false"/>
          <w:i/>
          <w:color w:val="000000"/>
          <w:sz w:val="20"/>
          <w:shd w:fill="FFFFFF" w:val="clear"/>
        </w:rPr>
        <w:t>Income Taxes</w:t>
      </w:r>
      <w:r>
        <w:rPr>
          <w:rFonts w:ascii="Times New Roman;sans-serif" w:hAnsi="Times New Roman;sans-serif"/>
          <w:b w:val="false"/>
          <w:color w:val="000000"/>
          <w:sz w:val="20"/>
          <w:shd w:fill="FFFFFF" w:val="clear"/>
        </w:rPr>
        <w:t xml:space="preserve">. We recorded income tax expense of $6.0 million on pre-tax </w:t>
      </w:r>
      <w:r>
        <w:rPr>
          <w:rFonts w:ascii="Times New Roman;sans-serif" w:hAnsi="Times New Roman;sans-serif"/>
          <w:b w:val="false"/>
          <w:color w:val="000000"/>
          <w:sz w:val="18"/>
          <w:shd w:fill="FFFFFF" w:val="clear"/>
        </w:rPr>
        <w:t>income</w:t>
      </w:r>
      <w:r>
        <w:rPr>
          <w:color w:val="000000"/>
          <w:shd w:fill="FFFFFF" w:val="clear"/>
        </w:rPr>
        <w:t xml:space="preserve"> </w:t>
      </w:r>
      <w:r>
        <w:rPr>
          <w:rFonts w:ascii="Times New Roman;sans-serif" w:hAnsi="Times New Roman;sans-serif"/>
          <w:b w:val="false"/>
          <w:color w:val="000000"/>
          <w:sz w:val="20"/>
          <w:shd w:fill="FFFFFF" w:val="clear"/>
        </w:rPr>
        <w:t xml:space="preserve">of $29.4 million for the six months ended April 30, 2023, an effective rate of 20.4%, and income tax </w:t>
      </w:r>
      <w:r>
        <w:rPr>
          <w:rFonts w:ascii="Times New Roman;sans-serif" w:hAnsi="Times New Roman;sans-serif"/>
          <w:b w:val="false"/>
          <w:color w:val="000000"/>
          <w:sz w:val="18"/>
          <w:shd w:fill="FFFFFF" w:val="clear"/>
        </w:rPr>
        <w:t>expense</w:t>
      </w:r>
      <w:r>
        <w:rPr>
          <w:color w:val="000000"/>
          <w:shd w:fill="FFFFFF" w:val="clear"/>
        </w:rPr>
        <w:t xml:space="preserve"> </w:t>
      </w:r>
      <w:r>
        <w:rPr>
          <w:rFonts w:ascii="Times New Roman;sans-serif" w:hAnsi="Times New Roman;sans-serif"/>
          <w:b w:val="false"/>
          <w:color w:val="000000"/>
          <w:sz w:val="20"/>
          <w:shd w:fill="FFFFFF" w:val="clear"/>
        </w:rPr>
        <w:t>of $10.3 million on a pre-tax income of $48.1 million for the six months ended April 30, 2022, an effective rate of 21.4%.</w:t>
      </w:r>
      <w:r>
        <w:rPr>
          <w:color w:val="000000"/>
          <w:shd w:fill="FFFFFF" w:val="clear"/>
        </w:rPr>
        <w:t xml:space="preserve"> </w:t>
      </w:r>
      <w:r>
        <w:rPr>
          <w:rFonts w:ascii="Times New Roman;sans-serif" w:hAnsi="Times New Roman;sans-serif"/>
          <w:b w:val="false"/>
          <w:color w:val="000000"/>
          <w:sz w:val="20"/>
          <w:shd w:fill="FFFFFF" w:val="clear"/>
        </w:rPr>
        <w:t xml:space="preserve">The decrease in income tax expense year-over-year was primarily driven by the decrease in pre-tax book income during the six months ended April 30, 2023, relative to the six months ended April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Overview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principal sources of funds have been cash on hand, cash flow from operations, and borrowings under our credit facilities. </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rPr>
        <w:t>We maintain a $325.0 million revolving credit facility (the Credit Facility) that</w:t>
      </w:r>
      <w:r>
        <w:rPr>
          <w:color w:val="000000"/>
          <w:shd w:fill="FFFFFF" w:val="clear"/>
        </w:rPr>
        <w:t xml:space="preserve"> </w:t>
      </w:r>
      <w:r>
        <w:rPr>
          <w:rFonts w:ascii="Times New Roman;sans-serif" w:hAnsi="Times New Roman;sans-serif"/>
          <w:b w:val="false"/>
          <w:color w:val="000000"/>
          <w:sz w:val="20"/>
          <w:shd w:fill="FFFFFF" w:val="clear"/>
        </w:rPr>
        <w:t>matures in 2027 (5-year term) and requires interest payments calculated at a variable market rate depending upon our Consolidated Net Leverage Ratio. The applicable rate during the six months ended April 30, 2023 was RFR Rate + 1.25%. Our cost of capital could increase depending upon the Consolidated Net Leverage Ratio at the end of any given quarter. In addition to the Con</w:t>
      </w:r>
      <w:r>
        <w:rPr>
          <w:rFonts w:ascii="Times New Roman;sans-serif" w:hAnsi="Times New Roman;sans-serif"/>
          <w:b w:val="false"/>
          <w:color w:val="000000"/>
          <w:sz w:val="20"/>
        </w:rPr>
        <w:t xml:space="preserve">solidated Net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w:t>
      </w:r>
      <w:r>
        <w:rPr>
          <w:rFonts w:ascii="Times New Roman;sans-serif" w:hAnsi="Times New Roman;sans-serif"/>
          <w:b w:val="false"/>
          <w:color w:val="000000"/>
          <w:sz w:val="20"/>
          <w:shd w:fill="FFFFFF" w:val="clear"/>
        </w:rPr>
        <w:t xml:space="preserve">dividends (limited to $25.0 million per year). We are amortizing deferred financing fees of $1.4 million straight-line over the remaining term of the facility. For further details of the Credit Facility, refer to Note 6, “Debt and Finance Lease Obligations” </w:t>
      </w:r>
      <w:r>
        <w:rPr>
          <w:rFonts w:ascii="Times New Roman;sans-serif" w:hAnsi="Times New Roman;sans-serif"/>
          <w:b w:val="false"/>
          <w:color w:val="000000"/>
          <w:sz w:val="20"/>
        </w:rPr>
        <w:t>to the accompanying unaudited condensed consolidated financial statements contained elsewhere herein.</w:t>
      </w:r>
    </w:p>
    <w:p>
      <w:pPr>
        <w:pStyle w:val="TextBody"/>
        <w:bidi w:val="0"/>
        <w:spacing w:lineRule="auto" w:line="288" w:before="16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April 30, 2023, we had $43.5 million of cash and equivalents, $80.0 million outstanding under the Credit Facility, $5.1 million of outstanding letters of credit and $55.6 million outstanding under finance leases and other debt. Of the $55.6 million outstanding under finance leases and other debt, $53.1 million relates to real estate leases. We had $239.9 million available for use under the Credit Facility at April 30, 2023. </w:t>
      </w:r>
    </w:p>
    <w:p>
      <w:pPr>
        <w:pStyle w:val="TextBody"/>
        <w:bidi w:val="0"/>
        <w:spacing w:lineRule="auto" w:line="288" w:before="160" w:after="283"/>
        <w:ind w:left="0" w:right="0" w:firstLine="450"/>
        <w:jc w:val="both"/>
        <w:rPr/>
      </w:pPr>
      <w:r>
        <w:rPr>
          <w:rFonts w:ascii="Times New Roman;sans-serif" w:hAnsi="Times New Roman;sans-serif"/>
          <w:b w:val="false"/>
          <w:color w:val="000000"/>
          <w:sz w:val="20"/>
          <w:shd w:fill="FFFFFF" w:val="clear"/>
        </w:rPr>
        <w:t>We repatriated $21.2 million and $4.1 million of f</w:t>
      </w:r>
      <w:r>
        <w:rPr>
          <w:rFonts w:ascii="Times New Roman;sans-serif" w:hAnsi="Times New Roman;sans-serif"/>
          <w:b w:val="false"/>
          <w:color w:val="000000"/>
          <w:sz w:val="20"/>
        </w:rPr>
        <w:t>oreign cash during the six months ended April 30, 2023 and 2022, respectively. We expect to repatriate excess cash moving forward and use the funds to retire debt or meet current working capital needs. In the U.K., we insure against a portion of our credit losses. We believe our business model, our current cash reserves and our strong balance sheet leave us well-positioned to manage our business and remain in compliance with our debt covenants.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Analysis of Cash Flow</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 results for the six months ended April 30, 2023 and 2022:</w:t>
      </w:r>
    </w:p>
    <w:tbl>
      <w:tblPr>
        <w:tblW w:w="6699" w:type="dxa"/>
        <w:jc w:val="center"/>
        <w:tblInd w:w="0" w:type="dxa"/>
        <w:tblLayout w:type="fixed"/>
        <w:tblCellMar>
          <w:top w:w="28" w:type="dxa"/>
          <w:left w:w="28" w:type="dxa"/>
          <w:bottom w:w="28" w:type="dxa"/>
          <w:right w:w="28" w:type="dxa"/>
        </w:tblCellMar>
      </w:tblPr>
      <w:tblGrid>
        <w:gridCol w:w="1443"/>
        <w:gridCol w:w="1269"/>
        <w:gridCol w:w="1278"/>
        <w:gridCol w:w="211"/>
        <w:gridCol w:w="901"/>
        <w:gridCol w:w="109"/>
        <w:gridCol w:w="109"/>
        <w:gridCol w:w="109"/>
        <w:gridCol w:w="109"/>
        <w:gridCol w:w="211"/>
        <w:gridCol w:w="79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for)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for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Operating A</w:t>
      </w:r>
      <w:r>
        <w:rPr>
          <w:rFonts w:ascii="Times New Roman;sans-serif" w:hAnsi="Times New Roman;sans-serif"/>
          <w:b w:val="false"/>
          <w:i/>
          <w:color w:val="000000"/>
          <w:sz w:val="20"/>
          <w:shd w:fill="FFFFFF" w:val="clear"/>
        </w:rPr>
        <w:t>ctivities</w:t>
      </w:r>
      <w:r>
        <w:rPr>
          <w:rFonts w:ascii="Times New Roman;sans-serif" w:hAnsi="Times New Roman;sans-serif"/>
          <w:b w:val="false"/>
          <w:color w:val="000000"/>
          <w:sz w:val="20"/>
          <w:shd w:fill="FFFFFF" w:val="clear"/>
        </w:rPr>
        <w:t xml:space="preserve">. Cash provided by operating activities increased $40.3 million for the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 xml:space="preserve">months ended April 30, 2023 compared to the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months ended April 30, 2022. The increase in operating cash flows is primarily due to favorable changes to working capital partially offset by lower net income year-over-year due to a decrease in customer demand. The favorable changes in working capital were largely driven by an increase in inventory value due to raw material price inflation and a decrease in accounts receivable partially offset by a decrease in accounts payable.</w:t>
      </w:r>
    </w:p>
    <w:p>
      <w:pPr>
        <w:pStyle w:val="TextBody"/>
        <w:bidi w:val="0"/>
        <w:spacing w:lineRule="auto" w:line="288" w:before="160" w:after="283"/>
        <w:ind w:left="0" w:right="0" w:firstLine="450"/>
        <w:jc w:val="both"/>
        <w:rPr/>
      </w:pPr>
      <w:r>
        <w:rPr>
          <w:rFonts w:ascii="Times New Roman;sans-serif" w:hAnsi="Times New Roman;sans-serif"/>
          <w:b w:val="false"/>
          <w:i/>
          <w:color w:val="000000"/>
          <w:sz w:val="20"/>
        </w:rPr>
        <w:t xml:space="preserve">Investing Activities. </w:t>
      </w:r>
      <w:r>
        <w:rPr>
          <w:rFonts w:ascii="Times New Roman;sans-serif" w:hAnsi="Times New Roman;sans-serif"/>
          <w:b w:val="false"/>
          <w:color w:val="000000"/>
          <w:sz w:val="20"/>
        </w:rPr>
        <w:t>Cash used f</w:t>
      </w:r>
      <w:r>
        <w:rPr>
          <w:rFonts w:ascii="Times New Roman;sans-serif" w:hAnsi="Times New Roman;sans-serif"/>
          <w:b w:val="false"/>
          <w:color w:val="000000"/>
          <w:sz w:val="20"/>
          <w:shd w:fill="FFFFFF" w:val="clear"/>
        </w:rPr>
        <w:t>or investing activities increased $92.5 million for the six months ended April 30, 2023 compared to the same period in 2022, primarily as a result of the Acquisition of LMI.</w:t>
      </w:r>
    </w:p>
    <w:p>
      <w:pPr>
        <w:pStyle w:val="TextBody"/>
        <w:bidi w:val="0"/>
        <w:spacing w:lineRule="auto" w:line="288" w:before="160" w:after="283"/>
        <w:ind w:left="0" w:right="0" w:firstLine="450"/>
        <w:jc w:val="both"/>
        <w:rPr/>
      </w:pPr>
      <w:r>
        <w:rPr>
          <w:rFonts w:ascii="Times New Roman;sans-serif" w:hAnsi="Times New Roman;sans-serif"/>
          <w:b w:val="false"/>
          <w:i/>
          <w:color w:val="000000"/>
          <w:sz w:val="20"/>
          <w:shd w:fill="FFFFFF" w:val="clear"/>
        </w:rPr>
        <w:t xml:space="preserve">Financing Activities. </w:t>
      </w:r>
      <w:r>
        <w:rPr>
          <w:rFonts w:ascii="Times New Roman;sans-serif" w:hAnsi="Times New Roman;sans-serif"/>
          <w:b w:val="false"/>
          <w:color w:val="000000"/>
          <w:sz w:val="20"/>
          <w:shd w:fill="FFFFFF" w:val="clear"/>
        </w:rPr>
        <w:t>Cash provided by financing activities was $54.3 million for the six months ended April 30, 2023, which included $65.7 million of net borrowings of long-term debt, $5.6 million related to the purchase of treasury stock $5.3 million of dividends paid to our shareholders, and $0.6 million of payroll tax paid to settle shares forfeited upon vesting of stock.</w:t>
      </w:r>
    </w:p>
    <w:p>
      <w:pPr>
        <w:pStyle w:val="TextBody"/>
        <w:bidi w:val="0"/>
        <w:spacing w:lineRule="auto" w:line="288" w:before="16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Liquidity Requirements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Historically, our strategy for deploying cash has been to invest in organic growth opportunities, develop our infrastructure, and ex</w:t>
      </w:r>
      <w:r>
        <w:rPr>
          <w:rFonts w:ascii="Times New Roman;sans-serif" w:hAnsi="Times New Roman;sans-serif"/>
          <w:b w:val="false"/>
          <w:color w:val="000000"/>
          <w:sz w:val="20"/>
          <w:shd w:fill="FFFFFF" w:val="clear"/>
        </w:rPr>
        <w:t xml:space="preserve">plore strategic acquisitions. Other uses of cash include paying cash dividends to our shareholders and repurchasing our common stock. During the six months ended April 30, 2023 and 2022, we repatriated $21.2 million and $4.1 million, respectively, of foreign earnings from our foreign locations. We maintain cash balances in foreign countries which total $13.1 million as of April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critical accounting policies and estimates, see our Annual Report on Form 10-K for the fiscal year ended October 31, 2022. Our critical accounting policies and estimates have not changed materially during the six months ended April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new accounting pronouncements are issued by the Financial Accounting Standards Board (FASB) or other standards setting bodies that we adopt as of the specified effective date. We did not adopt any new accounting pronouncements during the three and six months ended April 30, 2023. As of April 30, 2023, we believe the impact of any recently issued standards that are not yet effective are either not applicable to us at this time or will not have a material impact on our condensed consolidated financial statements upon adoption. </w:t>
      </w:r>
    </w:p>
    <w:p>
      <w:pPr>
        <w:pStyle w:val="TextBody"/>
        <w:bidi w:val="0"/>
        <w:spacing w:before="0" w:after="0"/>
        <w:ind w:left="0" w:right="0" w:firstLine="495"/>
        <w:jc w:val="left"/>
        <w:rPr/>
      </w:pPr>
      <w:r>
        <w:rPr/>
      </w:r>
    </w:p>
    <w:p>
      <w:pPr>
        <w:pStyle w:val="TextBody"/>
        <w:bidi w:val="0"/>
        <w:spacing w:before="180" w:after="283"/>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Item 3. Quantitative and Qualitative Disclosures About Market Risk</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w:t>
      </w:r>
      <w:r>
        <w:rPr>
          <w:rFonts w:ascii="Times New Roman;sans-serif" w:hAnsi="Times New Roman;sans-serif"/>
          <w:b w:val="false"/>
          <w:color w:val="000000"/>
          <w:sz w:val="20"/>
          <w:shd w:fill="FFFFFF" w:val="clear"/>
        </w:rPr>
        <w:t>r outstanding debt bears interest at variable rates and accordingly is sensitive to changes in interest rates. Based upon the balances of the variable rate debt at April 30, 2023, a hypothetical 1.0% increase or decrease in interest rates could result in approximately $0.8 million of additional pretax charges or credit to our net income per year. This sensitivity is impacted by the amount of borrowin</w:t>
      </w:r>
      <w:r>
        <w:rPr>
          <w:rFonts w:ascii="Times New Roman;sans-serif" w:hAnsi="Times New Roman;sans-serif"/>
          <w:b w:val="false"/>
          <w:color w:val="000000"/>
          <w:sz w:val="20"/>
        </w:rPr>
        <w:t xml:space="preserve">gs under our credit facilities, and amounts outstanding under finance leases. </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Foreign Currency Rate Risk</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corresponding foreign currency derivatives as of April 30, 2023 or October 31, 2022.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To the extent the gain or loss on the derivative instrument offsets the gain or loss from the re-measurement of the underlying foreign currency balance, changes in exchange rates should have no effect.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is included within our Annual Report on Form 10-K for the fiscal year ended October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Item 4. Controls and Procedures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April 30, 2023. Based on that evaluation, the Chief Executive Officer and Chief Financial Officer concluded that, as of April 30, 2023, the disclosure controls and procedures are effective.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 except with regard to the internal controls of LMI which were acquired by us on November 1, 2022. Prior to the acquisition, LMI was a privately-held company incorporated in the United States, reporting financial results pursuant to accounting principles generally accepted in the United States. Therefore, LMI was not previously required to comply with the Sarbanes-Oxley Act of 2002. Management is currently evaluating internal control procedures and implementing changes in internal control over financial reporting with regard to LMI in order to fully comply with the requirements of the Sarbanes-Oxley Act of 2002 as of October 31, 2023.</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Item 1A. Risk Factors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Company Risks</w:t>
      </w:r>
    </w:p>
    <w:p>
      <w:pPr>
        <w:pStyle w:val="TextBody"/>
        <w:bidi w:val="0"/>
        <w:spacing w:before="0" w:after="0"/>
        <w:jc w:val="left"/>
        <w:rPr/>
      </w:pPr>
      <w:r>
        <w:rPr/>
      </w:r>
    </w:p>
    <w:p>
      <w:pPr>
        <w:pStyle w:val="TextBody"/>
        <w:bidi w:val="0"/>
        <w:spacing w:lineRule="auto" w:line="259" w:before="0" w:after="0"/>
        <w:jc w:val="left"/>
        <w:rPr>
          <w:rFonts w:ascii="Times New Roman;sans-serif" w:hAnsi="Times New Roman;sans-serif"/>
          <w:b/>
          <w:i/>
          <w:color w:val="000000"/>
          <w:sz w:val="20"/>
        </w:rPr>
      </w:pPr>
      <w:r>
        <w:rPr>
          <w:rFonts w:ascii="Times New Roman;sans-serif" w:hAnsi="Times New Roman;sans-serif"/>
          <w:b/>
          <w:i/>
          <w:color w:val="000000"/>
          <w:sz w:val="20"/>
        </w:rPr>
        <w:t>Bank failures or other events affecting financial institutions could adversely affect our liquidity and financial performance.</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recent and potential future disruptions in access to bank deposits or lending commitments due to bank failures and banking industry instability could materially and adversely affect the Company’s liquidity, access to cash and credit, and the Company’s business, financial condition and results of operations, as well those of the Company’s third-party suppliers or vendors. The recent closures of Silicon Valley Bank (SVB) and Signature Bank and their placement into receivership with the Federal Deposit Insurance Company (FDIC) along with the FDIC’s seizure and sale of First Republic Bank created market disruption and uncertainty with respect to the financial condition of a number of other banking institutions in the United States. While the Company does not have any direct exposure to SVB, Signature Bank, or First Republic Bank, the Company does maintain its cash at financial institutions, sometimes in balances that exceed the current FDIC insurance limits.</w:t>
      </w:r>
    </w:p>
    <w:p>
      <w:pPr>
        <w:pStyle w:val="TextBody"/>
        <w:bidi w:val="0"/>
        <w:spacing w:before="0" w:after="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other banks and financial institutions enter receivership or become insolvent in the future due to financial conditions affecting the banking system and financial markets, the Company’s ability to access its cash and cash equivalents, including transferring funds, making payments or receiving funds, and the Company’s access to credit, as well as those of its third-party suppliers or vendors, may be threatened and could have a material adverse effect on the Company’s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Item 2. Unregistered Sales of Equity Securities and Use of Proceeds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6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2023, we repurchased common stock as follows:</w:t>
      </w:r>
    </w:p>
    <w:tbl>
      <w:tblPr>
        <w:tblW w:w="10205" w:type="dxa"/>
        <w:jc w:val="left"/>
        <w:tblInd w:w="0" w:type="dxa"/>
        <w:tblLayout w:type="fixed"/>
        <w:tblCellMar>
          <w:top w:w="28" w:type="dxa"/>
          <w:left w:w="28" w:type="dxa"/>
          <w:bottom w:w="28" w:type="dxa"/>
          <w:right w:w="28" w:type="dxa"/>
        </w:tblCellMar>
      </w:tblPr>
      <w:tblGrid>
        <w:gridCol w:w="338"/>
        <w:gridCol w:w="297"/>
        <w:gridCol w:w="302"/>
        <w:gridCol w:w="109"/>
        <w:gridCol w:w="109"/>
        <w:gridCol w:w="109"/>
        <w:gridCol w:w="629"/>
        <w:gridCol w:w="427"/>
        <w:gridCol w:w="429"/>
        <w:gridCol w:w="109"/>
        <w:gridCol w:w="109"/>
        <w:gridCol w:w="109"/>
        <w:gridCol w:w="286"/>
        <w:gridCol w:w="835"/>
        <w:gridCol w:w="147"/>
        <w:gridCol w:w="109"/>
        <w:gridCol w:w="109"/>
        <w:gridCol w:w="109"/>
        <w:gridCol w:w="890"/>
        <w:gridCol w:w="719"/>
        <w:gridCol w:w="722"/>
        <w:gridCol w:w="109"/>
        <w:gridCol w:w="109"/>
        <w:gridCol w:w="109"/>
        <w:gridCol w:w="418"/>
        <w:gridCol w:w="2145"/>
        <w:gridCol w:w="313"/>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 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 Total Number of Shares Purchased as Part of a Publicly Announced Plans or Programs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(d) Maximum US Dollars Remaining that May Yet Be Used to Purchase Shares Under the Plans or Programs </w:t>
            </w:r>
            <w:r>
              <w:rPr>
                <w:rFonts w:ascii="Times New Roman;sans-serif" w:hAnsi="Times New Roman;sans-serif"/>
                <w:b/>
                <w:color w:val="000000"/>
                <w:sz w:val="10"/>
              </w:rPr>
              <w:t xml:space="preserve">(1) </w:t>
            </w:r>
          </w:p>
        </w:tc>
      </w:tr>
      <w:tr>
        <w:trPr/>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68,399,526 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62,806,991 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62,806,991 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 December 2021, our Board of Directors approved a stock repurchase program that authorized the repurchase of up to $75.0 million worth of shares of our common stock. Repurchases under the new program are made in open market transactions or</w:t>
      </w:r>
      <w:r>
        <w:rPr>
          <w:color w:val="000000"/>
          <w:shd w:fill="FFFFFF" w:val="clear"/>
        </w:rPr>
        <w:t xml:space="preserve"> </w:t>
      </w:r>
      <w:r>
        <w:rPr>
          <w:rFonts w:ascii="Times New Roman;sans-serif" w:hAnsi="Times New Roman;sans-serif"/>
          <w:b w:val="false"/>
          <w:color w:val="000000"/>
          <w:sz w:val="20"/>
          <w:shd w:fill="FFFFFF" w:val="clear"/>
        </w:rPr>
        <w:t xml:space="preserve">privately negotiated transactions, subject to market conditions, applicable legal requirements and other relevant factors. The program does not have an expiration date or a limit on the number of shares that may be purchased.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Item 5. Other Information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June 1, 2023, the Company elected to terminate the Quanex Building Products Corporation Restoration Plan, filed as Exhibit 10.8 of Amendment No. 4 to the Company’s Registration Statement on Form 10 (Reg. No. 001-33913), as filed with the Securities and Exchange Commission on March 17, 2008, as amended (the “Restoration Plan”). In connection with the termination, the Company entered into the Amendment to the Restoration Plan (the “RP Amendment”). The RP Amendment provides that covered participants of the Restoration Plan shall receive a single lump-sum distribution of any accrued benefits under the Restoration Plan on or around June 03, 2024, provided, that, covered participants in the Restoration Plan who incur a separation from service on or before December 1, 2023 shall receive their lump distribution from the Restoration Plan on the six-month anniversary of their separation from service with the Company and its subsidiaries. </w:t>
      </w:r>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June 1, 2023, the Company elected to terminate the Quanex Building Products Corporation Supplemental Employees Retirement Plan, filed as Exhibit 10.9 of Amendment No. 4 to the Company’s Registration Statement on Form 10 (Reg. No. 001-33913), as filed with the Securities and Exchange Commission on March 17, 2008, as amended (the “SERP”). In connection with the termination, the Company entered into the Amendment to the SERP (the “SERP Amendment”). The SERP Amendment provides that covered participants of the SERP shall receive a single lump-sum distribution of any accrued benefits under the SERP on or around June 03,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description of the RP Amendment and the SERP Amendment contained in this Form 10-Q is not intended to be complete, and is qualified in its entirety by reference to the complete text of the RP Amendment and the SERP Amendment, a copy of which is attached as Exhibit 10.1 and Exhibit 10.2 and, respectively,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Item 6. Exhibits</w:t>
      </w:r>
    </w:p>
    <w:p>
      <w:pPr>
        <w:pStyle w:val="TextBody"/>
        <w:bidi w:val="0"/>
        <w:spacing w:lineRule="auto" w:line="288" w:before="16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required to be furnished pursuant to Item 6 are listed in the Exhibit Index filed herewith, which Exhibit Index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95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444"/>
        <w:gridCol w:w="1444"/>
        <w:gridCol w:w="20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QUANEX BUILDING PRODUCTS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Scott M. Zuehlke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Scott M. Zuehlke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 Chief Financial Officer &amp; Treasurer </w:t>
              <w:br/>
              <w:t>(Principal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4c32cea32e148578c3ef2cc4f0e83f8_7">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5"/>
        <w:gridCol w:w="286"/>
        <w:gridCol w:w="288"/>
        <w:gridCol w:w="109"/>
        <w:gridCol w:w="109"/>
        <w:gridCol w:w="109"/>
        <w:gridCol w:w="3465"/>
        <w:gridCol w:w="2565"/>
        <w:gridCol w:w="2573"/>
        <w:gridCol w:w="109"/>
        <w:gridCol w:w="109"/>
        <w:gridCol w:w="158"/>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5"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Restated Certificate of Incorporation of the Registrant dated as of March 4, 2016, filed as Exhibit 3.1 of the Registrant’s Current Report on Form 8-K (Reg. No. 001-33913) as filed with the Securities and Exchange Commission on March 7, 2016, and incorporated herein by reference.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Fourth Amended and Restated Bylaws of the Registrant dated as of February 27, 2020, filed as Exhibit 3.2 of the Registrant's Quarterly Report on Form 10-Q (Reg. No. 001-33913) for the quarter ended January 31, 2020, and incorporated herein by reference.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Form of Registrant’s Common Stock certificate, filed as Exhibit 4.1 of Amendment No. 1 to the Registrant’s Registration Statement on Form 10-Q (Reg. No. 001-33913) as filed with the Securities and Exchange Commission on February 14, 2008, and incorporated herein by reference.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100" w:after="283"/>
              <w:jc w:val="both"/>
              <w:rPr/>
            </w:pPr>
            <w:hyperlink r:id="rId9">
              <w:r>
                <w:rPr>
                  <w:rStyle w:val="InternetLink"/>
                  <w:rFonts w:ascii="Times New Roman;sans-serif" w:hAnsi="Times New Roman;sans-serif"/>
                  <w:b w:val="false"/>
                  <w:color w:val="0000FF"/>
                  <w:sz w:val="20"/>
                  <w:u w:val="single"/>
                </w:rPr>
                <w:t>Second Amended and Restated Credit Agreement dated as of July 6, 2022, by and among the Company; the lenders party thereto; and Wells Fargo Bank, National Association, as Agent; filed as Exhibit 10.1 of the Registrant's Current Report on Form 8-K (Reg. No. 001-33913) as filed with the Securities and Exchange Commission on July 6, 2022, and incorporated herein by reference.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0"/>
                  <w:u w:val="single"/>
                </w:rPr>
                <w:t>Asset Purchase Agreement, dated November 1, 2022, among Quanex IG Systems, Inc., LMI Custom Mixing, LLC, Lauren International, Ltd. and Meteor-US-Beteiligungs GMBH, as filed as Exhibit 2.1 of the Registrant's Current Report on Form 8-K (Reg. No. 001-33913) as filed with the Securities and Exchange Commission on November 1, 2022, and incorporated herein by reference.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20"/>
                  <w:u w:val="single"/>
                </w:rPr>
                <w:t>First Amendment to the Amended and Completely Restated Lease Agreement by and among Quanex IG Systems, Inc. and Lauren Real Estate Holding LLC, dated November 1, 2022 as filed as Exhibit 10.1 of the Registrant's Current Report on Form 8-K (Reg. No. 001-33913) as filed with the Securities and Exchange Commission on November 1, 2022, and incorporated herein by reference.</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nx04302023ex101.htm">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x04302023ex101.htm">
              <w:r>
                <w:rPr>
                  <w:rStyle w:val="InternetLink"/>
                  <w:rFonts w:ascii="Times New Roman;sans-serif" w:hAnsi="Times New Roman;sans-serif"/>
                  <w:b w:val="false"/>
                  <w:color w:val="0000FF"/>
                  <w:sz w:val="20"/>
                  <w:u w:val="single"/>
                </w:rPr>
                <w:t>Amendment to Quanex Building Products Corporation Restoration Plan, dated June 1, 2023.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nx04302023ex102.htm">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x04302023ex102.htm">
              <w:r>
                <w:rPr>
                  <w:rStyle w:val="InternetLink"/>
                  <w:rFonts w:ascii="Times New Roman;sans-serif" w:hAnsi="Times New Roman;sans-serif"/>
                  <w:b w:val="false"/>
                  <w:color w:val="0000FF"/>
                  <w:sz w:val="20"/>
                  <w:u w:val="single"/>
                </w:rPr>
                <w:t>Amendment to Quanex Building Products Corporation Supplemental Employees Retirement Plan, dated June 1, 2023.</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nx04302023ex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x04302023ex311.htm">
              <w:r>
                <w:rPr>
                  <w:rStyle w:val="InternetLink"/>
                  <w:rFonts w:ascii="Times New Roman;sans-serif" w:hAnsi="Times New Roman;sans-serif"/>
                  <w:b w:val="false"/>
                  <w:color w:val="0000FF"/>
                  <w:sz w:val="20"/>
                  <w:u w:val="single"/>
                </w:rPr>
                <w:t>Certification by chief executive officer pursuant to Rule 13a-14(a)/15d-14(a).</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nx04302023ex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x04302023ex312.htm">
              <w:r>
                <w:rPr>
                  <w:rStyle w:val="InternetLink"/>
                  <w:rFonts w:ascii="Times New Roman;sans-serif" w:hAnsi="Times New Roman;sans-serif"/>
                  <w:b w:val="false"/>
                  <w:color w:val="0000FF"/>
                  <w:sz w:val="20"/>
                  <w:u w:val="single"/>
                </w:rPr>
                <w:t>Certification by chief financial officer pursuant to Rule 13a-14(a)/15d-14(a).</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nx04302023ex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nx04302023ex321.htm">
              <w:r>
                <w:rPr>
                  <w:rStyle w:val="InternetLink"/>
                  <w:rFonts w:ascii="Times New Roman;sans-serif" w:hAnsi="Times New Roman;sans-serif"/>
                  <w:b w:val="false"/>
                  <w:color w:val="0000FF"/>
                  <w:sz w:val="20"/>
                  <w:u w:val="single"/>
                </w:rPr>
                <w:t>Certification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AMENDMENT TO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QUANEX BUILDING PRODUCTS CORPORATION</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RESTORATION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THIS AMENDMENT</w:t>
      </w:r>
      <w:r>
        <w:rPr>
          <w:color w:val="000000"/>
        </w:rPr>
        <w:t xml:space="preserve"> </w:t>
      </w:r>
      <w:r>
        <w:rPr>
          <w:rFonts w:ascii="Times New Roman;sans-serif" w:hAnsi="Times New Roman;sans-serif"/>
          <w:b w:val="false"/>
          <w:color w:val="000000"/>
          <w:sz w:val="24"/>
        </w:rPr>
        <w:t>to the Quanex Building Products Corporation Restoration Plan (the “Plan”) is made and entered into this 31st day of May, 2023, by Quanex Building Products Corporation (hereinafter referred to as the “Company”) to be effective on June 1, 2023.</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WITNESSETH:</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Quanex Corporation (“Quanex”) previously established the Quanex Corporation Supplemental Salaried Employees’ Pension Plan (the “Prior Plan”) to provide a retirement pay supplement for a select group of management or highly compensated employees so as to retain their loyalty and to offer a further incentive to them to maintain and increase their standard of performance;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in connection with the transactions contemplated by the Distribution Agreement dated as of December 19, 2007 among Quanex Corporation, Quanex Building Products Corporation LLC, and Quanex Building Products Corporation (the “Distribution Agreement”), Quanex, Quanex Building Products Corporation LLC (the “LLC”) and the Company determined to spin-off from the Prior Plan a mirror image pension plan for the exclusive benefit of employees previously employed by Quanex in connection with its Building Products businesses and the employees of the corporate office of Quanex who are employed by the LLC or the Company at or after the “Distribution” (as defined in the Distribution Agreement);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subsequent to the Distribution, the Company assumed the sponsorship of the spun-off portion of the Prior Plan;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effective as of, and contingent upon, the closing of the Distribution, the LLC and the Company agreed that the spun-off portion of the Prior Plan shall be amended and restated as the “Quanex Building Products Corporation Restoration Plan” (the “Plan”) as set forth therein;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Company may amend the Plan pursuant to Section 7.01 of the Plan;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reserved the right pursuant to Section 7.02 of the Plan to terminate the Plan at any time and Treas. Reg. §1.409A-3(j)(4)(ix)(C) permits the Company to terminate the Plan under certain circumstances; and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now desires to adopt this Amendment to the Plan in order to terminate the Plan effective June 1, 2023 and in connection therewith, provide for the single lump sum distributions on June 3, 2024 of the accrued benefits under the Plan determined as of June 1, 2024;</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68" w:before="0" w:after="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premises and the covenants herein contained, the Company hereby adopts the following Amendment to the Plan: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Section 1.18 of the Plan is hereby amended by inserting a semi-colon after “October 31” thereof and by adding a new phrase to the end thereof to read as follows:</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provided that the final Plan Year shall be the period from November 1, 2023 through June 3, 2024.</w:t>
      </w:r>
    </w:p>
    <w:p>
      <w:pPr>
        <w:pStyle w:val="TextBody"/>
        <w:bidi w:val="0"/>
        <w:spacing w:before="0" w:after="0"/>
        <w:ind w:left="0" w:right="0" w:firstLine="1440"/>
        <w:jc w:val="both"/>
        <w:rPr/>
      </w:pPr>
      <w:r>
        <w:rPr/>
      </w:r>
    </w:p>
    <w:p>
      <w:pPr>
        <w:pStyle w:val="TextBody"/>
        <w:bidi w:val="0"/>
        <w:spacing w:lineRule="auto" w:line="268" w:before="0" w:after="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Section 3.08 is hereby added to the Plan to read as follows:</w:t>
      </w:r>
    </w:p>
    <w:p>
      <w:pPr>
        <w:pStyle w:val="TextBody"/>
        <w:bidi w:val="0"/>
        <w:spacing w:before="0" w:after="0"/>
        <w:ind w:left="0" w:right="0" w:hanging="360"/>
        <w:jc w:val="both"/>
        <w:rPr/>
      </w:pPr>
      <w:r>
        <w:rPr/>
      </w:r>
    </w:p>
    <w:p>
      <w:pPr>
        <w:pStyle w:val="TextBody"/>
        <w:bidi w:val="0"/>
        <w:spacing w:lineRule="auto" w:line="268" w:before="0" w:after="0"/>
        <w:ind w:left="0" w:right="0" w:hanging="720"/>
        <w:jc w:val="both"/>
        <w:rPr/>
      </w:pPr>
      <w:r>
        <w:rPr>
          <w:rFonts w:ascii="Times New Roman;sans-serif" w:hAnsi="Times New Roman;sans-serif"/>
          <w:b w:val="false"/>
          <w:color w:val="000000"/>
          <w:sz w:val="24"/>
        </w:rPr>
        <w:t>3.08    </w:t>
      </w:r>
      <w:r>
        <w:rPr>
          <w:rFonts w:ascii="Times New Roman;sans-serif" w:hAnsi="Times New Roman;sans-serif"/>
          <w:b/>
          <w:color w:val="000000"/>
          <w:sz w:val="24"/>
        </w:rPr>
        <w:t xml:space="preserve">Determination of Benefit and Time of Distribution of Benefit Following </w:t>
      </w:r>
      <w:r>
        <w:rPr>
          <w:rFonts w:ascii="Times New Roman;sans-serif" w:hAnsi="Times New Roman;sans-serif"/>
          <w:b w:val="false"/>
          <w:color w:val="000000"/>
          <w:sz w:val="24"/>
        </w:rPr>
        <w:t>Termination</w:t>
      </w:r>
      <w:r>
        <w:rPr>
          <w:color w:val="000000"/>
        </w:rPr>
        <w:t xml:space="preserve"> </w:t>
      </w:r>
      <w:r>
        <w:rPr>
          <w:rFonts w:ascii="Times New Roman;sans-serif" w:hAnsi="Times New Roman;sans-serif"/>
          <w:b/>
          <w:color w:val="000000"/>
          <w:sz w:val="24"/>
        </w:rPr>
        <w:t>of the Plan</w:t>
      </w:r>
      <w:r>
        <w:rPr>
          <w:rFonts w:ascii="Times New Roman;sans-serif" w:hAnsi="Times New Roman;sans-serif"/>
          <w:b w:val="false"/>
          <w:color w:val="000000"/>
          <w:sz w:val="24"/>
        </w:rPr>
        <w:t>. In connection with the termination by the Company of the Plan pursuant to Section 7.02 effective as of June 1, 2023, all accrued benefits under the Plan shall be determined as of June 1, 2024 subject to the following:</w:t>
      </w:r>
    </w:p>
    <w:p>
      <w:pPr>
        <w:pStyle w:val="TextBody"/>
        <w:bidi w:val="0"/>
        <w:spacing w:before="0" w:after="0"/>
        <w:ind w:left="0" w:right="0" w:firstLine="720"/>
        <w:jc w:val="both"/>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Due to the termination of the Qualified Plan, the cash balance crediting rate was changed for Cash Balance Participants to 2.26% effective November 1, 2022. The single lump sum distribution to be paid on June 3, 2024 under the Plan to the Cash Balance Participants will be equal to the cash balance amounts determined pursuant to Section 3.05 with interest through May 31, 2024.</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The actuarial equivalence assumptions for determining the single lump sum distributions to Participants other than Cash Balance Participants will be based on (i) the 2023 PPA Annuitant and Non-Annuitant mortality tables and (ii) the interest rates based on the 3-tier segment rates applicable for March 2023 (5.00% for the first segment, 5.20% for the second segment, and 5.15% for the third segment). If such a Participant would have been early retirement eligible, assuming a termination on May 31, 2024, then the immediate lump sum factor will apply and will be applied to the single life annuity that would have been calculated based on the Participant’s age and assumed retirement at May 31, 2024. If such a Participant would not have been early retirement eligible, assuming a termination on May 31, 2024, then the deferred to age 65 lump sum factor will apply, based on the Participant’s age as of June 1, 2024.</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the foregoing, for Separations from Service occurring on or before December 1, 2023, the Plan’s lump sum payment will be made six months after Separation of Service in accordance with Section 3.06. For Participants other than Cash Balance Participants, this only applies to Participants who are eligible for early retirement on or before June 1, 2024. For Cash Balance Participants benefits, this applies to all such Participants.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Section 7.02 of the Plan is hereby amended by adding the following paragraph to end thereof to read as follows: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10.1</w:t>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 permitted by Treas. Reg. §1.409A-3(j)(4)(ix)(C), the Company has determined to terminate the Plan effective June 1, 2023 subject to, and in connection therewith, (i) to also terminate the Quanex Building Products Corporation Supplemental Employees Retirement Plan (the “SERP”) and (ii) to distribute on June 3, 2024 the lump sum value of all accrued benefits under the Plan and the SERP as each determined as of June 1, 2024.</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this Amendment has been executed by the duly authorized officer of the Company as of the day and year first written above.</w:t>
      </w:r>
    </w:p>
    <w:p>
      <w:pPr>
        <w:pStyle w:val="TextBody"/>
        <w:bidi w:val="0"/>
        <w:spacing w:lineRule="auto" w:line="268" w:before="0" w:after="0"/>
        <w:ind w:left="0" w:right="0" w:firstLine="720"/>
        <w:jc w:val="right"/>
        <w:rPr>
          <w:rFonts w:ascii="Times New Roman;sans-serif" w:hAnsi="Times New Roman;sans-serif"/>
          <w:b w:val="false"/>
          <w:color w:val="000000"/>
          <w:sz w:val="24"/>
        </w:rPr>
      </w:pPr>
      <w:r>
        <w:rPr>
          <w:rFonts w:ascii="Times New Roman;sans-serif" w:hAnsi="Times New Roman;sans-serif"/>
          <w:b w:val="false"/>
          <w:color w:val="000000"/>
          <w:sz w:val="24"/>
        </w:rPr>
        <w:t>QUANEX BUILDING PRODUCTS CORPORATION</w:t>
      </w:r>
    </w:p>
    <w:p>
      <w:pPr>
        <w:pStyle w:val="TextBody"/>
        <w:bidi w:val="0"/>
        <w:spacing w:before="0" w:after="0"/>
        <w:jc w:val="left"/>
        <w:rPr/>
      </w:pPr>
      <w:r>
        <w:rPr/>
      </w:r>
    </w:p>
    <w:p>
      <w:pPr>
        <w:pStyle w:val="TextBody"/>
        <w:bidi w:val="0"/>
        <w:spacing w:before="0" w:after="0"/>
        <w:jc w:val="both"/>
        <w:rPr/>
      </w:pPr>
      <w:r>
        <w:rPr/>
      </w:r>
    </w:p>
    <w:tbl>
      <w:tblPr>
        <w:tblW w:w="54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92"/>
        <w:gridCol w:w="1392"/>
        <w:gridCol w:w="19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color w:val="000000"/>
                <w:sz w:val="24"/>
              </w:rPr>
              <w:t>By:</w:t>
            </w:r>
            <w:r>
              <w:rPr>
                <w:rFonts w:ascii="Times New Roman;sans-serif" w:hAnsi="Times New Roman;sans-serif"/>
                <w:b/>
                <w:color w:val="000000"/>
                <w:sz w:val="20"/>
                <w:u w:val="single"/>
              </w:rPr>
              <w:t>________________________________________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Paul Cornett, Senior Vice President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4"/>
              </w:rPr>
              <w:t>General Counsel &amp;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AMENDMENT TO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QUANEX BUILDING PRODUCTS CORPORATION</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SUPPLEMENTAL EMPLOYEES RETIREMENT PLAN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THIS AMENDMENT</w:t>
      </w:r>
      <w:r>
        <w:rPr>
          <w:color w:val="000000"/>
        </w:rPr>
        <w:t xml:space="preserve"> </w:t>
      </w:r>
      <w:r>
        <w:rPr>
          <w:rFonts w:ascii="Times New Roman;sans-serif" w:hAnsi="Times New Roman;sans-serif"/>
          <w:b w:val="false"/>
          <w:color w:val="000000"/>
          <w:sz w:val="24"/>
        </w:rPr>
        <w:t>to the Quanex Building Products Corporation Supplemental Employees Retirement Plan (the “Plan”) is made and entered into this 31st day of May, 2023, by Quanex Building Products Corporation (hereinafter referred to as the “Company”) to be effective on June 1, 2023.</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WITNESSETH:</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Quanex Corporation (“Quanex”) previously established the Quanex Corporation Supplemental Benefit Plan (the “Prior Plan”) to provide a retirement pay supplement for a select group of management or highly compensated employees so as to retain their loyalty and to offer a further incentive to them to maintain and increase their standard of performance;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Prior Plan was adopted effective February 28, 1980 and amended and restated October 22, 1981, November 1, 1988, June 1, 1999, January 1, 2004 and January 1, 2005;</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in connection with the transactions contemplated by the Distribution Agreement dated as of December 19, 2007 among Quanex Corporation, Quanex Building Products Corporation LLC, and Quanex Building Products Corporation (the “Distribution Agreement”), Quanex, Quanex Building Products Corporation LLC (the “LLC”) and the Company determined to spin-off from the Prior Plan a mirror image pension plan for the exclusive benefit of employees previously employed by Quanex in connection with its Building Products businesses and the employees of the corporate office of Quanex who are employed by the LLC or the Company at or after the “Distribution” (as defined in the Distribution Agreement);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in connection with the Distribution, the Company assumed the sponsorship of the spun-off portion of the Prior Plan;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effective as of, and contingent upon, the closing of the Distribution, the LLC and the Company agreed that the spun-off portion of the Prior Plan shall be amended and restated as the “Quanex Building Products Corporation Supplemental Employees Retirement Plan” (the “Plan”) as set forth therein;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Company may amend the Plan pursuant to Section 10.01 of the Plan;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reserved the right pursuant to Section 10.02 of the Plan to terminate the Plan at any time and Treas. Reg. §1.409A-3(j)(4)(ix)(C) permits the Company to terminate the Plan under certain circumstances; and</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p>
    <w:p>
      <w:pPr>
        <w:pStyle w:val="TextBody"/>
        <w:bidi w:val="0"/>
        <w:spacing w:lineRule="auto" w:line="268" w:before="0" w:after="0"/>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now desires to adopt this Amendment to the Plan in order to terminate the Plan effective June 1, 2023 and in connection therewith, provide for the single lump sum distributions on June 3, 2024 of the accrued benefits under the Plan determined as of June 1, 2024;</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premises and the covenants herein contained, the Company hereby adopts the following Amendment to the Plan: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Section 2.21 of the Plan is hereby amended by inserting a semi-colon after “October 31” thereof and by adding a new phrase to the end thereof to read as follows: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provided that the final Plan Year shall be the period from November 1, 2023 through June 3, 2024.</w:t>
      </w:r>
    </w:p>
    <w:p>
      <w:pPr>
        <w:pStyle w:val="TextBody"/>
        <w:bidi w:val="0"/>
        <w:spacing w:before="0" w:after="0"/>
        <w:ind w:left="0" w:right="0" w:firstLine="144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Section 4.11 is hereby added to the Plan to read as follows:</w:t>
      </w:r>
    </w:p>
    <w:p>
      <w:pPr>
        <w:pStyle w:val="TextBody"/>
        <w:bidi w:val="0"/>
        <w:spacing w:before="0" w:after="0"/>
        <w:jc w:val="both"/>
        <w:rPr/>
      </w:pPr>
      <w:r>
        <w:rPr/>
      </w:r>
    </w:p>
    <w:p>
      <w:pPr>
        <w:pStyle w:val="TextBody"/>
        <w:bidi w:val="0"/>
        <w:spacing w:lineRule="auto" w:line="268" w:before="0" w:after="0"/>
        <w:ind w:left="0" w:right="0" w:hanging="720"/>
        <w:jc w:val="both"/>
        <w:rPr/>
      </w:pPr>
      <w:r>
        <w:rPr>
          <w:rFonts w:ascii="Times New Roman;sans-serif" w:hAnsi="Times New Roman;sans-serif"/>
          <w:b w:val="false"/>
          <w:color w:val="000000"/>
          <w:sz w:val="24"/>
        </w:rPr>
        <w:t>4.11    </w:t>
      </w:r>
      <w:r>
        <w:rPr>
          <w:rFonts w:ascii="Times New Roman;sans-serif" w:hAnsi="Times New Roman;sans-serif"/>
          <w:b/>
          <w:color w:val="000000"/>
          <w:sz w:val="24"/>
        </w:rPr>
        <w:t>Determination of Benefit and Time of Distribution of Benefit Following Termination of the Plan</w:t>
      </w:r>
      <w:r>
        <w:rPr>
          <w:rFonts w:ascii="Times New Roman;sans-serif" w:hAnsi="Times New Roman;sans-serif"/>
          <w:b w:val="false"/>
          <w:color w:val="000000"/>
          <w:sz w:val="24"/>
        </w:rPr>
        <w:t>. In connection with the termination by the Company of the Plan pursuant to Section 10.02 effective as of June 1, 2023, the present value all accrued benefits under the Plan shall be determined as of June 1, 2024 subject to the following:</w:t>
      </w:r>
    </w:p>
    <w:p>
      <w:pPr>
        <w:pStyle w:val="TextBody"/>
        <w:bidi w:val="0"/>
        <w:spacing w:before="0" w:after="0"/>
        <w:ind w:left="0" w:right="0" w:firstLine="720"/>
        <w:jc w:val="both"/>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(a)    For purposes of the calculation as of June 1, 2024, the Participant’s Social Security Benefit will be based on an assumed age 65 payment using law year 2023 or, if earlier, the law year of the calendar year including the date the Participant’s Separation From Service occurs and assuming that the taxable wage base is earned through December 31, 2023 or through the end of the calendar year including the date of the Participant’s Separation From Service, if earlier.</w:t>
      </w:r>
    </w:p>
    <w:p>
      <w:pPr>
        <w:pStyle w:val="TextBody"/>
        <w:bidi w:val="0"/>
        <w:spacing w:before="0" w:after="0"/>
        <w:jc w:val="left"/>
        <w:rPr/>
      </w:pPr>
      <w:r>
        <w:rPr/>
      </w:r>
    </w:p>
    <w:p>
      <w:pPr>
        <w:pStyle w:val="TextBody"/>
        <w:bidi w:val="0"/>
        <w:spacing w:lineRule="auto" w:line="26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(b)    The actuarial equivalence assumptions for determining the single lump sum distributions to Participants will be based on (i) the 2023 PPA Annuitant and Non-Annuitant mortality tables and (ii) the interest rates based on the 3-tier segment rates applicable for March 2023 (5.00% for the first segment, 5.20% for the second segment, and 5.15% for the third segment). If such a Participant would have been early retirement eligible, assuming a termination on May 31, 2024, then the immediate lump sum factor will apply and will be applied to the single life annuity that would have been calculated based on the Participant’s age and assumed retirement at May 31, 2024. If such a Participant would not have been early retirement eligible, assuming a termination on May 31, 2024, but had completed five years of Service, then the lump sum factor will be applied to the single life annuity that would be calculated based on the Plan’s provisions, assuming benefit commencement on the Early Retirement Date, based on the Participant’s age as of June 1, 2024.</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Section 10.02 of the Plan is hereby amended by adding the following paragraph to end thereof to read as follows:</w:t>
      </w:r>
    </w:p>
    <w:p>
      <w:pPr>
        <w:pStyle w:val="TextBody"/>
        <w:bidi w:val="0"/>
        <w:spacing w:before="0" w:after="0"/>
        <w:jc w:val="both"/>
        <w:rPr/>
      </w:pPr>
      <w:r>
        <w:rPr/>
      </w:r>
    </w:p>
    <w:p>
      <w:pPr>
        <w:pStyle w:val="TextBody"/>
        <w:bidi w:val="0"/>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As permitted by Treas. Reg. §1.409A-3(j)(4)(ix)(C), the Company has determined to terminate the Plan effective June 1, 2023 subject to, and in connection therewith, (i) to also terminate the Quanex Building Products Corporation Restoration Plan (the “Restoration Plan”) and (ii) to distribute on June 3, 2024 the lump sum value of all accrued benefits under the Plan and the Restoration Plan as each determined as of June 1, 2024.</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this Amendment has been executed by the duly authorized officer of the Company as of the day and year first written above.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right"/>
        <w:rPr>
          <w:rFonts w:ascii="Times New Roman;sans-serif" w:hAnsi="Times New Roman;sans-serif"/>
          <w:b w:val="false"/>
          <w:color w:val="000000"/>
          <w:sz w:val="24"/>
        </w:rPr>
      </w:pPr>
      <w:r>
        <w:rPr>
          <w:rFonts w:ascii="Times New Roman;sans-serif" w:hAnsi="Times New Roman;sans-serif"/>
          <w:b w:val="false"/>
          <w:color w:val="000000"/>
          <w:sz w:val="24"/>
        </w:rPr>
        <w:t>QUANEX BUILDING PRODUCTS CORPORATION</w:t>
      </w:r>
    </w:p>
    <w:p>
      <w:pPr>
        <w:pStyle w:val="TextBody"/>
        <w:bidi w:val="0"/>
        <w:spacing w:before="0" w:after="0"/>
        <w:jc w:val="left"/>
        <w:rPr/>
      </w:pPr>
      <w:r>
        <w:rPr/>
      </w:r>
    </w:p>
    <w:p>
      <w:pPr>
        <w:pStyle w:val="TextBody"/>
        <w:bidi w:val="0"/>
        <w:spacing w:before="0" w:after="0"/>
        <w:jc w:val="left"/>
        <w:rPr/>
      </w:pPr>
      <w:r>
        <w:rPr/>
      </w:r>
    </w:p>
    <w:tbl>
      <w:tblPr>
        <w:tblW w:w="54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92"/>
        <w:gridCol w:w="1392"/>
        <w:gridCol w:w="19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val="false"/>
                <w:color w:val="000000"/>
                <w:sz w:val="24"/>
              </w:rPr>
              <w:t>By:</w:t>
            </w:r>
            <w:r>
              <w:rPr>
                <w:rFonts w:ascii="Times New Roman;sans-serif" w:hAnsi="Times New Roman;sans-serif"/>
                <w:b/>
                <w:color w:val="000000"/>
                <w:sz w:val="20"/>
                <w:u w:val="single"/>
              </w:rPr>
              <w:t>________________________________________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Paul Cornett, Senior Vice President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4"/>
              </w:rPr>
              <w:t>General Counsel &amp; Secretary</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CERTIFICATION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George L. Wilson, certify that: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Quanex Building Products Corporation (the “Registrant”);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June 2, 2023 </w:t>
      </w:r>
    </w:p>
    <w:p>
      <w:pPr>
        <w:pStyle w:val="TextBody"/>
        <w:bidi w:val="0"/>
        <w:spacing w:lineRule="auto" w:line="288" w:before="0" w:after="0"/>
        <w:jc w:val="left"/>
        <w:rPr>
          <w:color w:val="000000"/>
        </w:rPr>
      </w:pPr>
      <w:r>
        <w:rPr>
          <w:color w:val="000000"/>
        </w:rPr>
        <w:t> </w:t>
      </w:r>
    </w:p>
    <w:tbl>
      <w:tblPr>
        <w:tblW w:w="3553" w:type="dxa"/>
        <w:jc w:val="center"/>
        <w:tblInd w:w="0" w:type="dxa"/>
        <w:tblLayout w:type="fixed"/>
        <w:tblCellMar>
          <w:top w:w="28" w:type="dxa"/>
          <w:left w:w="28" w:type="dxa"/>
          <w:bottom w:w="28" w:type="dxa"/>
          <w:right w:w="28" w:type="dxa"/>
        </w:tblCellMar>
      </w:tblPr>
      <w:tblGrid>
        <w:gridCol w:w="1148"/>
        <w:gridCol w:w="1013"/>
        <w:gridCol w:w="1020"/>
        <w:gridCol w:w="109"/>
        <w:gridCol w:w="109"/>
        <w:gridCol w:w="154"/>
      </w:tblGrid>
      <w:tr>
        <w:trPr/>
        <w:tc>
          <w:tcPr>
            <w:tcW w:w="114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George L. Wilson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George L. Wilson</w:t>
              <w:br/>
              <w:t>President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CERTIFICATION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Scott M. Zuehlke, certify that: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Quanex Building Products Corporation (the “Registrant”);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June 2, 2023 </w:t>
      </w:r>
    </w:p>
    <w:p>
      <w:pPr>
        <w:pStyle w:val="TextBody"/>
        <w:bidi w:val="0"/>
        <w:spacing w:lineRule="auto" w:line="288" w:before="0" w:after="0"/>
        <w:jc w:val="left"/>
        <w:rPr>
          <w:color w:val="000000"/>
        </w:rPr>
      </w:pPr>
      <w:r>
        <w:rPr>
          <w:color w:val="000000"/>
        </w:rPr>
        <w:t> </w:t>
      </w:r>
    </w:p>
    <w:tbl>
      <w:tblPr>
        <w:tblW w:w="5381" w:type="dxa"/>
        <w:jc w:val="center"/>
        <w:tblInd w:w="0" w:type="dxa"/>
        <w:tblLayout w:type="fixed"/>
        <w:tblCellMar>
          <w:top w:w="28" w:type="dxa"/>
          <w:left w:w="28" w:type="dxa"/>
          <w:bottom w:w="28" w:type="dxa"/>
          <w:right w:w="28" w:type="dxa"/>
        </w:tblCellMar>
      </w:tblPr>
      <w:tblGrid>
        <w:gridCol w:w="1812"/>
        <w:gridCol w:w="1591"/>
        <w:gridCol w:w="1606"/>
        <w:gridCol w:w="109"/>
        <w:gridCol w:w="109"/>
        <w:gridCol w:w="154"/>
      </w:tblGrid>
      <w:tr>
        <w:trPr/>
        <w:tc>
          <w:tcPr>
            <w:tcW w:w="1812"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Scott M. Zuehlke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Scott M. Zuehlke</w:t>
              <w:br/>
              <w:t>Senior Vice President - Chief Financial Officer and Treasurer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906 of the Sarbanes-Oxley Act of 2002</w:t>
      </w:r>
    </w:p>
    <w:p>
      <w:pPr>
        <w:pStyle w:val="TextBody"/>
        <w:bidi w:val="0"/>
        <w:spacing w:lineRule="auto" w:line="288" w:before="16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hereby certify that the accompanying Quarterly Report on Form 10-Q of Quanex Building Products Corporation for the quarter ended April 30, 2023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pStyle w:val="TextBody"/>
        <w:bidi w:val="0"/>
        <w:spacing w:before="160" w:after="283"/>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June 2, 2023 </w:t>
      </w:r>
    </w:p>
    <w:p>
      <w:pPr>
        <w:pStyle w:val="TextBody"/>
        <w:bidi w:val="0"/>
        <w:spacing w:lineRule="auto" w:line="288" w:before="0" w:after="0"/>
        <w:jc w:val="left"/>
        <w:rPr>
          <w:color w:val="000000"/>
        </w:rPr>
      </w:pPr>
      <w:r>
        <w:rPr>
          <w:color w:val="000000"/>
        </w:rPr>
        <w:t> </w:t>
      </w:r>
    </w:p>
    <w:tbl>
      <w:tblPr>
        <w:tblW w:w="8771" w:type="dxa"/>
        <w:jc w:val="center"/>
        <w:tblInd w:w="0" w:type="dxa"/>
        <w:tblLayout w:type="fixed"/>
        <w:tblCellMar>
          <w:top w:w="28" w:type="dxa"/>
          <w:left w:w="28" w:type="dxa"/>
          <w:bottom w:w="28" w:type="dxa"/>
          <w:right w:w="28" w:type="dxa"/>
        </w:tblCellMar>
      </w:tblPr>
      <w:tblGrid>
        <w:gridCol w:w="1165"/>
        <w:gridCol w:w="1028"/>
        <w:gridCol w:w="1031"/>
        <w:gridCol w:w="109"/>
        <w:gridCol w:w="109"/>
        <w:gridCol w:w="109"/>
        <w:gridCol w:w="1529"/>
        <w:gridCol w:w="1529"/>
        <w:gridCol w:w="2162"/>
      </w:tblGrid>
      <w:tr>
        <w:trPr/>
        <w:tc>
          <w:tcPr>
            <w:tcW w:w="116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George L. Wilson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M. Zuehlke</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George L. Wilson</w:t>
            </w:r>
          </w:p>
          <w:p>
            <w:pPr>
              <w:pStyle w:val="TableContents"/>
              <w:bidi w:val="0"/>
              <w:spacing w:lineRule="auto" w:line="240" w:before="0" w:after="0"/>
              <w:jc w:val="center"/>
              <w:rPr/>
            </w:pPr>
            <w:r>
              <w:rPr>
                <w:rFonts w:ascii="Times New Roman;sans-serif" w:hAnsi="Times New Roman;sans-serif"/>
                <w:b w:val="false"/>
                <w:i/>
                <w:color w:val="000000"/>
                <w:sz w:val="20"/>
              </w:rPr>
              <w:t>President and</w:t>
            </w:r>
            <w:r>
              <w:rPr>
                <w:color w:val="000000"/>
              </w:rPr>
              <w:t xml:space="preserve"> </w:t>
            </w:r>
            <w:r>
              <w:rPr>
                <w:rFonts w:ascii="Times New Roman;sans-serif" w:hAnsi="Times New Roman;sans-serif"/>
                <w:b w:val="false"/>
                <w:i/>
                <w:color w:val="000000"/>
                <w:sz w:val="20"/>
              </w:rPr>
              <w:t>Chief Executive Officer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Scott M. Zuehlke</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President—Chief Financial Officer and Treasurer</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23221/000119312516495257/d156158dex31.htm" TargetMode="External"/><Relationship Id="rId3" Type="http://schemas.openxmlformats.org/officeDocument/2006/relationships/hyperlink" Target="http://www.sec.gov/Archives/edgar/data/1423221/000119312516495257/d156158dex31.htm" TargetMode="External"/><Relationship Id="rId4" Type="http://schemas.openxmlformats.org/officeDocument/2006/relationships/hyperlink" Target="http://www.sec.gov/Archives/edgar/data/1423221/000142322120000005/nx01312020ex32.htm" TargetMode="External"/><Relationship Id="rId5" Type="http://schemas.openxmlformats.org/officeDocument/2006/relationships/hyperlink" Target="http://www.sec.gov/Archives/edgar/data/1423221/000142322120000005/nx01312020ex32.htm" TargetMode="External"/><Relationship Id="rId6" Type="http://schemas.openxmlformats.org/officeDocument/2006/relationships/hyperlink" Target="http://www.sec.gov/Archives/edgar/data/1423221/000095012908000988/h52992a1exv4w1.htm" TargetMode="External"/><Relationship Id="rId7" Type="http://schemas.openxmlformats.org/officeDocument/2006/relationships/hyperlink" Target="http://www.sec.gov/Archives/edgar/data/1423221/000095012908000988/h52992a1exv4w1.htm" TargetMode="External"/><Relationship Id="rId8" Type="http://schemas.openxmlformats.org/officeDocument/2006/relationships/hyperlink" Target="http://www.sec.gov/Archives/edgar/data/1423221/000110465922077705/tm2220473d1_ex10-1.htm" TargetMode="External"/><Relationship Id="rId9" Type="http://schemas.openxmlformats.org/officeDocument/2006/relationships/hyperlink" Target="http://www.sec.gov/Archives/edgar/data/1423221/000110465922077705/tm2220473d1_ex10-1.htm" TargetMode="External"/><Relationship Id="rId10" Type="http://schemas.openxmlformats.org/officeDocument/2006/relationships/hyperlink" Target="http://www.sec.gov/Archives/edgar/data/1423221/000110465922113504/tm2228962d2_ex2-1.htm" TargetMode="External"/><Relationship Id="rId11" Type="http://schemas.openxmlformats.org/officeDocument/2006/relationships/hyperlink" Target="http://www.sec.gov/Archives/edgar/data/1423221/000110465922113504/tm2228962d2_ex2-1.htm" TargetMode="External"/><Relationship Id="rId12" Type="http://schemas.openxmlformats.org/officeDocument/2006/relationships/hyperlink" Target="https://www.sec.gov/Archives/edgar/data/1423221/000110465922113504/tm2228962d2_ex10-1.htm" TargetMode="External"/><Relationship Id="rId13" Type="http://schemas.openxmlformats.org/officeDocument/2006/relationships/hyperlink" Target="http://www.sec.gov/Archives/edgar/data/1423221/000110465922113504/tm2228962d2_ex10-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21474</Words>
  <Characters>119256</Characters>
  <CharactersWithSpaces>139243</CharactersWithSpaces>
  <Paragraphs>2919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