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125"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31, 2021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11"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QUANEX BUILDING PRODUCTS CORPORATION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130" w:lineRule="exact"/>
        <w:rPr>
          <w:sz w:val="24"/>
          <w:szCs w:val="24"/>
          <w:color w:val="auto"/>
        </w:rPr>
      </w:pPr>
    </w:p>
    <w:tbl>
      <w:tblPr>
        <w:tblLayout w:type="fixed"/>
        <w:tblInd w:w="1860" w:type="dxa"/>
        <w:tblCellMar>
          <w:top w:w="0" w:type="dxa"/>
          <w:left w:w="0" w:type="dxa"/>
          <w:bottom w:w="0" w:type="dxa"/>
          <w:right w:w="0" w:type="dxa"/>
        </w:tblCellMar>
      </w:tblPr>
      <w:tr>
        <w:trPr>
          <w:trHeight w:val="207"/>
        </w:trPr>
        <w:tc>
          <w:tcPr>
            <w:tcW w:w="3940" w:type="dxa"/>
            <w:vAlign w:val="bottom"/>
          </w:tcPr>
          <w:p>
            <w:pPr>
              <w:jc w:val="center"/>
              <w:ind w:right="2005"/>
              <w:spacing w:after="0"/>
              <w:rPr>
                <w:sz w:val="20"/>
                <w:szCs w:val="20"/>
                <w:color w:val="auto"/>
              </w:rPr>
            </w:pPr>
            <w:r>
              <w:rPr>
                <w:rFonts w:ascii="Arial" w:cs="Arial" w:eastAsia="Arial" w:hAnsi="Arial"/>
                <w:sz w:val="16"/>
                <w:szCs w:val="16"/>
                <w:b w:val="1"/>
                <w:bCs w:val="1"/>
                <w:color w:val="auto"/>
                <w:w w:val="93"/>
              </w:rPr>
              <w:t>Delaware</w:t>
            </w:r>
          </w:p>
        </w:tc>
        <w:tc>
          <w:tcPr>
            <w:tcW w:w="3200" w:type="dxa"/>
            <w:vAlign w:val="bottom"/>
          </w:tcPr>
          <w:p>
            <w:pPr>
              <w:jc w:val="center"/>
              <w:ind w:left="2025"/>
              <w:spacing w:after="0"/>
              <w:rPr>
                <w:sz w:val="20"/>
                <w:szCs w:val="20"/>
                <w:color w:val="auto"/>
              </w:rPr>
            </w:pPr>
            <w:r>
              <w:rPr>
                <w:rFonts w:ascii="Arial" w:cs="Arial" w:eastAsia="Arial" w:hAnsi="Arial"/>
                <w:sz w:val="16"/>
                <w:szCs w:val="16"/>
                <w:b w:val="1"/>
                <w:bCs w:val="1"/>
                <w:color w:val="auto"/>
                <w:w w:val="91"/>
              </w:rPr>
              <w:t>26-1561397</w:t>
            </w:r>
          </w:p>
        </w:tc>
      </w:tr>
      <w:tr>
        <w:trPr>
          <w:trHeight w:val="144"/>
        </w:trPr>
        <w:tc>
          <w:tcPr>
            <w:tcW w:w="3940" w:type="dxa"/>
            <w:vAlign w:val="bottom"/>
          </w:tcPr>
          <w:p>
            <w:pPr>
              <w:jc w:val="center"/>
              <w:ind w:right="2005"/>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3200" w:type="dxa"/>
            <w:vAlign w:val="bottom"/>
          </w:tcPr>
          <w:p>
            <w:pPr>
              <w:jc w:val="center"/>
              <w:ind w:left="2005"/>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2005"/>
              <w:spacing w:after="0"/>
              <w:rPr>
                <w:sz w:val="20"/>
                <w:szCs w:val="20"/>
                <w:color w:val="auto"/>
              </w:rPr>
            </w:pPr>
            <w:r>
              <w:rPr>
                <w:rFonts w:ascii="Arial" w:cs="Arial" w:eastAsia="Arial" w:hAnsi="Arial"/>
                <w:sz w:val="14"/>
                <w:szCs w:val="14"/>
                <w:b w:val="1"/>
                <w:bCs w:val="1"/>
                <w:color w:val="auto"/>
                <w:w w:val="93"/>
              </w:rPr>
              <w:t>incorporation or organization)</w:t>
            </w:r>
          </w:p>
        </w:tc>
        <w:tc>
          <w:tcPr>
            <w:tcW w:w="3200" w:type="dxa"/>
            <w:vAlign w:val="bottom"/>
          </w:tcPr>
          <w:p>
            <w:pPr>
              <w:jc w:val="center"/>
              <w:ind w:left="200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961-4600</w:t>
      </w:r>
    </w:p>
    <w:p>
      <w:pPr>
        <w:spacing w:after="0" w:line="8"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50"/>
        </w:trPr>
        <w:tc>
          <w:tcPr>
            <w:tcW w:w="388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Common Stock, par value $0.01 per share</w:t>
            </w:r>
          </w:p>
        </w:tc>
        <w:tc>
          <w:tcPr>
            <w:tcW w:w="860" w:type="dxa"/>
            <w:vAlign w:val="bottom"/>
          </w:tcPr>
          <w:p>
            <w:pPr>
              <w:spacing w:after="0"/>
              <w:rPr>
                <w:sz w:val="21"/>
                <w:szCs w:val="21"/>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8"/>
                <w:szCs w:val="18"/>
                <w:color w:val="auto"/>
              </w:rPr>
              <w:t>NX</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7" w:right="339" w:bottom="1440" w:gutter="0" w:footer="0" w:header="0"/>
        </w:sectPr>
      </w:pPr>
    </w:p>
    <w:p>
      <w:pPr>
        <w:spacing w:after="0" w:line="70"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65"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6"/>
          <w:szCs w:val="16"/>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49" w:lineRule="exact"/>
        <w:rPr>
          <w:sz w:val="24"/>
          <w:szCs w:val="24"/>
          <w:color w:val="auto"/>
        </w:rPr>
      </w:pPr>
    </w:p>
    <w:p>
      <w:pPr>
        <w:ind w:right="1260"/>
        <w:spacing w:after="0" w:line="25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as of August 31, 2021 was 33,521,788.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40" w:space="140"/>
            <w:col w:w="360"/>
          </w:cols>
          <w:pgMar w:left="320" w:top="7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880" w:type="dxa"/>
            <w:vAlign w:val="bottom"/>
            <w:gridSpan w:val="7"/>
          </w:tcPr>
          <w:p>
            <w:pPr>
              <w:ind w:left="2380"/>
              <w:spacing w:after="0"/>
              <w:rPr>
                <w:sz w:val="20"/>
                <w:szCs w:val="20"/>
                <w:color w:val="auto"/>
              </w:rPr>
            </w:pPr>
            <w:r>
              <w:rPr>
                <w:rFonts w:ascii="Arial" w:cs="Arial" w:eastAsia="Arial" w:hAnsi="Arial"/>
                <w:sz w:val="18"/>
                <w:szCs w:val="18"/>
                <w:b w:val="1"/>
                <w:bCs w:val="1"/>
                <w:color w:val="auto"/>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9880" w:type="dxa"/>
            <w:vAlign w:val="bottom"/>
            <w:gridSpan w:val="7"/>
          </w:tcPr>
          <w:p>
            <w:pPr>
              <w:ind w:left="4180"/>
              <w:spacing w:after="0"/>
              <w:rPr>
                <w:sz w:val="20"/>
                <w:szCs w:val="20"/>
                <w:color w:val="auto"/>
              </w:rPr>
            </w:pPr>
            <w:r>
              <w:rPr>
                <w:rFonts w:ascii="Arial" w:cs="Arial" w:eastAsia="Arial" w:hAnsi="Arial"/>
                <w:sz w:val="18"/>
                <w:szCs w:val="18"/>
                <w:b w:val="1"/>
                <w:bCs w:val="1"/>
                <w:color w:val="auto"/>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Arial" w:cs="Arial" w:eastAsia="Arial" w:hAnsi="Arial"/>
                <w:sz w:val="18"/>
                <w:szCs w:val="18"/>
                <w:color w:val="auto"/>
              </w:rPr>
              <w:t>PART I.</w:t>
            </w:r>
          </w:p>
        </w:tc>
        <w:tc>
          <w:tcPr>
            <w:tcW w:w="9880" w:type="dxa"/>
            <w:vAlign w:val="bottom"/>
            <w:gridSpan w:val="7"/>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Item 1:</w:t>
            </w:r>
          </w:p>
        </w:tc>
        <w:tc>
          <w:tcPr>
            <w:tcW w:w="98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vMerge w:val="continue"/>
          </w:tcPr>
          <w:p>
            <w:pPr>
              <w:spacing w:after="0"/>
              <w:rPr>
                <w:sz w:val="24"/>
                <w:szCs w:val="24"/>
                <w:color w:val="auto"/>
              </w:rPr>
            </w:pPr>
          </w:p>
        </w:tc>
        <w:tc>
          <w:tcPr>
            <w:tcW w:w="9880" w:type="dxa"/>
            <w:vAlign w:val="bottom"/>
            <w:gridSpan w:val="7"/>
            <w:vMerge w:val="continue"/>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700" w:type="dxa"/>
            <w:vAlign w:val="bottom"/>
            <w:gridSpan w:val="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 xml:space="preserve">Condensed Consolidated Balance Sheets – </w:t>
              </w:r>
            </w:hyperlink>
            <w:r>
              <w:rPr>
                <w:rFonts w:ascii="Arial" w:cs="Arial" w:eastAsia="Arial" w:hAnsi="Arial"/>
                <w:sz w:val="18"/>
                <w:szCs w:val="18"/>
                <w:color w:val="0000FF"/>
                <w:w w:val="88"/>
              </w:rPr>
              <w:t>July 31, 2021 and October 31, 2020</w:t>
            </w:r>
          </w:p>
        </w:tc>
        <w:tc>
          <w:tcPr>
            <w:tcW w:w="4180" w:type="dxa"/>
            <w:vAlign w:val="bottom"/>
            <w:gridSpan w:val="5"/>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540" w:type="dxa"/>
            <w:vAlign w:val="bottom"/>
            <w:gridSpan w:val="4"/>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Condensed Consolidated Statements of Income – Three </w:t>
              </w:r>
            </w:hyperlink>
            <w:r>
              <w:rPr>
                <w:rFonts w:ascii="Arial" w:cs="Arial" w:eastAsia="Arial" w:hAnsi="Arial"/>
                <w:sz w:val="18"/>
                <w:szCs w:val="18"/>
                <w:color w:val="0000FF"/>
                <w:w w:val="89"/>
              </w:rPr>
              <w:t>and Nine Months Ended July 31, 2021 and 2020</w:t>
            </w:r>
          </w:p>
        </w:tc>
        <w:tc>
          <w:tcPr>
            <w:tcW w:w="2340" w:type="dxa"/>
            <w:vAlign w:val="bottom"/>
            <w:gridSpan w:val="3"/>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680" w:type="dxa"/>
            <w:vAlign w:val="bottom"/>
            <w:gridSpan w:val="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Statements of Comprehensive Income - Three and Nine Months Ended July </w:t>
              </w:r>
            </w:hyperlink>
            <w:r>
              <w:rPr>
                <w:rFonts w:ascii="Arial" w:cs="Arial" w:eastAsia="Arial" w:hAnsi="Arial"/>
                <w:sz w:val="18"/>
                <w:szCs w:val="18"/>
                <w:color w:val="0000FF"/>
                <w:w w:val="89"/>
              </w:rPr>
              <w:t xml:space="preserve">31, </w:t>
            </w:r>
            <w:hyperlink w:anchor="page4">
              <w:r>
                <w:rPr>
                  <w:rFonts w:ascii="Arial" w:cs="Arial" w:eastAsia="Arial" w:hAnsi="Arial"/>
                  <w:sz w:val="18"/>
                  <w:szCs w:val="18"/>
                  <w:color w:val="0000FF"/>
                  <w:w w:val="89"/>
                </w:rPr>
                <w:t>2021 and 2020</w:t>
              </w:r>
            </w:hyperlink>
          </w:p>
        </w:tc>
        <w:tc>
          <w:tcPr>
            <w:tcW w:w="1200" w:type="dxa"/>
            <w:vAlign w:val="bottom"/>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080" w:type="dxa"/>
            <w:vAlign w:val="bottom"/>
            <w:gridSpan w:val="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 xml:space="preserve">Condensed Consolidated Statements of Cash Flows – </w:t>
              </w:r>
            </w:hyperlink>
            <w:r>
              <w:rPr>
                <w:rFonts w:ascii="Arial" w:cs="Arial" w:eastAsia="Arial" w:hAnsi="Arial"/>
                <w:sz w:val="18"/>
                <w:szCs w:val="18"/>
                <w:color w:val="0000FF"/>
                <w:w w:val="89"/>
              </w:rPr>
              <w:t>Nine Months Ended July 31, 2021 and 2020</w:t>
            </w:r>
          </w:p>
        </w:tc>
        <w:tc>
          <w:tcPr>
            <w:tcW w:w="160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 of Stockholders’ Equity – </w:t>
              </w:r>
            </w:hyperlink>
            <w:r>
              <w:rPr>
                <w:rFonts w:ascii="Arial" w:cs="Arial" w:eastAsia="Arial" w:hAnsi="Arial"/>
                <w:sz w:val="18"/>
                <w:szCs w:val="18"/>
                <w:color w:val="0000FF"/>
              </w:rPr>
              <w:t>Nine Months Ended July 31, 2021 and 2020</w:t>
            </w:r>
          </w:p>
        </w:tc>
        <w:tc>
          <w:tcPr>
            <w:tcW w:w="18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680" w:type="dxa"/>
            <w:vAlign w:val="bottom"/>
            <w:gridSpan w:val="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2200" w:type="dxa"/>
            <w:vAlign w:val="bottom"/>
            <w:gridSpan w:val="2"/>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2:</w:t>
            </w:r>
          </w:p>
        </w:tc>
        <w:tc>
          <w:tcPr>
            <w:tcW w:w="9880" w:type="dxa"/>
            <w:vAlign w:val="bottom"/>
            <w:gridSpan w:val="7"/>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 Results of Operations</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3:</w:t>
            </w:r>
          </w:p>
        </w:tc>
        <w:tc>
          <w:tcPr>
            <w:tcW w:w="9880" w:type="dxa"/>
            <w:vAlign w:val="bottom"/>
            <w:gridSpan w:val="7"/>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Quantitative and Qualitative Disclosures About Market Risk</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4:</w:t>
            </w:r>
          </w:p>
        </w:tc>
        <w:tc>
          <w:tcPr>
            <w:tcW w:w="9880" w:type="dxa"/>
            <w:vAlign w:val="bottom"/>
            <w:gridSpan w:val="7"/>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Controls and Procedures</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Arial" w:cs="Arial" w:eastAsia="Arial" w:hAnsi="Arial"/>
                <w:sz w:val="18"/>
                <w:szCs w:val="18"/>
                <w:color w:val="auto"/>
              </w:rPr>
              <w:t>PART II.</w:t>
            </w:r>
          </w:p>
        </w:tc>
        <w:tc>
          <w:tcPr>
            <w:tcW w:w="9880" w:type="dxa"/>
            <w:vAlign w:val="bottom"/>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OTHER INFORMATION</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2:</w:t>
            </w:r>
          </w:p>
        </w:tc>
        <w:tc>
          <w:tcPr>
            <w:tcW w:w="9880" w:type="dxa"/>
            <w:vAlign w:val="bottom"/>
            <w:gridSpan w:val="7"/>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Unregistered Sales of Equity Securities and Use of Proceeds</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6:</w:t>
            </w:r>
          </w:p>
        </w:tc>
        <w:tc>
          <w:tcPr>
            <w:tcW w:w="9880" w:type="dxa"/>
            <w:vAlign w:val="bottom"/>
            <w:gridSpan w:val="7"/>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Exhibits</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8"/>
        </w:trPr>
        <w:tc>
          <w:tcPr>
            <w:tcW w:w="116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7"/>
          <w:szCs w:val="17"/>
          <w:b w:val="1"/>
          <w:bCs w:val="1"/>
          <w:color w:val="auto"/>
        </w:rPr>
        <w:t>QUANEX BUILDING PRODUCTS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w:t>
            </w:r>
          </w:p>
        </w:tc>
        <w:tc>
          <w:tcPr>
            <w:tcW w:w="300" w:type="dxa"/>
            <w:vAlign w:val="bottom"/>
          </w:tcPr>
          <w:p>
            <w:pPr>
              <w:spacing w:after="0"/>
              <w:rPr>
                <w:sz w:val="14"/>
                <w:szCs w:val="14"/>
                <w:color w:val="auto"/>
              </w:rPr>
            </w:pPr>
          </w:p>
        </w:tc>
        <w:tc>
          <w:tcPr>
            <w:tcW w:w="1140" w:type="dxa"/>
            <w:vAlign w:val="bottom"/>
          </w:tcPr>
          <w:p>
            <w:pPr>
              <w:jc w:val="right"/>
              <w:ind w:right="271"/>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88"/>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8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4"/>
          </w:tcPr>
          <w:p>
            <w:pPr>
              <w:jc w:val="right"/>
              <w:ind w:right="591"/>
              <w:spacing w:after="0" w:line="130" w:lineRule="exact"/>
              <w:rPr>
                <w:sz w:val="20"/>
                <w:szCs w:val="20"/>
                <w:color w:val="auto"/>
              </w:rPr>
            </w:pPr>
            <w:r>
              <w:rPr>
                <w:rFonts w:ascii="Arial" w:cs="Arial" w:eastAsia="Arial" w:hAnsi="Arial"/>
                <w:sz w:val="14"/>
                <w:szCs w:val="14"/>
                <w:b w:val="1"/>
                <w:bCs w:val="1"/>
                <w:color w:val="auto"/>
              </w:rPr>
              <w:t>(In thousands, except share</w:t>
            </w:r>
          </w:p>
        </w:tc>
        <w:tc>
          <w:tcPr>
            <w:tcW w:w="0" w:type="dxa"/>
            <w:vAlign w:val="bottom"/>
          </w:tcPr>
          <w:p>
            <w:pPr>
              <w:spacing w:after="0"/>
              <w:rPr>
                <w:sz w:val="1"/>
                <w:szCs w:val="1"/>
                <w:color w:val="auto"/>
              </w:rPr>
            </w:pPr>
          </w:p>
        </w:tc>
      </w:tr>
      <w:tr>
        <w:trPr>
          <w:trHeight w:val="188"/>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22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51,621</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receivable, net of allowance for credit losses of $352 and $161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98,286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88,287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61,181</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244,575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207,306</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Property, plant and equipment, net of accumulated depreciation of $333,788 and $340,144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176,032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184,104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51,824</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150,487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146,154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9,129</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719,192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691,585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16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79,167</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77,335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142,354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130,240</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72,439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116,728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Deferred pension and postretirement benefits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10,765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10,923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19,116</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313,803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335,826</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Preferred stock, no par value, shares authorized 1,000,000; issued and outstanding - none</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Common stock, $0.01 par value, shares authorized 125,000,000; issued 37,273,510 and 37,296,166,</w:t>
            </w:r>
          </w:p>
        </w:tc>
        <w:tc>
          <w:tcPr>
            <w:tcW w:w="3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 outstanding 33,521,788 and 32,804,737, respectively</w:t>
            </w:r>
          </w:p>
        </w:tc>
        <w:tc>
          <w:tcPr>
            <w:tcW w:w="3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253,662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253,458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241,582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213,517</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(33,024)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Treasury stock at cost, 3,751,722 and 4,491,429 shares,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(78,565)</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405,389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355,759</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719,192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691,585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July 31,</w:t>
            </w:r>
          </w:p>
        </w:tc>
        <w:tc>
          <w:tcPr>
            <w:tcW w:w="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July 31,</w:t>
            </w:r>
          </w:p>
        </w:tc>
        <w:tc>
          <w:tcPr>
            <w:tcW w:w="94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183"/>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6"/>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279,877</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212,096</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780,381</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596,168</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Cost and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219,866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162,427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604,723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469,586</w:t>
            </w: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27,766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21,973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88,299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62,818</w:t>
            </w: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10,683</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11,060</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32,543</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35,851</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27,436</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r>
      <w:tr>
        <w:trPr>
          <w:trHeight w:val="230"/>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23,242</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(17,352)</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70"/>
        </w:trPr>
        <w:tc>
          <w:tcPr>
            <w:tcW w:w="5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70"/>
        </w:trPr>
        <w:tc>
          <w:tcPr>
            <w:tcW w:w="5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660" w:type="dxa"/>
            <w:vAlign w:val="bottom"/>
          </w:tcPr>
          <w:p>
            <w:pPr>
              <w:ind w:left="5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33,359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32,610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33,194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32,716</w:t>
            </w:r>
          </w:p>
        </w:tc>
      </w:tr>
      <w:tr>
        <w:trPr>
          <w:trHeight w:val="230"/>
        </w:trPr>
        <w:tc>
          <w:tcPr>
            <w:tcW w:w="5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32,739</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32,845</w:t>
            </w:r>
          </w:p>
        </w:tc>
      </w:tr>
      <w:tr>
        <w:trPr>
          <w:trHeight w:val="270"/>
        </w:trPr>
        <w:tc>
          <w:tcPr>
            <w:tcW w:w="5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left="340" w:right="230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COMPREHENSIVE INCOME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20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July 31,</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July 31,</w:t>
            </w:r>
          </w:p>
        </w:tc>
        <w:tc>
          <w:tcPr>
            <w:tcW w:w="840" w:type="dxa"/>
            <w:vAlign w:val="bottom"/>
            <w:tcBorders>
              <w:bottom w:val="single" w:sz="8" w:color="auto"/>
            </w:tcBorders>
          </w:tcPr>
          <w:p>
            <w:pPr>
              <w:spacing w:after="0"/>
              <w:rPr>
                <w:sz w:val="16"/>
                <w:szCs w:val="16"/>
                <w:color w:val="auto"/>
              </w:rPr>
            </w:pPr>
          </w:p>
        </w:tc>
      </w:tr>
      <w:tr>
        <w:trPr>
          <w:trHeight w:val="187"/>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r>
      <w:tr>
        <w:trPr>
          <w:trHeight w:val="183"/>
        </w:trPr>
        <w:tc>
          <w:tcPr>
            <w:tcW w:w="6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1"/>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16,344</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i w:val="1"/>
                <w:iCs w:val="1"/>
                <w:color w:val="auto"/>
              </w:rPr>
              <w:t>Other comprehensive income: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Change in pension from net unamortized gain adjustment (pretax)</w:t>
            </w: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2,519</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pension from net unamortized gain adjustment tax expense</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2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1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10,056</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3"/>
              </w:rPr>
              <w:t>Nine Months Ended</w:t>
            </w:r>
          </w:p>
        </w:tc>
      </w:tr>
      <w:tr>
        <w:trPr>
          <w:trHeight w:val="195"/>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89"/>
              </w:rPr>
              <w:t>July 31,</w:t>
            </w:r>
          </w:p>
        </w:tc>
        <w:tc>
          <w:tcPr>
            <w:tcW w:w="820" w:type="dxa"/>
            <w:vAlign w:val="bottom"/>
            <w:tcBorders>
              <w:bottom w:val="single" w:sz="8" w:color="auto"/>
            </w:tcBorders>
          </w:tcPr>
          <w:p>
            <w:pPr>
              <w:spacing w:after="0"/>
              <w:rPr>
                <w:sz w:val="16"/>
                <w:szCs w:val="16"/>
                <w:color w:val="auto"/>
              </w:rPr>
            </w:pPr>
          </w:p>
        </w:tc>
      </w:tr>
      <w:tr>
        <w:trPr>
          <w:trHeight w:val="187"/>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183"/>
        </w:trPr>
        <w:tc>
          <w:tcPr>
            <w:tcW w:w="8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3"/>
              </w:rPr>
              <w:t>(In thousands)</w:t>
            </w:r>
          </w:p>
        </w:tc>
        <w:tc>
          <w:tcPr>
            <w:tcW w:w="820" w:type="dxa"/>
            <w:vAlign w:val="bottom"/>
          </w:tcPr>
          <w:p>
            <w:pPr>
              <w:spacing w:after="0"/>
              <w:rPr>
                <w:sz w:val="15"/>
                <w:szCs w:val="15"/>
                <w:color w:val="auto"/>
              </w:rPr>
            </w:pPr>
          </w:p>
        </w:tc>
      </w:tr>
      <w:tr>
        <w:trPr>
          <w:trHeight w:val="231"/>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36,082</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16,344</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32,543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35,851</w:t>
            </w:r>
          </w:p>
        </w:tc>
      </w:tr>
      <w:tr>
        <w:trPr>
          <w:trHeight w:val="230"/>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Deferred income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in 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(Increase) decrease in inventory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(32,113)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3,553</w:t>
            </w:r>
          </w:p>
        </w:tc>
      </w:tr>
      <w:tr>
        <w:trPr>
          <w:trHeight w:val="230"/>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decrease in other current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Increase (decrease) in accounts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30"/>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(decrease) in accrued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12,521</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(Decrease) increase in income taxes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increase in deferred pension and postretirement benefits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30"/>
        </w:trPr>
        <w:tc>
          <w:tcPr>
            <w:tcW w:w="8560" w:type="dxa"/>
            <w:vAlign w:val="bottom"/>
          </w:tcPr>
          <w:p>
            <w:pPr>
              <w:ind w:left="480"/>
              <w:spacing w:after="0"/>
              <w:rPr>
                <w:sz w:val="20"/>
                <w:szCs w:val="20"/>
                <w:color w:val="auto"/>
              </w:rPr>
            </w:pPr>
            <w:r>
              <w:rPr>
                <w:rFonts w:ascii="Arial" w:cs="Arial" w:eastAsia="Arial" w:hAnsi="Arial"/>
                <w:sz w:val="18"/>
                <w:szCs w:val="18"/>
                <w:color w:val="auto"/>
              </w:rPr>
              <w:t>Increase (decrease) in other long-term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47,435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47,561</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(16,006)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(20,673)</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disposition of capital assets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(12,868)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(20,542)</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Borrowings under credit facilities</w:t>
            </w:r>
          </w:p>
        </w:tc>
        <w:tc>
          <w:tcPr>
            <w:tcW w:w="2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114,500</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credit facility borrowings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(119,000)</w:t>
            </w: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Repayments of other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dividends paid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w:t>
            </w: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Issuance of common stock</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16,272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2,954</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tax paid to settle shares forfeited upon vesting of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0"/>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Purchase of treasury stock</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(6,693)</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(43,480)</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(17,394)</w:t>
            </w:r>
          </w:p>
        </w:tc>
      </w:tr>
      <w:tr>
        <w:trPr>
          <w:trHeight w:val="230"/>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51,621</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30,868</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43,663</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spacing w:after="0"/>
              <w:rPr>
                <w:sz w:val="14"/>
                <w:szCs w:val="14"/>
                <w:color w:val="auto"/>
              </w:rPr>
            </w:pPr>
          </w:p>
        </w:tc>
        <w:tc>
          <w:tcPr>
            <w:tcW w:w="12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vMerge w:val="continue"/>
          </w:tcPr>
          <w:p>
            <w:pPr>
              <w:spacing w:after="0"/>
              <w:rPr>
                <w:sz w:val="11"/>
                <w:szCs w:val="11"/>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Retained</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vMerge w:val="restart"/>
          </w:tcPr>
          <w:p>
            <w:pPr>
              <w:spacing w:after="0"/>
              <w:rPr>
                <w:sz w:val="20"/>
                <w:szCs w:val="20"/>
                <w:color w:val="auto"/>
              </w:rPr>
            </w:pPr>
            <w:r>
              <w:rPr>
                <w:rFonts w:ascii="Arial" w:cs="Arial" w:eastAsia="Arial" w:hAnsi="Arial"/>
                <w:sz w:val="16"/>
                <w:szCs w:val="16"/>
                <w:b w:val="1"/>
                <w:bCs w:val="1"/>
                <w:color w:val="auto"/>
                <w:w w:val="91"/>
              </w:rPr>
              <w:t>Nine Months Ended July 31, 2021</w:t>
            </w:r>
          </w:p>
        </w:tc>
        <w:tc>
          <w:tcPr>
            <w:tcW w:w="20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vMerge w:val="continue"/>
          </w:tcPr>
          <w:p>
            <w:pPr>
              <w:spacing w:after="0"/>
              <w:rPr>
                <w:sz w:val="11"/>
                <w:szCs w:val="11"/>
                <w:color w:val="auto"/>
              </w:rPr>
            </w:pPr>
          </w:p>
        </w:tc>
        <w:tc>
          <w:tcPr>
            <w:tcW w:w="120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3"/>
        </w:trPr>
        <w:tc>
          <w:tcPr>
            <w:tcW w:w="2340" w:type="dxa"/>
            <w:vAlign w:val="bottom"/>
            <w:tcBorders>
              <w:bottom w:val="single" w:sz="8" w:color="auto"/>
            </w:tcBorders>
            <w:vMerge w:val="continue"/>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Earnings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880"/>
        <w:spacing w:after="0"/>
        <w:rPr>
          <w:sz w:val="20"/>
          <w:szCs w:val="20"/>
          <w:color w:val="auto"/>
        </w:rPr>
      </w:pPr>
      <w:r>
        <w:rPr>
          <w:rFonts w:ascii="Arial" w:cs="Arial" w:eastAsia="Arial" w:hAnsi="Arial"/>
          <w:sz w:val="14"/>
          <w:szCs w:val="14"/>
          <w:b w:val="1"/>
          <w:bCs w:val="1"/>
          <w:color w:val="auto"/>
        </w:rPr>
        <w:t>(In thousands, no per share amounts shown except in verbiage)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355,759</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7,852</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Common dividends ($0.08 per share)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(2,637)</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10,030</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awards granted</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Performance restricted stock units vested</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Balance at January 31, 2021</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252,277</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218,732</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(69,250)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377,708</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dividends ($0.08 per share)</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(2,041)</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 exercised</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Balance at April 30, 2021</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253,147</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230,590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(23,392)</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(65,621)</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395,097</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dividends ($0.08 per share)</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 exercised</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4"/>
        </w:trPr>
        <w:tc>
          <w:tcPr>
            <w:tcW w:w="4400" w:type="dxa"/>
            <w:vAlign w:val="bottom"/>
          </w:tcPr>
          <w:p>
            <w:pPr>
              <w:ind w:left="20"/>
              <w:spacing w:after="0"/>
              <w:rPr>
                <w:sz w:val="20"/>
                <w:szCs w:val="20"/>
                <w:color w:val="auto"/>
              </w:rPr>
            </w:pPr>
            <w:r>
              <w:rPr>
                <w:rFonts w:ascii="Arial" w:cs="Arial" w:eastAsia="Arial" w:hAnsi="Arial"/>
                <w:sz w:val="18"/>
                <w:szCs w:val="18"/>
                <w:color w:val="auto"/>
              </w:rPr>
              <w:t>Balance at July 31, 2021</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253,662</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241,582</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(22,968)</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(67,260)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405,389</w:t>
            </w:r>
          </w:p>
        </w:tc>
      </w:tr>
      <w:tr>
        <w:trPr>
          <w:trHeight w:val="890"/>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469265</wp:posOffset>
            </wp:positionV>
            <wp:extent cx="4345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vMerge w:val="restart"/>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0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Retained</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Treasury</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Nine Months Ended July 31, 2020</w:t>
            </w:r>
          </w:p>
        </w:tc>
        <w:tc>
          <w:tcPr>
            <w:tcW w:w="1100" w:type="dxa"/>
            <w:vAlign w:val="bottom"/>
            <w:gridSpan w:val="2"/>
            <w:vMerge w:val="continue"/>
          </w:tcPr>
          <w:p>
            <w:pPr>
              <w:spacing w:after="0"/>
              <w:rPr>
                <w:sz w:val="11"/>
                <w:szCs w:val="11"/>
                <w:color w:val="auto"/>
              </w:rPr>
            </w:pPr>
          </w:p>
        </w:tc>
        <w:tc>
          <w:tcPr>
            <w:tcW w:w="11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vMerge w:val="continue"/>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2"/>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8"/>
        </w:trPr>
        <w:tc>
          <w:tcPr>
            <w:tcW w:w="4380" w:type="dxa"/>
            <w:vAlign w:val="bottom"/>
            <w:gridSpan w:val="2"/>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Earnings</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Loss</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3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880"/>
        <w:spacing w:after="0"/>
        <w:rPr>
          <w:sz w:val="20"/>
          <w:szCs w:val="20"/>
          <w:color w:val="auto"/>
        </w:rPr>
      </w:pPr>
      <w:r>
        <w:rPr>
          <w:rFonts w:ascii="Arial" w:cs="Arial" w:eastAsia="Arial" w:hAnsi="Arial"/>
          <w:sz w:val="14"/>
          <w:szCs w:val="14"/>
          <w:b w:val="1"/>
          <w:bCs w:val="1"/>
          <w:color w:val="auto"/>
        </w:rPr>
        <w:t>(In thousands, no per share amounts shown except in verbiage)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2019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330,187</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Common dividends ($0.08 per share)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w w:val="97"/>
              </w:rPr>
              <w:t>Change in pension from net unamortized loss (net of tax</w:t>
            </w:r>
          </w:p>
        </w:tc>
        <w:tc>
          <w:tcPr>
            <w:tcW w:w="3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expense of $609)</w:t>
            </w:r>
          </w:p>
        </w:tc>
        <w:tc>
          <w:tcPr>
            <w:tcW w:w="3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 benefit</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 exercised</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Restricted stock awards granted</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share awards vested</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31, 2020</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252,495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329,933</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Common dividends ($0.08 per share)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awards granted</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Balance at April 30, 2020</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252,717</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185,779</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(36,163)</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(78,749)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323,957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dividends ($0.08 per share)</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Stock-based compensation activity:</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related to stock-based compensation</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Balance at July 31, 2020</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253,144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(28,819)</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339,938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water retention barriers, and conservatory roof components. We have organized our business into three reportable business segments. For additional discussion of our reportable business segments, see Note 11,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2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2020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2020.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1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our product sales for the three and nine months ended July 31, 2021 and 2020 into groupings by segment which we believe depicts how the nature, amount, timing and uncertainty of our revenues and cash flows are affected by economic factors. For further details regarding our results by segment, refer to Note 11, “Segment Information”.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206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July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July 31,</w:t>
            </w:r>
          </w:p>
        </w:tc>
        <w:tc>
          <w:tcPr>
            <w:tcW w:w="860" w:type="dxa"/>
            <w:vAlign w:val="bottom"/>
            <w:tcBorders>
              <w:bottom w:val="single" w:sz="8" w:color="auto"/>
            </w:tcBorders>
          </w:tcPr>
          <w:p>
            <w:pPr>
              <w:spacing w:after="0"/>
              <w:rPr>
                <w:sz w:val="16"/>
                <w:szCs w:val="16"/>
                <w:color w:val="auto"/>
              </w:rPr>
            </w:pPr>
          </w:p>
        </w:tc>
      </w:tr>
      <w:tr>
        <w:trPr>
          <w:trHeight w:val="196"/>
        </w:trPr>
        <w:tc>
          <w:tcPr>
            <w:tcW w:w="6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187"/>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1"/>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Fenestration:</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129,291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109,455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369,809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302,094</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fenestration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19,284</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United States - non-fenestration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13,779</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r>
      <w:tr>
        <w:trPr>
          <w:trHeight w:val="223"/>
        </w:trPr>
        <w:tc>
          <w:tcPr>
            <w:tcW w:w="6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147,818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122,386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422,077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341,432</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European Fenestration: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International - fenestration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54,883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31,904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147,072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87,732</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16,498</w:t>
            </w:r>
          </w:p>
        </w:tc>
      </w:tr>
      <w:tr>
        <w:trPr>
          <w:trHeight w:val="223"/>
        </w:trPr>
        <w:tc>
          <w:tcPr>
            <w:tcW w:w="6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71,114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38,265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181,862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104,230</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Cabinet Components: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9,711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8,461</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 non-fenestration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142,838</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 non-fenestration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r>
      <w:tr>
        <w:trPr>
          <w:trHeight w:val="223"/>
        </w:trPr>
        <w:tc>
          <w:tcPr>
            <w:tcW w:w="6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152,634</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Unallocated Corporate &amp; Other</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23"/>
        </w:trPr>
        <w:tc>
          <w:tcPr>
            <w:tcW w:w="6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596,168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March 11, 2020, the World Health Organization (WHO) declared the outbreak of COVID-19 as a global pandemic and advised aggressive containment action. The COVID-19 pandemic and its impacts are continuing to have an adverse effect on many sectors of the economy. Measures providing for business shutdowns generally exclude certain essential services commonly including critical infrastructure such as construction and the businesses that support that critical infrastructure. To date, we have not experienced significant challenges or expenses implementing crisis management plans intended for containment and prevention.</w:t>
      </w:r>
    </w:p>
    <w:p>
      <w:pPr>
        <w:spacing w:after="0" w:line="13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health and safety of our employees are high priority. In response to the COVID-19 pandemic, we have taken additional measures to limit possible infections at the workplace by implementing social distancing, sanitizing the workspace, and requiring employees to report any COVID-19 symptoms to ensure safety as infection surges dictate. We continue to assess and refine these measures on an ongoing basis as public health guidance and applicable laws and regulations continue to evolve.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As a result of the economic and business impact of COVID-19, we may be required to revise certain accounting estimates and judgments such as, but not limited to, those related to the valuation of goodwill, intangibles, right-of-use assets, long-lived assets, accounts receivable (including allowances for credit losses), and inventory, which could have a material adverse effect on our financial position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at July 31, 2021 and October 31, 2020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w:t>
            </w:r>
          </w:p>
        </w:tc>
        <w:tc>
          <w:tcPr>
            <w:tcW w:w="240" w:type="dxa"/>
            <w:vAlign w:val="bottom"/>
          </w:tcPr>
          <w:p>
            <w:pPr>
              <w:spacing w:after="0"/>
              <w:rPr>
                <w:sz w:val="14"/>
                <w:szCs w:val="14"/>
                <w:color w:val="auto"/>
              </w:rPr>
            </w:pPr>
          </w:p>
        </w:tc>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rPr>
              <w:t>October 31,</w:t>
            </w:r>
          </w:p>
        </w:tc>
      </w:tr>
      <w:tr>
        <w:trPr>
          <w:trHeight w:val="188"/>
        </w:trPr>
        <w:tc>
          <w:tcPr>
            <w:tcW w:w="8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Finished goods and work in process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32,347</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94,997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67,665</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Inventory reserves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w:t>
            </w:r>
          </w:p>
        </w:tc>
      </w:tr>
      <w:tr>
        <w:trPr>
          <w:trHeight w:val="223"/>
        </w:trPr>
        <w:tc>
          <w:tcPr>
            <w:tcW w:w="8140" w:type="dxa"/>
            <w:vAlign w:val="bottom"/>
          </w:tcPr>
          <w:p>
            <w:pPr>
              <w:ind w:left="56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93,493</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61,181</w:t>
            </w:r>
          </w:p>
        </w:tc>
      </w:tr>
      <w:tr>
        <w:trPr>
          <w:trHeight w:val="21"/>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Fixed costs related to excess manufacturing capacity, if any, have been expensed in the period they were incurred and, therefore, are not capitalized into inventory.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for the nine months ended July 31, 2021 was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ind w:right="315"/>
              <w:spacing w:after="0"/>
              <w:rPr>
                <w:sz w:val="20"/>
                <w:szCs w:val="20"/>
                <w:color w:val="auto"/>
              </w:rPr>
            </w:pPr>
            <w:r>
              <w:rPr>
                <w:rFonts w:ascii="Arial" w:cs="Arial" w:eastAsia="Arial" w:hAnsi="Arial"/>
                <w:sz w:val="16"/>
                <w:szCs w:val="16"/>
                <w:b w:val="1"/>
                <w:bCs w:val="1"/>
                <w:color w:val="auto"/>
              </w:rPr>
              <w:t>Nine Months Ended</w:t>
            </w:r>
          </w:p>
        </w:tc>
      </w:tr>
      <w:tr>
        <w:trPr>
          <w:trHeight w:val="192"/>
        </w:trPr>
        <w:tc>
          <w:tcPr>
            <w:tcW w:w="9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July 31, 2021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146,154</w:t>
            </w:r>
          </w:p>
        </w:tc>
      </w:tr>
      <w:tr>
        <w:trPr>
          <w:trHeight w:val="229"/>
        </w:trPr>
        <w:tc>
          <w:tcPr>
            <w:tcW w:w="9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4,333</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the end of the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150,487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our last annual test date, August 31, 2020, we evaluated the recoverability of goodwill at each of our five reporting units with goodwill balances and determined that our goodwill was not impaired. We evaluated for indicators of impairment during the three and nine months ended July 31, 2021 and determined that there were no triggering events. For a summary of the change in the carrying amount of goodwill by segment, see Note 11, “Segment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July 31, 2021 and October 31, 2020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 2021</w:t>
            </w:r>
          </w:p>
        </w:tc>
        <w:tc>
          <w:tcPr>
            <w:tcW w:w="1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October 31, 2020</w:t>
            </w:r>
          </w:p>
        </w:tc>
      </w:tr>
      <w:tr>
        <w:trPr>
          <w:trHeight w:val="135"/>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300" w:type="dxa"/>
            <w:vAlign w:val="bottom"/>
          </w:tcPr>
          <w:p>
            <w:pPr>
              <w:spacing w:after="0"/>
              <w:rPr>
                <w:sz w:val="11"/>
                <w:szCs w:val="11"/>
                <w:color w:val="auto"/>
              </w:rPr>
            </w:pPr>
          </w:p>
        </w:tc>
        <w:tc>
          <w:tcPr>
            <w:tcW w:w="1140" w:type="dxa"/>
            <w:vAlign w:val="bottom"/>
          </w:tcPr>
          <w:p>
            <w:pPr>
              <w:jc w:val="right"/>
              <w:ind w:right="236"/>
              <w:spacing w:after="0" w:line="135"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1"/>
                <w:szCs w:val="11"/>
                <w:color w:val="auto"/>
              </w:rPr>
            </w:pPr>
          </w:p>
        </w:tc>
        <w:tc>
          <w:tcPr>
            <w:tcW w:w="1220" w:type="dxa"/>
            <w:vAlign w:val="bottom"/>
          </w:tcPr>
          <w:p>
            <w:pPr>
              <w:jc w:val="right"/>
              <w:ind w:right="216"/>
              <w:spacing w:after="0" w:line="135" w:lineRule="exact"/>
              <w:rPr>
                <w:sz w:val="20"/>
                <w:szCs w:val="20"/>
                <w:color w:val="auto"/>
              </w:rPr>
            </w:pPr>
            <w:r>
              <w:rPr>
                <w:rFonts w:ascii="Arial" w:cs="Arial" w:eastAsia="Arial" w:hAnsi="Arial"/>
                <w:sz w:val="14"/>
                <w:szCs w:val="14"/>
                <w:b w:val="1"/>
                <w:bCs w:val="1"/>
                <w:color w:val="auto"/>
              </w:rPr>
              <w:t>Accumulated</w:t>
            </w:r>
          </w:p>
        </w:tc>
      </w:tr>
      <w:tr>
        <w:trPr>
          <w:trHeight w:val="188"/>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rPr>
              <w:t>Amortization</w:t>
            </w: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146,850</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78,785</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154,004</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80,441</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56,635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39,164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55,745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37,314</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other technology</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22,056</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21,312</w:t>
            </w:r>
          </w:p>
        </w:tc>
      </w:tr>
      <w:tr>
        <w:trPr>
          <w:trHeight w:val="223"/>
        </w:trPr>
        <w:tc>
          <w:tcPr>
            <w:tcW w:w="480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226,031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140,005</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232,135</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139,067</w:t>
            </w: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We had aggregate amortization expense related to intangible assets for the three and nine months ended July 31, 2021 of $3.0 million and $9.7 million, respectively, and $3.4 million and $10.8 million, respectively, for the comparable prior year periods. We retired fully amortized identifiable assets of $9.9 million related to customer relationships during the nine months ended July 31,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Estimated remaining amortization expense, based on current intangible balances, for each of the fiscal years ending October 31, is as follows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 (remaining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 and Finance Lease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Long-term debt consisted of the following at July 31, 2021 and October 31, 2020 (in thousands):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3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920" w:type="dxa"/>
            <w:vAlign w:val="bottom"/>
          </w:tcPr>
          <w:p>
            <w:pPr>
              <w:jc w:val="right"/>
              <w:ind w:right="694"/>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 Expense</w:t>
            </w:r>
          </w:p>
        </w:tc>
      </w:tr>
      <w:tr>
        <w:trPr>
          <w:trHeight w:val="224"/>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3,057</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12,181</w:t>
            </w:r>
          </w:p>
        </w:tc>
      </w:tr>
      <w:tr>
        <w:trPr>
          <w:trHeight w:val="230"/>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11,422</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10,670</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9,444</w:t>
            </w:r>
          </w:p>
        </w:tc>
      </w:tr>
      <w:tr>
        <w:trPr>
          <w:trHeight w:val="230"/>
        </w:trPr>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39,252</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86,026</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b w:val="1"/>
          <w:bCs w:val="1"/>
          <w:color w:val="auto"/>
        </w:rPr>
        <w:t>July 31,</w:t>
      </w:r>
      <w:r>
        <w:rPr>
          <w:sz w:val="20"/>
          <w:szCs w:val="20"/>
          <w:color w:val="auto"/>
        </w:rPr>
        <w:tab/>
      </w:r>
      <w:r>
        <w:rPr>
          <w:rFonts w:ascii="Arial" w:cs="Arial" w:eastAsia="Arial" w:hAnsi="Arial"/>
          <w:sz w:val="13"/>
          <w:szCs w:val="13"/>
          <w:b w:val="1"/>
          <w:bCs w:val="1"/>
          <w:color w:val="auto"/>
        </w:rPr>
        <w:t>October 31,</w:t>
      </w:r>
    </w:p>
    <w:p>
      <w:pPr>
        <w:ind w:left="100"/>
        <w:spacing w:after="0"/>
        <w:tabs>
          <w:tab w:leader="none" w:pos="16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9" w:lineRule="exact"/>
        <w:rPr>
          <w:sz w:val="20"/>
          <w:szCs w:val="20"/>
          <w:color w:val="auto"/>
        </w:rPr>
      </w:pPr>
    </w:p>
    <w:p>
      <w:pPr>
        <w:sectPr>
          <w:pgSz w:w="11900" w:h="16838" w:orient="portrait"/>
          <w:cols w:equalWidth="0" w:num="2">
            <w:col w:w="8020" w:space="720"/>
            <w:col w:w="25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Finance lease obligations and other</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15,951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15,321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fees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73,278</w:t>
            </w:r>
          </w:p>
        </w:tc>
        <w:tc>
          <w:tcPr>
            <w:tcW w:w="1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117,420</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Long-term debt</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72,439</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116,728</w:t>
            </w:r>
          </w:p>
        </w:tc>
      </w:tr>
      <w:tr>
        <w:trPr>
          <w:trHeight w:val="21"/>
        </w:trPr>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more fully described in our Annual Report on Form 10-K for the fiscal year ended October 31, 2020, on October 18, 2018, we amended and extended our prior credit facility by entering into a $325.0 million revolving credit facility (the “2018 Credit Facility”), with Wells Fargo Bank, National Association, as Agent, Swingline Lender and Issuing Lender, and Bank of America, N.A. serving as Syndication Agent. The 2018 Credit Facility has a five-year term, maturing on October 18, 2023, and requires interest payments calculated, at our election and depending upon our Consolidated Leverage Ratio, at either a Base Rate plus an applicable margin or the LIBOR Rate plus an applicable margin. As of July 31, 2021, the applicable rate was LIBOR + 1.25%. In addition, we are subject to commitment fees for the unused portion of the 2018 Credit Facility.</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275" w:lineRule="exact"/>
        <w:rPr>
          <w:sz w:val="20"/>
          <w:szCs w:val="20"/>
          <w:color w:val="auto"/>
        </w:rPr>
      </w:pPr>
    </w:p>
    <w:p>
      <w:pPr>
        <w:ind w:left="240"/>
        <w:spacing w:after="0"/>
        <w:tabs>
          <w:tab w:leader="none" w:pos="2160" w:val="left"/>
          <w:tab w:leader="none" w:pos="5380" w:val="left"/>
          <w:tab w:leader="none" w:pos="7400" w:val="left"/>
          <w:tab w:leader="none" w:pos="9600" w:val="left"/>
        </w:tabs>
        <w:rPr>
          <w:sz w:val="20"/>
          <w:szCs w:val="20"/>
          <w:color w:val="auto"/>
        </w:rPr>
      </w:pPr>
      <w:r>
        <w:rPr>
          <w:rFonts w:ascii="Arial" w:cs="Arial" w:eastAsia="Arial" w:hAnsi="Arial"/>
          <w:sz w:val="18"/>
          <w:szCs w:val="18"/>
          <w:b w:val="1"/>
          <w:bCs w:val="1"/>
          <w:color w:val="auto"/>
        </w:rPr>
        <w:t>Pricing Level</w:t>
      </w:r>
      <w:r>
        <w:rPr>
          <w:sz w:val="20"/>
          <w:szCs w:val="20"/>
          <w:color w:val="auto"/>
        </w:rPr>
        <w:tab/>
      </w:r>
      <w:r>
        <w:rPr>
          <w:rFonts w:ascii="Arial" w:cs="Arial" w:eastAsia="Arial" w:hAnsi="Arial"/>
          <w:sz w:val="18"/>
          <w:szCs w:val="18"/>
          <w:b w:val="1"/>
          <w:bCs w:val="1"/>
          <w:color w:val="auto"/>
        </w:rPr>
        <w:t>Consolidated Leverage Ratio</w:t>
      </w:r>
      <w:r>
        <w:rPr>
          <w:sz w:val="20"/>
          <w:szCs w:val="20"/>
          <w:color w:val="auto"/>
        </w:rPr>
        <w:tab/>
      </w:r>
      <w:r>
        <w:rPr>
          <w:rFonts w:ascii="Arial" w:cs="Arial" w:eastAsia="Arial" w:hAnsi="Arial"/>
          <w:sz w:val="18"/>
          <w:szCs w:val="18"/>
          <w:b w:val="1"/>
          <w:bCs w:val="1"/>
          <w:color w:val="auto"/>
        </w:rPr>
        <w:t>Commitment Fee</w:t>
      </w:r>
      <w:r>
        <w:rPr>
          <w:sz w:val="20"/>
          <w:szCs w:val="20"/>
          <w:color w:val="auto"/>
        </w:rPr>
        <w:tab/>
      </w:r>
      <w:r>
        <w:rPr>
          <w:rFonts w:ascii="Arial" w:cs="Arial" w:eastAsia="Arial" w:hAnsi="Arial"/>
          <w:sz w:val="18"/>
          <w:szCs w:val="18"/>
          <w:b w:val="1"/>
          <w:bCs w:val="1"/>
          <w:color w:val="auto"/>
        </w:rPr>
        <w:t>LIBOR Rate Loans</w:t>
      </w:r>
      <w:r>
        <w:rPr>
          <w:sz w:val="20"/>
          <w:szCs w:val="20"/>
          <w:color w:val="auto"/>
        </w:rPr>
        <w:tab/>
      </w:r>
      <w:r>
        <w:rPr>
          <w:rFonts w:ascii="Arial" w:cs="Arial" w:eastAsia="Arial" w:hAnsi="Arial"/>
          <w:sz w:val="15"/>
          <w:szCs w:val="15"/>
          <w:b w:val="1"/>
          <w:bCs w:val="1"/>
          <w:color w:val="auto"/>
        </w:rPr>
        <w:t>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II</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III</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Less than or equal to 1.50 to 1.00</w:t>
      </w:r>
    </w:p>
    <w:p>
      <w:pPr>
        <w:spacing w:after="0" w:line="23" w:lineRule="exact"/>
        <w:rPr>
          <w:sz w:val="20"/>
          <w:szCs w:val="20"/>
          <w:color w:val="auto"/>
        </w:rPr>
      </w:pPr>
    </w:p>
    <w:p>
      <w:pPr>
        <w:ind w:right="460"/>
        <w:spacing w:after="0" w:line="234" w:lineRule="auto"/>
        <w:rPr>
          <w:sz w:val="20"/>
          <w:szCs w:val="20"/>
          <w:color w:val="auto"/>
        </w:rPr>
      </w:pPr>
      <w:r>
        <w:rPr>
          <w:rFonts w:ascii="Arial" w:cs="Arial" w:eastAsia="Arial" w:hAnsi="Arial"/>
          <w:sz w:val="18"/>
          <w:szCs w:val="18"/>
          <w:color w:val="auto"/>
        </w:rPr>
        <w:t>Greater than 1.50 to 1.00, but less than or equal to 2.25 to 1.00</w:t>
      </w:r>
    </w:p>
    <w:p>
      <w:pPr>
        <w:spacing w:after="0" w:line="1" w:lineRule="exact"/>
        <w:rPr>
          <w:sz w:val="20"/>
          <w:szCs w:val="20"/>
          <w:color w:val="auto"/>
        </w:rPr>
      </w:pPr>
    </w:p>
    <w:p>
      <w:pPr>
        <w:ind w:right="460"/>
        <w:spacing w:after="0" w:line="234" w:lineRule="auto"/>
        <w:rPr>
          <w:sz w:val="20"/>
          <w:szCs w:val="20"/>
          <w:color w:val="auto"/>
        </w:rPr>
      </w:pPr>
      <w:r>
        <w:rPr>
          <w:rFonts w:ascii="Arial" w:cs="Arial" w:eastAsia="Arial" w:hAnsi="Arial"/>
          <w:sz w:val="18"/>
          <w:szCs w:val="18"/>
          <w:color w:val="auto"/>
        </w:rPr>
        <w:t>Greater than 2.25 to 1.00, but less than or equal to 3.00 to 1.00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jc w:val="right"/>
              <w:ind w:right="690"/>
              <w:spacing w:after="0"/>
              <w:rPr>
                <w:sz w:val="20"/>
                <w:szCs w:val="20"/>
                <w:color w:val="auto"/>
              </w:rPr>
            </w:pPr>
            <w:r>
              <w:rPr>
                <w:rFonts w:ascii="Arial" w:cs="Arial" w:eastAsia="Arial" w:hAnsi="Arial"/>
                <w:sz w:val="18"/>
                <w:szCs w:val="18"/>
                <w:color w:val="auto"/>
                <w:w w:val="88"/>
              </w:rPr>
              <w:t>0.200%</w:t>
            </w:r>
          </w:p>
        </w:tc>
        <w:tc>
          <w:tcPr>
            <w:tcW w:w="2080" w:type="dxa"/>
            <w:vAlign w:val="bottom"/>
          </w:tcPr>
          <w:p>
            <w:pPr>
              <w:jc w:val="right"/>
              <w:ind w:right="730"/>
              <w:spacing w:after="0"/>
              <w:rPr>
                <w:sz w:val="20"/>
                <w:szCs w:val="20"/>
                <w:color w:val="auto"/>
              </w:rPr>
            </w:pPr>
            <w:r>
              <w:rPr>
                <w:rFonts w:ascii="Arial" w:cs="Arial" w:eastAsia="Arial" w:hAnsi="Arial"/>
                <w:sz w:val="18"/>
                <w:szCs w:val="18"/>
                <w:color w:val="auto"/>
              </w:rPr>
              <w:t>1.25%</w:t>
            </w:r>
          </w:p>
        </w:tc>
        <w:tc>
          <w:tcPr>
            <w:tcW w:w="128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310"/>
        </w:trPr>
        <w:tc>
          <w:tcPr>
            <w:tcW w:w="1340" w:type="dxa"/>
            <w:vAlign w:val="bottom"/>
          </w:tcPr>
          <w:p>
            <w:pPr>
              <w:jc w:val="right"/>
              <w:ind w:right="690"/>
              <w:spacing w:after="0"/>
              <w:rPr>
                <w:sz w:val="20"/>
                <w:szCs w:val="20"/>
                <w:color w:val="auto"/>
              </w:rPr>
            </w:pPr>
            <w:r>
              <w:rPr>
                <w:rFonts w:ascii="Arial" w:cs="Arial" w:eastAsia="Arial" w:hAnsi="Arial"/>
                <w:sz w:val="18"/>
                <w:szCs w:val="18"/>
                <w:color w:val="auto"/>
                <w:w w:val="88"/>
              </w:rPr>
              <w:t>0.225%</w:t>
            </w:r>
          </w:p>
        </w:tc>
        <w:tc>
          <w:tcPr>
            <w:tcW w:w="2080" w:type="dxa"/>
            <w:vAlign w:val="bottom"/>
          </w:tcPr>
          <w:p>
            <w:pPr>
              <w:jc w:val="right"/>
              <w:ind w:right="730"/>
              <w:spacing w:after="0"/>
              <w:rPr>
                <w:sz w:val="20"/>
                <w:szCs w:val="20"/>
                <w:color w:val="auto"/>
              </w:rPr>
            </w:pPr>
            <w:r>
              <w:rPr>
                <w:rFonts w:ascii="Arial" w:cs="Arial" w:eastAsia="Arial" w:hAnsi="Arial"/>
                <w:sz w:val="18"/>
                <w:szCs w:val="18"/>
                <w:color w:val="auto"/>
              </w:rPr>
              <w:t>1.50%</w:t>
            </w:r>
          </w:p>
        </w:tc>
        <w:tc>
          <w:tcPr>
            <w:tcW w:w="128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405"/>
        </w:trPr>
        <w:tc>
          <w:tcPr>
            <w:tcW w:w="1340" w:type="dxa"/>
            <w:vAlign w:val="bottom"/>
          </w:tcPr>
          <w:p>
            <w:pPr>
              <w:jc w:val="right"/>
              <w:ind w:right="690"/>
              <w:spacing w:after="0"/>
              <w:rPr>
                <w:sz w:val="20"/>
                <w:szCs w:val="20"/>
                <w:color w:val="auto"/>
              </w:rPr>
            </w:pPr>
            <w:r>
              <w:rPr>
                <w:rFonts w:ascii="Arial" w:cs="Arial" w:eastAsia="Arial" w:hAnsi="Arial"/>
                <w:sz w:val="18"/>
                <w:szCs w:val="18"/>
                <w:color w:val="auto"/>
                <w:w w:val="88"/>
              </w:rPr>
              <w:t>0.250%</w:t>
            </w:r>
          </w:p>
        </w:tc>
        <w:tc>
          <w:tcPr>
            <w:tcW w:w="2080" w:type="dxa"/>
            <w:vAlign w:val="bottom"/>
          </w:tcPr>
          <w:p>
            <w:pPr>
              <w:jc w:val="right"/>
              <w:ind w:right="730"/>
              <w:spacing w:after="0"/>
              <w:rPr>
                <w:sz w:val="20"/>
                <w:szCs w:val="20"/>
                <w:color w:val="auto"/>
              </w:rPr>
            </w:pPr>
            <w:r>
              <w:rPr>
                <w:rFonts w:ascii="Arial" w:cs="Arial" w:eastAsia="Arial" w:hAnsi="Arial"/>
                <w:sz w:val="18"/>
                <w:szCs w:val="18"/>
                <w:color w:val="auto"/>
              </w:rPr>
              <w:t>1.75%</w:t>
            </w:r>
          </w:p>
        </w:tc>
        <w:tc>
          <w:tcPr>
            <w:tcW w:w="128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324"/>
        </w:trPr>
        <w:tc>
          <w:tcPr>
            <w:tcW w:w="1340" w:type="dxa"/>
            <w:vAlign w:val="bottom"/>
          </w:tcPr>
          <w:p>
            <w:pPr>
              <w:jc w:val="right"/>
              <w:ind w:right="690"/>
              <w:spacing w:after="0"/>
              <w:rPr>
                <w:sz w:val="20"/>
                <w:szCs w:val="20"/>
                <w:color w:val="auto"/>
              </w:rPr>
            </w:pPr>
            <w:r>
              <w:rPr>
                <w:rFonts w:ascii="Arial" w:cs="Arial" w:eastAsia="Arial" w:hAnsi="Arial"/>
                <w:sz w:val="18"/>
                <w:szCs w:val="18"/>
                <w:color w:val="auto"/>
                <w:w w:val="88"/>
              </w:rPr>
              <w:t>0.300%</w:t>
            </w:r>
          </w:p>
        </w:tc>
        <w:tc>
          <w:tcPr>
            <w:tcW w:w="2080" w:type="dxa"/>
            <w:vAlign w:val="bottom"/>
          </w:tcPr>
          <w:p>
            <w:pPr>
              <w:jc w:val="right"/>
              <w:ind w:right="730"/>
              <w:spacing w:after="0"/>
              <w:rPr>
                <w:sz w:val="20"/>
                <w:szCs w:val="20"/>
                <w:color w:val="auto"/>
              </w:rPr>
            </w:pPr>
            <w:r>
              <w:rPr>
                <w:rFonts w:ascii="Arial" w:cs="Arial" w:eastAsia="Arial" w:hAnsi="Arial"/>
                <w:sz w:val="18"/>
                <w:szCs w:val="18"/>
                <w:color w:val="auto"/>
              </w:rPr>
              <w:t>2.00%</w:t>
            </w: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-402590</wp:posOffset>
            </wp:positionV>
            <wp:extent cx="713232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3">
            <w:col w:w="920" w:space="720"/>
            <w:col w:w="3440" w:space="720"/>
            <w:col w:w="5440"/>
          </w:cols>
          <w:pgMar w:left="320" w:top="125" w:right="339" w:bottom="1440" w:gutter="0" w:footer="0" w:header="0"/>
          <w:type w:val="continuous"/>
        </w:sectPr>
      </w:pPr>
    </w:p>
    <w:p>
      <w:pPr>
        <w:jc w:val="both"/>
        <w:ind w:firstLine="405"/>
        <w:spacing w:after="0" w:line="277" w:lineRule="auto"/>
        <w:rPr>
          <w:sz w:val="20"/>
          <w:szCs w:val="20"/>
          <w:color w:val="auto"/>
        </w:rPr>
      </w:pPr>
      <w:r>
        <w:rPr>
          <w:rFonts w:ascii="Arial" w:cs="Arial" w:eastAsia="Arial" w:hAnsi="Arial"/>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2018 Credit Facility provides for incremental revolving credit commitments for a minimum principal amount of $10.0 million, up to an aggregate amount of $150.0 million, subject to the lender's discretion to elect or decline the incremental increase. We can also borrow up to the lesser of $15.0 million or the revolving credit commitment, as defined, under a Swingline feature of the Credit Facility.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2018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1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maintaining these financial covenants, the 2018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2018 Credit Facility. Some of these limitations, however, do not take effect so long as total leverage is less than or equal to 2.75 to 1.00 and available liquidity exceeds $25.0 million. Substantially all of our domestic assets, with the exception of real property, are used as collateral for the Credit Agreement.</w:t>
      </w:r>
    </w:p>
    <w:p>
      <w:pPr>
        <w:spacing w:after="0" w:line="1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July 31, 2021, we had $58.0 million of borrowings outstanding under the 2018 Credit Facility (reduced by unamortized debt issuance costs of $0.7 million), $4.5 million of outstanding letters of credit and $16.0 million outstanding primarily under finance leases and other debt. We had $262.5 million available for use under the 2018 Credit Facility at July 31, 2021. Outstanding borrowings under the 2018 Credit Facility accrue interest at 1.34% per annum. Our weighted average borrowing rate for borrowings outstanding during the nine months ended July 31, 2021 and 2020 was 1.43% and 2.62%, respectively. We were in compliance with our debt covenants as of July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Our non-contributory, single employer defined benefit pension plan covers certain of our employees in the U.S. The net periodic pension cost for this plan for the three and nine months ended July 31, 2021 and 2020 was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0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0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July 31,</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July 31,</w:t>
            </w:r>
          </w:p>
        </w:tc>
        <w:tc>
          <w:tcPr>
            <w:tcW w:w="860" w:type="dxa"/>
            <w:vAlign w:val="bottom"/>
            <w:tcBorders>
              <w:bottom w:val="single" w:sz="8" w:color="auto"/>
            </w:tcBorders>
          </w:tcPr>
          <w:p>
            <w:pPr>
              <w:spacing w:after="0"/>
              <w:rPr>
                <w:sz w:val="16"/>
                <w:szCs w:val="16"/>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(490)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(509)</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loss</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48"/>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periodic pension (benefit) cost</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On January 1, 2020, we enacted changes to our pension plan whereby the benefits for all participants were frozen and thereafter those participants will receive increased benefits in the Company sponsored defined contribution plan in lieu of participation in a defined benefit plan.</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a result of this action, we remeasured the pension assets and obligations for the pension plan, which resulted in a decrease to our projected benefit obligation and a corresponding net actuarial gain that was recorded in accumulated other comprehensive income.</w:t>
      </w:r>
    </w:p>
    <w:p>
      <w:pPr>
        <w:spacing w:after="0" w:line="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September 2020, we contributed $3.7 million to fund our plan, and we expect to make a contribution to our plan in September 2021 of approximately $0.5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have a supplemental benefit plan covering certain executive officers and key employees and a non-qualified deferred compensation plan covering members of the Board of Directors and certain key employees. As of July 31, 2021 and October 31, 2020, our liability under the supplemental benefit plan was approximately $2.8 million and $2.6 million, respectively. As of July 31, 2021 and October 31, 2020, the liability associated with the deferred compensation plan was approximately $3.6 million and $3.3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To determine our income tax expense or benefit for interim periods, consistent with accounting standards, we apply the estimated annual effective income tax rate to year-to-date results, adjusted for any applicable discrete items. Our estimated annual effective tax rates from continuing operations for the nine months ended July 31, 2021 and 2020 were 32.5% and 29.7%, respectively. The difference between our effective income tax rate and the U.S. federal statutory rate of 21% principally result from discrete tax items, U.S. state tax, non-U.S. tax rate differential and other permanent differences. The primary discrete items affecting the 2021 effective rate were the $3.1 million measurement of our deferred income tax assets and liabilities related to the increase in the corporate tax rate in the U.K. from 19% to 25%, a charge of $0.6 million related to the vesting or exercise of equity-based compensation awards and a benefit of $0.6 million for the true-up of our accruals and related deferred taxes from prior year filings. The 2020 effective tax rate was primarily impacted by a discrete charge of $0.5 million related to the vesting or exercise of equity-based compensation awards.</w:t>
      </w:r>
    </w:p>
    <w:p>
      <w:pPr>
        <w:spacing w:after="0" w:line="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July 31, 2021, our liability for uncertain tax positions (UTP) of $0.5 million relates to certain U.S. state tax items regarding the interpretation of tax laws and regulations, including $0.2 million of interest and penalties. We include all interest and penalties related to uncertain tax benefits within our income tax provision account. Our total unrecognized tax benefits, if recognized, would not materially affect our effective tax rate. We do not believe any of the UTP at July 31, 2021 will be recognized within the next twelve months.</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evaluate the likelihood of realization of our deferred tax assets by considering both positive and negative evidence. We maintain a valuation allowance for certain state net operating losses which totaled $1.5 million as of July 31, 2021 and October 31, 2020.</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Final regulations were published by the Internal Revenue Service regarding Uniform Capitalization (UNICAP) that became effective during fiscal 2020. On March 27, 2020, the Coronavirus Aid, Relief, and Economic Security (CARES) Act was signed into law. In addition, the Consolidated Appropriations Act, 2021 (CAA) was signed into law on December 27, 2020 and the American Rescue Plan Act of 2021 (American Rescue Plan) was signed into law on March 11, 2021. We evaluated the UNICAP regulations and the CARES Act and determined that there were no material impacts on our condensed consolidated financial statements. We are evaluating the CAA and the American Rescue Plan and do not believe there will be a material impact on our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2021.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 of Assets and Liabilities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8" w:lineRule="exact"/>
        <w:rPr>
          <w:sz w:val="20"/>
          <w:szCs w:val="20"/>
          <w:color w:val="auto"/>
        </w:rPr>
      </w:pPr>
    </w:p>
    <w:p>
      <w:pPr>
        <w:ind w:left="480" w:hanging="148"/>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8" w:lineRule="exact"/>
        <w:rPr>
          <w:rFonts w:ascii="Arial" w:cs="Arial" w:eastAsia="Arial" w:hAnsi="Arial"/>
          <w:sz w:val="17"/>
          <w:szCs w:val="17"/>
          <w:color w:val="auto"/>
        </w:rPr>
      </w:pPr>
    </w:p>
    <w:p>
      <w:pPr>
        <w:jc w:val="both"/>
        <w:ind w:left="500" w:hanging="168"/>
        <w:spacing w:after="0" w:line="259"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8" w:lineRule="exact"/>
        <w:rPr>
          <w:rFonts w:ascii="Arial" w:cs="Arial" w:eastAsia="Arial" w:hAnsi="Arial"/>
          <w:sz w:val="18"/>
          <w:szCs w:val="18"/>
          <w:color w:val="auto"/>
        </w:rPr>
      </w:pPr>
    </w:p>
    <w:p>
      <w:pPr>
        <w:ind w:left="480" w:hanging="148"/>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that are both significant to the fair value measurement and unobservable.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July 31, 2021, and October 31, 2020 (Level 2 measurement).</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performance share awards are marked-to-market on a quarterly basis during a three-year vesting period based on market data (Level 2 measurement). For further information, refer to Note 9, “Stock-Based Compensation - Performance Share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restricted stock units,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non-vested restricted stock awards activity during the nine months ended July 31, 2021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Restricted Stock Awards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ind w:right="41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714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Grant Date Fair Value per Share</w:t>
            </w: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October 31, 2020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29"/>
        </w:trPr>
        <w:tc>
          <w:tcPr>
            <w:tcW w:w="71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73,300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July 31, 2021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216,400</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total weighted average grant-date fair value of restricted stock awards that vested during each of the nine months ended July 31, 2021 and 2020 was $0.9 million and $1.1 million, respectively. As of July 31, 2021, total unrecognized compensation cost related to unamortized restricted stock awards was $1.8 million. We expect to recognize this expense over the remaining weighted average vesting period of 1.9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recognized stock option expense ratably over the shorter of the vesting period or the period from the grant-date to the retirement-eligibility date.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Black-Scholes pricing model to estimate the fair value of stock options. A description of the methodology for the valuation assumptions was disclosed in our Annual Report on Form 10-K for the fiscal year ended October 31, 2020.</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nine months ended July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Stock Options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7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200" w:type="dxa"/>
            <w:vAlign w:val="bottom"/>
          </w:tcPr>
          <w:p>
            <w:pPr>
              <w:spacing w:after="0"/>
              <w:rPr>
                <w:sz w:val="11"/>
                <w:szCs w:val="11"/>
                <w:color w:val="auto"/>
              </w:rPr>
            </w:pPr>
          </w:p>
        </w:tc>
        <w:tc>
          <w:tcPr>
            <w:tcW w:w="112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Pr>
          <w:p>
            <w:pPr>
              <w:spacing w:after="0"/>
              <w:rPr>
                <w:sz w:val="16"/>
                <w:szCs w:val="16"/>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Value (000s)</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31, 2020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1,095,329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(865,393)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Forfeited/Expired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18.22</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July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227,436</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Arial" w:cs="Arial" w:eastAsia="Arial" w:hAnsi="Arial"/>
                <w:sz w:val="18"/>
                <w:szCs w:val="18"/>
                <w:color w:val="auto"/>
              </w:rPr>
              <w:t>Vested at July 31, 2021</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227,436</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19.20</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July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227,436</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Intrinsic value is the amount by which the market price of the common stock on the date of exercise exceeds the exercise price of the stock option.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stock options exercised during the nine months ended July 31, 2021 and 2020 was $4.2 million and $0.5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stock options that vested during the nine months ended July 31, 2020 was $0.4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nine months ended July 31, 2021 and 2020, non-employee directors received 28,826 and 25,326 restricted stock units, respectively, at a grant date fair value of $18.79 per share and $19.02 per share, respectively, which vested immediately. As of July 31, 2021, there were 21,774 non-vested restricted stock units, which were awarded in January 2020 to key employees at a weighted average grant date fair value of $17.08. During the nine months ended July 31, 2021 we paid $0.8 million to settle vested restricted stock units. There were no corresponding payments to settle vested restricted stock during the nine months ended July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have awarded annual grants of performance shares to key employees and officers. Beginning with the fiscal year ended October 31, 2019, performance share awards vest with return on net assets (RONA) as the vesting condition and pay out 100% in cash, and are accounted for as liability.</w:t>
      </w:r>
    </w:p>
    <w:p>
      <w:pPr>
        <w:spacing w:after="0" w:line="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performance share grants and the grant date fair value for the RONA performance metrics: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vMerge w:val="restart"/>
          </w:tcPr>
          <w:p>
            <w:pPr>
              <w:ind w:left="3500"/>
              <w:spacing w:after="0"/>
              <w:rPr>
                <w:sz w:val="20"/>
                <w:szCs w:val="20"/>
                <w:color w:val="auto"/>
              </w:rPr>
            </w:pPr>
            <w:r>
              <w:rPr>
                <w:rFonts w:ascii="Arial" w:cs="Arial" w:eastAsia="Arial" w:hAnsi="Arial"/>
                <w:sz w:val="18"/>
                <w:szCs w:val="18"/>
                <w:b w:val="1"/>
                <w:bCs w:val="1"/>
                <w:color w:val="auto"/>
              </w:rPr>
              <w:t>Grant Date</w:t>
            </w:r>
          </w:p>
        </w:tc>
        <w:tc>
          <w:tcPr>
            <w:tcW w:w="290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89"/>
        </w:trPr>
        <w:tc>
          <w:tcPr>
            <w:tcW w:w="6120" w:type="dxa"/>
            <w:vAlign w:val="bottom"/>
            <w:vMerge w:val="continue"/>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5, 2018</w:t>
            </w:r>
          </w:p>
        </w:tc>
        <w:tc>
          <w:tcPr>
            <w:tcW w:w="2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40,900</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December 5, 2019</w:t>
            </w:r>
          </w:p>
        </w:tc>
        <w:tc>
          <w:tcPr>
            <w:tcW w:w="2780" w:type="dxa"/>
            <w:vAlign w:val="bottom"/>
          </w:tcPr>
          <w:p>
            <w:pPr>
              <w:jc w:val="right"/>
              <w:spacing w:after="0"/>
              <w:rPr>
                <w:sz w:val="20"/>
                <w:szCs w:val="20"/>
                <w:color w:val="auto"/>
              </w:rPr>
            </w:pPr>
            <w:r>
              <w:rPr>
                <w:rFonts w:ascii="Arial" w:cs="Arial" w:eastAsia="Arial" w:hAnsi="Arial"/>
                <w:sz w:val="18"/>
                <w:szCs w:val="18"/>
                <w:color w:val="auto"/>
              </w:rPr>
              <w:t>55,900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2020, the December 2017 grant vested, however, no shares were awarded as performance criteria were not met. We recorded compensation expense of $0.7 million and $4.0 million, respectively, for the three and nine months ended July 31, 2021 related to the expected payout of our performance share awards that were outstanding as of July 31, 2021. We recorded compensation expense of $0.1 million for the three months ended July 31, 2020 and a decrease in compensation expense of $0.3 million for the nine months ended July 31, 2020 related to the expected payout of our performance share awards that were outstanding as of July 31, 2020.</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Performance share awards are payable in cash based upon the number of performance shares ultimately earned, and are therefore not considered outstanding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Criteria</w:t>
            </w:r>
          </w:p>
        </w:tc>
        <w:tc>
          <w:tcPr>
            <w:tcW w:w="3460" w:type="dxa"/>
            <w:vAlign w:val="bottom"/>
          </w:tcPr>
          <w:p>
            <w:pPr>
              <w:ind w:left="660"/>
              <w:spacing w:after="0"/>
              <w:rPr>
                <w:sz w:val="20"/>
                <w:szCs w:val="20"/>
                <w:color w:val="auto"/>
              </w:rPr>
            </w:pPr>
            <w:r>
              <w:rPr>
                <w:rFonts w:ascii="Arial" w:cs="Arial" w:eastAsia="Arial" w:hAnsi="Arial"/>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-20%</w:t>
            </w: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Arial" w:cs="Arial" w:eastAsia="Arial" w:hAnsi="Arial"/>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89"/>
        </w:trPr>
        <w:tc>
          <w:tcPr>
            <w:tcW w:w="78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5, 2018</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December 5, 2019</w:t>
            </w:r>
          </w:p>
        </w:tc>
        <w:tc>
          <w:tcPr>
            <w:tcW w:w="1040" w:type="dxa"/>
            <w:vAlign w:val="bottom"/>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nine months ended July 31, 2021, 32,322 performance restricted stock units vested. We recorded compensation expense related to our performance restricted stock units of approximately $0.1 million and $0.5 million, respectively, for the three and nine months ending July 31, 2021 and $0.1 million and $0.4 million, respectively, for the comparable prior year periods.</w:t>
      </w:r>
    </w:p>
    <w:p>
      <w:pPr>
        <w:spacing w:after="0" w:line="1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July 31, 2021, we have deemed 92,104 shares related to the December 2018 grant of performance restricted stock units as probable to vest.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nine months ended July 31, 2021.</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treasury stock activity during the nine months ended July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spacing w:after="0"/>
              <w:rPr>
                <w:sz w:val="16"/>
                <w:szCs w:val="16"/>
                <w:color w:val="auto"/>
              </w:rPr>
            </w:pPr>
          </w:p>
        </w:tc>
        <w:tc>
          <w:tcPr>
            <w:tcW w:w="2180" w:type="dxa"/>
            <w:vAlign w:val="bottom"/>
          </w:tcPr>
          <w:p>
            <w:pPr>
              <w:jc w:val="right"/>
              <w:ind w:right="395"/>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90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July 31, 2021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2020</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4,491,429</w:t>
            </w:r>
          </w:p>
        </w:tc>
      </w:tr>
      <w:tr>
        <w:trPr>
          <w:trHeight w:val="229"/>
        </w:trPr>
        <w:tc>
          <w:tcPr>
            <w:tcW w:w="9060" w:type="dxa"/>
            <w:vAlign w:val="bottom"/>
          </w:tcPr>
          <w:p>
            <w:pPr>
              <w:ind w:left="140"/>
              <w:spacing w:after="0"/>
              <w:rPr>
                <w:sz w:val="20"/>
                <w:szCs w:val="20"/>
                <w:color w:val="auto"/>
              </w:rPr>
            </w:pPr>
            <w:r>
              <w:rPr>
                <w:rFonts w:ascii="Arial" w:cs="Arial" w:eastAsia="Arial" w:hAnsi="Arial"/>
                <w:sz w:val="18"/>
                <w:szCs w:val="18"/>
                <w:color w:val="auto"/>
              </w:rPr>
              <w:t>Restricted stock awards 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(73,300)</w:t>
            </w:r>
          </w:p>
        </w:tc>
      </w:tr>
      <w:tr>
        <w:trPr>
          <w:trHeight w:val="230"/>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restricted stock units vested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r>
      <w:tr>
        <w:trPr>
          <w:trHeight w:val="230"/>
        </w:trPr>
        <w:tc>
          <w:tcPr>
            <w:tcW w:w="906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2180" w:type="dxa"/>
            <w:vAlign w:val="bottom"/>
          </w:tcPr>
          <w:p>
            <w:pPr>
              <w:jc w:val="right"/>
              <w:spacing w:after="0"/>
              <w:rPr>
                <w:sz w:val="20"/>
                <w:szCs w:val="20"/>
                <w:color w:val="auto"/>
              </w:rPr>
            </w:pPr>
            <w:r>
              <w:rPr>
                <w:rFonts w:ascii="Arial" w:cs="Arial" w:eastAsia="Arial" w:hAnsi="Arial"/>
                <w:sz w:val="18"/>
                <w:szCs w:val="18"/>
                <w:color w:val="auto"/>
              </w:rPr>
              <w:t>(865,393)</w:t>
            </w:r>
          </w:p>
        </w:tc>
      </w:tr>
      <w:tr>
        <w:trPr>
          <w:trHeight w:val="230"/>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repurchases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231,308</w:t>
            </w: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Balance at July 31, 2021</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3,751,722</w:t>
            </w:r>
          </w:p>
        </w:tc>
      </w:tr>
      <w:tr>
        <w:trPr>
          <w:trHeight w:val="20"/>
        </w:trPr>
        <w:tc>
          <w:tcPr>
            <w:tcW w:w="90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net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net on the condensed consolidated statements of income consisted of the following for the three and nine months ended July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96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3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July 31,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July 31,</w:t>
            </w:r>
          </w:p>
        </w:tc>
        <w:tc>
          <w:tcPr>
            <w:tcW w:w="820" w:type="dxa"/>
            <w:vAlign w:val="bottom"/>
            <w:tcBorders>
              <w:bottom w:val="single" w:sz="8" w:color="auto"/>
            </w:tcBorders>
          </w:tcPr>
          <w:p>
            <w:pPr>
              <w:spacing w:after="0"/>
              <w:rPr>
                <w:sz w:val="16"/>
                <w:szCs w:val="16"/>
                <w:color w:val="auto"/>
              </w:rPr>
            </w:pPr>
          </w:p>
        </w:tc>
      </w:tr>
      <w:tr>
        <w:trPr>
          <w:trHeight w:val="187"/>
        </w:trPr>
        <w:tc>
          <w:tcPr>
            <w:tcW w:w="63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r>
      <w:tr>
        <w:trPr>
          <w:trHeight w:val="22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 losses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Foreign currency derivative losses</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Pension service benefit</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3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188</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(220)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1"/>
        </w:trPr>
        <w:tc>
          <w:tcPr>
            <w:tcW w:w="6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7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present three reportable business segments (1) NA Fenestration, comprising three operating segments primarily focused on the fenestration market in North America including vinyl profiles, insulating glass spacers, screens &amp;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condensed consolidated financial statements. Corporate general and administrative expense allocated during the three and nine month period ended July 31, 2021 was $4.9 million and $15.6 million, respectively, and $5.2 million and $15.4 million for the comparable prior year periods.</w:t>
      </w:r>
    </w:p>
    <w:p>
      <w:pPr>
        <w:spacing w:after="0" w:line="13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Segment information for the three and nine months ended July 31, 2021 and 2020, and total assets as of July 31, 2021 and October 31, 2020 are summarized in the following table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 Cabinet Comp.</w:t>
            </w: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4260" w:type="dxa"/>
            <w:vAlign w:val="bottom"/>
            <w:tcBorders>
              <w:top w:val="single" w:sz="8" w:color="CCEEFF"/>
            </w:tcBorders>
            <w:gridSpan w:val="5"/>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Three Months Ended July 31, 2021</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4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sales</w:t>
            </w:r>
          </w:p>
        </w:tc>
        <w:tc>
          <w:tcPr>
            <w:tcW w:w="1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147,818</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71,114</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61,936</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279,877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11,464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Three Months Ended July 31, 2020</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auto"/>
            </w:tcBorders>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1"/>
              </w:rPr>
              <w:t>Nine Months Ended July 31, 2021</w:t>
            </w:r>
          </w:p>
        </w:tc>
        <w:tc>
          <w:tcPr>
            <w:tcW w:w="192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422,077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181,862</w:t>
            </w:r>
          </w:p>
        </w:tc>
        <w:tc>
          <w:tcPr>
            <w:tcW w:w="1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179,492</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(3,050)</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780,381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29,901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(14,197)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Nine Months Ended July 31, 2020</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341,432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10,139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As of July 31, 2021</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assets</w:t>
            </w:r>
          </w:p>
        </w:tc>
        <w:tc>
          <w:tcPr>
            <w:tcW w:w="2960" w:type="dxa"/>
            <w:vAlign w:val="bottom"/>
            <w:tcBorders>
              <w:top w:val="single" w:sz="8" w:color="CCEEFF"/>
            </w:tcBorders>
            <w:gridSpan w:val="4"/>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264,286</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244,381</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176,625</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33,900</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719,192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As of October 31, 2020</w:t>
            </w:r>
          </w:p>
        </w:tc>
        <w:tc>
          <w:tcPr>
            <w:tcW w:w="268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252,703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223,248</w:t>
            </w:r>
          </w:p>
        </w:tc>
        <w:tc>
          <w:tcPr>
            <w:tcW w:w="1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174,713</w:t>
            </w:r>
          </w:p>
        </w:tc>
        <w:tc>
          <w:tcPr>
            <w:tcW w:w="1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40,921</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691,585</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change in the carrying amount of goodwill by reportable business segment for the nine months ended July 31, 2021 (in thousands):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0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 Cabinet Comp.</w:t>
            </w: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Unallocated Corp.</w:t>
            </w:r>
          </w:p>
        </w:tc>
        <w:tc>
          <w:tcPr>
            <w:tcW w:w="280" w:type="dxa"/>
            <w:vAlign w:val="bottom"/>
          </w:tcPr>
          <w:p>
            <w:pPr>
              <w:spacing w:after="0"/>
              <w:rPr>
                <w:sz w:val="14"/>
                <w:szCs w:val="14"/>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68,295</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146,154</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150,487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3, “Goodwill &amp; Intangible Assets”, located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did not allocate non-operating loss or income tax benefit to the reportable segments. The following table reconciles operating income as reported above to net income for the three and nine months ended July 31, 2021 and 2020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July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July 31,</w:t>
            </w:r>
          </w:p>
        </w:tc>
        <w:tc>
          <w:tcPr>
            <w:tcW w:w="860" w:type="dxa"/>
            <w:vAlign w:val="bottom"/>
            <w:tcBorders>
              <w:bottom w:val="single" w:sz="8" w:color="auto"/>
            </w:tcBorders>
          </w:tcPr>
          <w:p>
            <w:pPr>
              <w:spacing w:after="0"/>
              <w:rPr>
                <w:sz w:val="16"/>
                <w:szCs w:val="16"/>
                <w:color w:val="auto"/>
              </w:rPr>
            </w:pPr>
          </w:p>
        </w:tc>
      </w:tr>
      <w:tr>
        <w:trPr>
          <w:trHeight w:val="187"/>
        </w:trPr>
        <w:tc>
          <w:tcPr>
            <w:tcW w:w="6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27,436</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(4,310)</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Basic and diluted earnings per share for the three and nine months ended July 31, 2021 and 2020 were calculated as follows (in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460" w:type="dxa"/>
            <w:vAlign w:val="bottom"/>
          </w:tcPr>
          <w:p>
            <w:pPr>
              <w:jc w:val="right"/>
              <w:ind w:right="72"/>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60" w:type="dxa"/>
            <w:vAlign w:val="bottom"/>
          </w:tcPr>
          <w:p>
            <w:pPr>
              <w:jc w:val="right"/>
              <w:ind w:right="43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6480" w:type="dxa"/>
            <w:vAlign w:val="bottom"/>
            <w:tcBorders>
              <w:top w:val="single" w:sz="8" w:color="CCEEFF"/>
            </w:tcBorders>
            <w:gridSpan w:val="3"/>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Three Months Ended July 31, 2021</w:t>
            </w:r>
          </w:p>
        </w:tc>
        <w:tc>
          <w:tcPr>
            <w:tcW w:w="2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13,679</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33,359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33,650</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Three Months Ended July 31, 2020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Performance shares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32,739</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Nine Months Ended July 31,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36,082</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33,194</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36,082</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33,518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1"/>
              </w:rPr>
              <w:t>Nine Months Ended July 31, 2020</w:t>
            </w:r>
          </w:p>
        </w:tc>
        <w:tc>
          <w:tcPr>
            <w:tcW w:w="4140" w:type="dxa"/>
            <w:vAlign w:val="bottom"/>
            <w:tcBorders>
              <w:bottom w:val="single" w:sz="8" w:color="CCEEFF"/>
            </w:tcBorders>
            <w:gridSpan w:val="2"/>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16,344</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32,716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Performance shares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16,344</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 following table shows anti-dilutive instruments for the three and nine months ended July 31, 2021 and 2020 (shares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3"/>
          </w:tcPr>
          <w:p>
            <w:pPr>
              <w:jc w:val="center"/>
              <w:ind w:left="819"/>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6"/>
                <w:szCs w:val="16"/>
                <w:color w:val="auto"/>
              </w:rPr>
            </w:pPr>
          </w:p>
        </w:tc>
      </w:tr>
      <w:tr>
        <w:trPr>
          <w:trHeight w:val="195"/>
        </w:trPr>
        <w:tc>
          <w:tcPr>
            <w:tcW w:w="4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July 31,</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w w:val="93"/>
              </w:rPr>
              <w:t>July 31,</w:t>
            </w:r>
          </w:p>
        </w:tc>
        <w:tc>
          <w:tcPr>
            <w:tcW w:w="900" w:type="dxa"/>
            <w:vAlign w:val="bottom"/>
            <w:tcBorders>
              <w:bottom w:val="single" w:sz="8" w:color="auto"/>
            </w:tcBorders>
          </w:tcPr>
          <w:p>
            <w:pPr>
              <w:spacing w:after="0"/>
              <w:rPr>
                <w:sz w:val="16"/>
                <w:szCs w:val="16"/>
                <w:color w:val="auto"/>
              </w:rPr>
            </w:pPr>
          </w:p>
        </w:tc>
      </w:tr>
      <w:tr>
        <w:trPr>
          <w:trHeight w:val="187"/>
        </w:trPr>
        <w:tc>
          <w:tcPr>
            <w:tcW w:w="48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awards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New Accounting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4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 xml:space="preserve">In June 2016, the Financial Accounting Standards Board issued Accounting Standards Update No.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326)</w:t>
      </w:r>
      <w:r>
        <w:rPr>
          <w:rFonts w:ascii="Arial" w:cs="Arial" w:eastAsia="Arial" w:hAnsi="Arial"/>
          <w:sz w:val="16"/>
          <w:szCs w:val="16"/>
          <w:color w:val="auto"/>
        </w:rPr>
        <w:t>. This ASU sets forth a “current expected credit loss” model, which requires the measurement of all expected credit losses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or other assets (e.g., trade receivables), held at the reporting date based on historical experience, current conditions, and reasonable supportable forecasts. We adopted this amendment on November 1, 2020, with no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Certain of the statements contained in this document and in documents incorporated by reference herein, including those made under the caption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are “forward-looking” statements as defined under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44" w:lineRule="exact"/>
        <w:rPr>
          <w:sz w:val="20"/>
          <w:szCs w:val="20"/>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from public health issues (including pandemics, such as the current COVID-19 pandemic and quarantines) on the economy, demand for our products or our operations, including the responses of governmental authorities to contain such public health issues;</w:t>
      </w:r>
    </w:p>
    <w:p>
      <w:pPr>
        <w:spacing w:after="0" w:line="21"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21"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availability and prices of raw materials;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skilled labor;</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energy costs;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 good relationship with our suppliers, subcontractors, and key customers; and</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5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 xml:space="preserve">For information on additional factors that could cause actual results to differ materially, please refer to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Annual Report on Form 10-K for the fiscal year ended October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4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U.S. government sources and other third parties. Although we believe this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accompanying unaudited condensed consolidated financial statements and related notes as of July 31, 2021, and for the three and nine months ended July 31, 2021 and 2020, included elsewhere herein. For additional information pertaining to our business, including risk factors which should be considered before investing in our common stock, refer to our Annual Report on Form 10-K for the fiscal year ended October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27"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currently have three reportable business segments: (1) North American Fenestration segment (“NA Fenestration”), comprising three operating segments, manufacturing vinyl profiles, IG spacers, screens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 and Events</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March 11, 2020, the WHO declared the outbreak of COVID-19 to be a global pandemic and recommended containment and mitigation measures. Our first priority with regard to the COVID-19 pandemic is to do everything we can to ensure the safety, health and welfare of our employees, customers, suppliers and other partners. With the implementation of health and safety practices at our facilities, we are continuing to supply the industry during this uncertain time, recognizing the essential role the construction industry plays in providing housing and necessary infrastructure.</w:t>
      </w:r>
    </w:p>
    <w:p>
      <w:pPr>
        <w:spacing w:after="0" w:line="103"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As federal, state and local governments react to the public health crisis, significant uncertainties have been created in the economy. The COVID-19 pandemic and its related effects continue to have a significant adverse effect on many sectors of the economy and we may be further impacted.</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part of our response to the COVID-19 pandemic, we have taken the following measures:</w:t>
      </w:r>
    </w:p>
    <w:p>
      <w:pPr>
        <w:spacing w:after="0" w:line="171" w:lineRule="exact"/>
        <w:rPr>
          <w:sz w:val="20"/>
          <w:szCs w:val="20"/>
          <w:color w:val="auto"/>
        </w:rPr>
      </w:pPr>
    </w:p>
    <w:p>
      <w:pPr>
        <w:jc w:val="both"/>
        <w:ind w:left="580" w:hanging="167"/>
        <w:spacing w:after="0" w:line="263"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continuing to provide our products to support critical infrastructure needs while following national, state, and local guidelines required to continue operations during the existence of the pandemic and related local declarations of emergency. However, local or regional hotspots of the pandemic could result in other locations being temporarily idled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due to the need to deep clean areas where an employee who has tested positive for COVID-19 worked or any similar impacts in our supply chain.</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work with our customers to the extent idling affects fulfillment timing.</w:t>
      </w:r>
    </w:p>
    <w:p>
      <w:pPr>
        <w:spacing w:after="0" w:line="157" w:lineRule="exact"/>
        <w:rPr>
          <w:sz w:val="20"/>
          <w:szCs w:val="20"/>
          <w:color w:val="auto"/>
        </w:rPr>
      </w:pPr>
    </w:p>
    <w:p>
      <w:pPr>
        <w:ind w:left="580" w:right="20" w:hanging="167"/>
        <w:spacing w:after="0" w:line="291" w:lineRule="auto"/>
        <w:tabs>
          <w:tab w:leader="none" w:pos="57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taken precautionary measures intended to help minimize the risk of the virus to our employees by implementing social distancing, sanitizing the workspace, and requiring employees to report any COVID-19 symptoms to ensure safety as infection surges dictate.</w:t>
      </w:r>
    </w:p>
    <w:p>
      <w:pPr>
        <w:spacing w:after="0" w:line="92" w:lineRule="exact"/>
        <w:rPr>
          <w:rFonts w:ascii="Arial" w:cs="Arial" w:eastAsia="Arial" w:hAnsi="Arial"/>
          <w:sz w:val="17"/>
          <w:szCs w:val="17"/>
          <w:color w:val="auto"/>
        </w:rPr>
      </w:pPr>
    </w:p>
    <w:p>
      <w:pPr>
        <w:jc w:val="both"/>
        <w:ind w:left="580" w:right="20" w:hanging="167"/>
        <w:spacing w:after="0" w:line="248"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August 2021, the NAHB forecasted calendar-year housing starts to be 1.6 million for the 2021, 2022 and 2023 calendar-years. In August 2021, the Ducker forecast indicated that total window shipments are expected to increase approximately 10.2% for calendar-year 2021 and approximately 3% in 2022 and 2% in 2023. The estimated increase in window shipments for the year ended December 31, 2021 includes an increase in new construction shipments of approximately 16% and an increase in R&amp;R shipments of approximately 6%. In August 2021, Catalina Research estimated that residential semi-custom cabinet demand in the U.S. is estimated to increase 18.9% in 2021 and 6.4% in 2022.</w:t>
      </w:r>
    </w:p>
    <w:p>
      <w:pPr>
        <w:spacing w:after="0" w:line="10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programs.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w:t>
      </w:r>
    </w:p>
    <w:p>
      <w:pPr>
        <w:spacing w:after="0" w:line="1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23, 2016, citizens of the U.K. voted to exit the European Union (E.U.) (referred to as Brexit). In October 2019, the U.K. and E.U. ratified a withdrawal agreement, and subsequently the U.K. left the E.U. on January 31, 2020. The E.U. rules for trade, travel, and business for the U.K. lapsed on December 31, 2020. In early 2021, the U.K. and the E.U. agreed on a 100% tariff liberalization trade agreement. There will be no tariffs or quotas on the movement of goods produced between the U.K. and the E.U. During this settling in period we could experience extended lead times for raw material imports.</w:t>
      </w:r>
    </w:p>
    <w:p>
      <w:pPr>
        <w:spacing w:after="0" w:line="10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Given the lack of comparable precedent, it is difficult for us to predict the future impacts on our U.K. based operations, which accounted for approximately 15% of our total sales for the year ended October 31, 2020. Since we manufacture and sell a majority of our U.K. products within the U.K., there is minimal risk to our ability to physically deliver goods and complete sales. The primary risk mitigation focus for our U.K. operations centers on the availability and pricing of raw materials. While we source the majority of our raw materials from within the U.K., many of the primary upstream raw materials our vendors use are being sourced from outside of the U.K., which could expose us to cross-border issues and raw material price impacts. We will mitigate this potential impact of Brexit on the import of goods to the U.K. by strategically managing our inventory levels and logistical channels.</w:t>
      </w:r>
    </w:p>
    <w:p>
      <w:pPr>
        <w:spacing w:after="0" w:line="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2021 Compared to Three Months Ended July 31, 2020</w:t>
      </w:r>
    </w:p>
    <w:p>
      <w:pPr>
        <w:spacing w:after="0" w:line="145" w:lineRule="exact"/>
        <w:rPr>
          <w:sz w:val="20"/>
          <w:szCs w:val="20"/>
          <w:color w:val="auto"/>
        </w:rPr>
      </w:pPr>
    </w:p>
    <w:p>
      <w:pPr>
        <w:jc w:val="right"/>
        <w:ind w:right="1400"/>
        <w:spacing w:after="0"/>
        <w:rPr>
          <w:sz w:val="20"/>
          <w:szCs w:val="20"/>
          <w:color w:val="auto"/>
        </w:rPr>
      </w:pPr>
      <w:r>
        <w:rPr>
          <w:rFonts w:ascii="Arial" w:cs="Arial" w:eastAsia="Arial" w:hAnsi="Arial"/>
          <w:sz w:val="16"/>
          <w:szCs w:val="16"/>
          <w:b w:val="1"/>
          <w:bCs w:val="1"/>
          <w:color w:val="auto"/>
        </w:rPr>
        <w:t>Three Months Ended July 31,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 of sales (excluding depreciation and amortization)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Selling, general and administrative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Restructuring charges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 amortization</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expense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period-over-period results by reportable segment follow.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Related to Operating Income by Reportable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Change $</w:t>
            </w:r>
          </w:p>
        </w:tc>
        <w:tc>
          <w:tcPr>
            <w:tcW w:w="1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Variance</w:t>
            </w:r>
          </w:p>
        </w:tc>
      </w:tr>
      <w:tr>
        <w:trPr>
          <w:trHeight w:val="200"/>
        </w:trPr>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17"/>
                <w:szCs w:val="17"/>
                <w:color w:val="auto"/>
              </w:rPr>
            </w:pPr>
          </w:p>
        </w:tc>
      </w:tr>
      <w:tr>
        <w:trPr>
          <w:trHeight w:val="24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67.8</w:t>
            </w:r>
          </w:p>
        </w:tc>
        <w:tc>
          <w:tcPr>
            <w:tcW w:w="13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w:t>
            </w: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3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2"/>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36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36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36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30"/>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3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-1508125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-1216660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-925195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-624840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-334010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Three Months Ended July 31,</w:t>
      </w:r>
    </w:p>
    <w:p>
      <w:pPr>
        <w:spacing w:after="0" w:line="26" w:lineRule="exact"/>
        <w:rPr>
          <w:sz w:val="20"/>
          <w:szCs w:val="20"/>
          <w:color w:val="auto"/>
        </w:rPr>
      </w:pPr>
    </w:p>
    <w:p>
      <w:pPr>
        <w:sectPr>
          <w:pgSz w:w="11900" w:h="16838" w:orient="portrait"/>
          <w:cols w:equalWidth="0" w:num="2">
            <w:col w:w="5680" w:space="720"/>
            <w:col w:w="48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Change</w:t>
            </w:r>
          </w:p>
        </w:tc>
        <w:tc>
          <w:tcPr>
            <w:tcW w:w="12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 Variance</w:t>
            </w:r>
          </w:p>
        </w:tc>
      </w:tr>
      <w:tr>
        <w:trPr>
          <w:trHeight w:val="166"/>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21%</w:t>
            </w: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(26)%</w:t>
            </w: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5"/>
              </w:rPr>
              <w:t>(12)%</w:t>
            </w: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100%</w:t>
            </w: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19%</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0" w:type="dxa"/>
            <w:vAlign w:val="bottom"/>
          </w:tcPr>
          <w:p>
            <w:pPr>
              <w:jc w:val="center"/>
              <w:ind w:left="33"/>
              <w:spacing w:after="0"/>
              <w:rPr>
                <w:sz w:val="20"/>
                <w:szCs w:val="20"/>
                <w:color w:val="auto"/>
              </w:rPr>
            </w:pPr>
            <w:r>
              <w:rPr>
                <w:rFonts w:ascii="Arial" w:cs="Arial" w:eastAsia="Arial" w:hAnsi="Arial"/>
                <w:sz w:val="18"/>
                <w:szCs w:val="18"/>
                <w:color w:val="auto"/>
                <w:w w:val="92"/>
              </w:rPr>
              <w:t>9%</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$25.3 million, or 21%, for the three months ended July 31,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$17.6 million increase in volumes, including a recovery from prior year COVID-19 impacts, and an increase in price and raw material surcharges of $7.9 million.</w:t>
      </w:r>
    </w:p>
    <w:p>
      <w:pPr>
        <w:spacing w:after="0" w:line="116"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The cost of sales increased $23.9 million, or 26%, for the three months ended July 31, 2021 compared to the same period in 2020. Cost</w:t>
      </w:r>
      <w:r>
        <w:rPr>
          <w:rFonts w:ascii="Arial" w:cs="Arial" w:eastAsia="Arial" w:hAnsi="Arial"/>
          <w:sz w:val="17"/>
          <w:szCs w:val="17"/>
          <w:i w:val="1"/>
          <w:iCs w:val="1"/>
          <w:color w:val="auto"/>
        </w:rPr>
        <w:t xml:space="preserve"> </w:t>
      </w:r>
      <w:r>
        <w:rPr>
          <w:rFonts w:ascii="Arial" w:cs="Arial" w:eastAsia="Arial" w:hAnsi="Arial"/>
          <w:sz w:val="17"/>
          <w:szCs w:val="17"/>
          <w:color w:val="auto"/>
        </w:rPr>
        <w:t>of sales, including labor, increased primarily due to higher volumes during the period as well as the inflation of raw materials.</w:t>
      </w:r>
    </w:p>
    <w:p>
      <w:pPr>
        <w:spacing w:after="0" w:line="6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increased $1.4 million, or 12%, for the three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primarily due to increased general expenses year-over-year.</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for the three months ended July 31, 2020 relate to facility lease expense for a U.S. vinyl extrusion plant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closed in January 2017. We exited the lease during December 2020.</w:t>
      </w:r>
    </w:p>
    <w:p>
      <w:pPr>
        <w:spacing w:after="0" w:line="103"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decreased $1.0 million for the three months ended July 31, 2021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in 2020, reflecting the run-off of depreciation expense related to existing assets and disposals during the period.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6"/>
                <w:szCs w:val="16"/>
                <w:b w:val="1"/>
                <w:bCs w:val="1"/>
                <w:color w:val="auto"/>
                <w:w w:val="91"/>
              </w:rPr>
              <w:t>Three Months Ended July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Change</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86%</w:t>
            </w:r>
          </w:p>
        </w:tc>
        <w:tc>
          <w:tcPr>
            <w:tcW w:w="0" w:type="dxa"/>
            <w:vAlign w:val="bottom"/>
          </w:tcPr>
          <w:p>
            <w:pPr>
              <w:spacing w:after="0"/>
              <w:rPr>
                <w:sz w:val="1"/>
                <w:szCs w:val="1"/>
                <w:color w:val="auto"/>
              </w:rPr>
            </w:pP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(91)%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5"/>
              </w:rPr>
              <w:t>(58)%</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1"/>
              </w:rPr>
              <w:t>117%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16 %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$33.0 million, or 86%, for the three months ended July 31,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$26.8 million increase in volumes, including a recovery from prior year COVID-19 impacts, $4.1 million of foreign currency rate changes, and $2.2 million of base price increases. These increases were partially offset by a temporary closure of our manufacturing facility in Germany due to flooding in July 2021.</w:t>
      </w:r>
    </w:p>
    <w:p>
      <w:pPr>
        <w:spacing w:after="0" w:line="10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increased $23.6 million, or 91%, for the three months ended July 31, 2021 compared to the same period in 2020.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sales increased primarily due to higher volumes during the period.</w:t>
      </w:r>
    </w:p>
    <w:p>
      <w:pPr>
        <w:spacing w:after="0" w:line="10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$2.8 million, or 58%, for the three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The increase is primarily due to higher compensation, general expenses and foreign currency impacts year-over-year.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6"/>
                <w:szCs w:val="16"/>
                <w:b w:val="1"/>
                <w:bCs w:val="1"/>
                <w:color w:val="auto"/>
                <w:w w:val="91"/>
              </w:rPr>
              <w:t>Three Months Ended July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Change</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(23)%</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loss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$10.0 million, or 19%, for the three months ended July 31,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an increase in price and raw material indexes of $5.9 million and a $4.1 million increase in volumes.</w:t>
      </w:r>
    </w:p>
    <w:p>
      <w:pPr>
        <w:spacing w:after="0" w:line="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$10.2 million, or 23%, for the three months ended July 31, 2021 compared to the same period in 2020.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increased primarily due to rising lumber prices, which are recovered on a lag, and higher volumes during the period.</w:t>
      </w:r>
    </w:p>
    <w:p>
      <w:pPr>
        <w:spacing w:after="0" w:line="10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increased $0.6 million, or 13%, for the three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primarily due to higher compensation and general expenses year-over-year.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6"/>
                <w:szCs w:val="16"/>
                <w:b w:val="1"/>
                <w:bCs w:val="1"/>
                <w:color w:val="auto"/>
                <w:w w:val="93"/>
              </w:rPr>
              <w:t>Three Months Ended July 31,</w:t>
            </w:r>
          </w:p>
        </w:tc>
        <w:tc>
          <w:tcPr>
            <w:tcW w:w="1220" w:type="dxa"/>
            <w:vAlign w:val="bottom"/>
            <w:tcBorders>
              <w:bottom w:val="single" w:sz="8" w:color="auto"/>
            </w:tcBorders>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r>
      <w:tr>
        <w:trPr>
          <w:trHeight w:val="166"/>
        </w:trPr>
        <w:tc>
          <w:tcPr>
            <w:tcW w:w="6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53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4"/>
                <w:szCs w:val="14"/>
                <w:color w:val="auto"/>
              </w:rPr>
            </w:pPr>
          </w:p>
        </w:tc>
      </w:tr>
      <w:tr>
        <w:trPr>
          <w:trHeight w:val="235"/>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516"/>
              <w:spacing w:after="0"/>
              <w:rPr>
                <w:sz w:val="20"/>
                <w:szCs w:val="20"/>
                <w:color w:val="auto"/>
              </w:rPr>
            </w:pPr>
            <w:r>
              <w:rPr>
                <w:rFonts w:ascii="Arial" w:cs="Arial" w:eastAsia="Arial" w:hAnsi="Arial"/>
                <w:sz w:val="18"/>
                <w:szCs w:val="18"/>
                <w:color w:val="auto"/>
                <w:w w:val="91"/>
              </w:rPr>
              <w:t>(0.4)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1"/>
              </w:rPr>
              <w:t>125%</w:t>
            </w:r>
          </w:p>
        </w:tc>
      </w:tr>
      <w:tr>
        <w:trPr>
          <w:trHeight w:val="229"/>
        </w:trPr>
        <w:tc>
          <w:tcPr>
            <w:tcW w:w="64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left="516"/>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1"/>
              </w:rPr>
              <w:t>150%</w:t>
            </w:r>
          </w:p>
        </w:tc>
      </w:tr>
      <w:tr>
        <w:trPr>
          <w:trHeight w:val="230"/>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87"/>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1"/>
              </w:rPr>
              <w:t>143%</w:t>
            </w:r>
          </w:p>
        </w:tc>
      </w:tr>
      <w:tr>
        <w:trPr>
          <w:trHeight w:val="229"/>
        </w:trPr>
        <w:tc>
          <w:tcPr>
            <w:tcW w:w="6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56"/>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9"/>
              </w:rPr>
              <w:t>—%</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91"/>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2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1"/>
              </w:rPr>
              <w:t>120%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Unallocated Corporate &amp; Other represents the elimination of inter-segment sales for the three months ended July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increased $1.0 million, or 143%,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July 31, 2021 compared to the same period in 2020. This increase is attributable to $1.7 million of medical expenses due to a higher claims experience partially offset by $0.4 million of lower compensation expense related to the valuations of our stock based compensation awards and executive bonuses during the three months ended July 31, 2021 as compared to the prior year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$0.6 million for the three months ended July 31, 2021 compared to the same period in 2020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interest rates and lower borrowings outstanding during the period.</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recorded income tax</w:t>
      </w:r>
      <w:r>
        <w:rPr>
          <w:rFonts w:ascii="Arial" w:cs="Arial" w:eastAsia="Arial" w:hAnsi="Arial"/>
          <w:sz w:val="18"/>
          <w:szCs w:val="18"/>
          <w:i w:val="1"/>
          <w:iCs w:val="1"/>
          <w:color w:val="auto"/>
        </w:rPr>
        <w:t xml:space="preserve"> </w:t>
      </w:r>
      <w:r>
        <w:rPr>
          <w:rFonts w:ascii="Arial" w:cs="Arial" w:eastAsia="Arial" w:hAnsi="Arial"/>
          <w:sz w:val="16"/>
          <w:szCs w:val="16"/>
          <w:color w:val="auto"/>
        </w:rPr>
        <w:t>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of $7.5 million on pre-tax</w:t>
      </w:r>
      <w:r>
        <w:rPr>
          <w:rFonts w:ascii="Arial" w:cs="Arial" w:eastAsia="Arial" w:hAnsi="Arial"/>
          <w:sz w:val="18"/>
          <w:szCs w:val="18"/>
          <w:i w:val="1"/>
          <w:iCs w:val="1"/>
          <w:color w:val="auto"/>
        </w:rPr>
        <w:t xml:space="preserve"> </w:t>
      </w:r>
      <w:r>
        <w:rPr>
          <w:rFonts w:ascii="Arial" w:cs="Arial" w:eastAsia="Arial" w:hAnsi="Arial"/>
          <w:sz w:val="16"/>
          <w:szCs w:val="16"/>
          <w:color w:val="auto"/>
        </w:rPr>
        <w:t>income</w:t>
      </w:r>
      <w:r>
        <w:rPr>
          <w:rFonts w:ascii="Arial" w:cs="Arial" w:eastAsia="Arial" w:hAnsi="Arial"/>
          <w:sz w:val="18"/>
          <w:szCs w:val="18"/>
          <w:i w:val="1"/>
          <w:iCs w:val="1"/>
          <w:color w:val="auto"/>
        </w:rPr>
        <w:t xml:space="preserve"> </w:t>
      </w:r>
      <w:r>
        <w:rPr>
          <w:rFonts w:ascii="Arial" w:cs="Arial" w:eastAsia="Arial" w:hAnsi="Arial"/>
          <w:sz w:val="18"/>
          <w:szCs w:val="18"/>
          <w:color w:val="auto"/>
        </w:rPr>
        <w:t>of $21.2 million for the three months ended July 31,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rate of 35.3%, and income tax </w:t>
      </w:r>
      <w:r>
        <w:rPr>
          <w:rFonts w:ascii="Arial" w:cs="Arial" w:eastAsia="Arial" w:hAnsi="Arial"/>
          <w:sz w:val="16"/>
          <w:szCs w:val="16"/>
          <w:color w:val="auto"/>
        </w:rPr>
        <w:t>expense</w:t>
      </w:r>
      <w:r>
        <w:rPr>
          <w:rFonts w:ascii="Arial" w:cs="Arial" w:eastAsia="Arial" w:hAnsi="Arial"/>
          <w:sz w:val="18"/>
          <w:szCs w:val="18"/>
          <w:color w:val="auto"/>
        </w:rPr>
        <w:t xml:space="preserve"> of $4.4 million on pre-tax </w:t>
      </w:r>
      <w:r>
        <w:rPr>
          <w:rFonts w:ascii="Arial" w:cs="Arial" w:eastAsia="Arial" w:hAnsi="Arial"/>
          <w:sz w:val="16"/>
          <w:szCs w:val="16"/>
          <w:color w:val="auto"/>
        </w:rPr>
        <w:t>income</w:t>
      </w:r>
      <w:r>
        <w:rPr>
          <w:rFonts w:ascii="Arial" w:cs="Arial" w:eastAsia="Arial" w:hAnsi="Arial"/>
          <w:sz w:val="18"/>
          <w:szCs w:val="18"/>
          <w:color w:val="auto"/>
        </w:rPr>
        <w:t xml:space="preserve"> of $15.2 million for the three months ended July 31, 2020, an effective rate of 28.6%. The $3.1 million increase in income tax expense year-over-year was primarily driven by the remeasurement of our deferred income tax assets and liabilities related to the increase in the corporate tax rate in the U.K. from 19% to 25%.</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Nine Months Ended </w:t>
      </w:r>
      <w:r>
        <w:rPr>
          <w:rFonts w:ascii="Arial" w:cs="Arial" w:eastAsia="Arial" w:hAnsi="Arial"/>
          <w:sz w:val="17"/>
          <w:szCs w:val="17"/>
          <w:b w:val="1"/>
          <w:bCs w:val="1"/>
          <w:i w:val="1"/>
          <w:iCs w:val="1"/>
          <w:color w:val="auto"/>
        </w:rPr>
        <w:t>July 31, 2021 Compared to</w:t>
      </w:r>
      <w:r>
        <w:rPr>
          <w:rFonts w:ascii="Arial" w:cs="Arial" w:eastAsia="Arial" w:hAnsi="Arial"/>
          <w:sz w:val="16"/>
          <w:szCs w:val="16"/>
          <w:b w:val="1"/>
          <w:bCs w:val="1"/>
          <w:i w:val="1"/>
          <w:iCs w:val="1"/>
          <w:color w:val="auto"/>
        </w:rPr>
        <w:t xml:space="preserve"> Nine Months Ended July 31, </w:t>
      </w:r>
      <w:r>
        <w:rPr>
          <w:rFonts w:ascii="Arial" w:cs="Arial" w:eastAsia="Arial" w:hAnsi="Arial"/>
          <w:sz w:val="17"/>
          <w:szCs w:val="17"/>
          <w:b w:val="1"/>
          <w:bCs w:val="1"/>
          <w:i w:val="1"/>
          <w:iCs w:val="1"/>
          <w:color w:val="auto"/>
        </w:rPr>
        <w:t>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5"/>
              </w:rPr>
              <w:t>Nine Months Ended July 31,</w:t>
            </w:r>
          </w:p>
        </w:tc>
        <w:tc>
          <w:tcPr>
            <w:tcW w:w="1360" w:type="dxa"/>
            <w:vAlign w:val="bottom"/>
            <w:tcBorders>
              <w:bottom w:val="single" w:sz="8" w:color="auto"/>
            </w:tcBorders>
          </w:tcPr>
          <w:p>
            <w:pPr>
              <w:spacing w:after="0"/>
              <w:rPr>
                <w:sz w:val="18"/>
                <w:szCs w:val="18"/>
                <w:color w:val="auto"/>
              </w:rPr>
            </w:pPr>
          </w:p>
        </w:tc>
      </w:tr>
      <w:tr>
        <w:trPr>
          <w:trHeight w:val="206"/>
        </w:trPr>
        <w:tc>
          <w:tcPr>
            <w:tcW w:w="6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Change $</w:t>
            </w: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Variance</w:t>
            </w:r>
          </w:p>
        </w:tc>
      </w:tr>
      <w:tr>
        <w:trPr>
          <w:trHeight w:val="210"/>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18"/>
                <w:szCs w:val="18"/>
                <w:color w:val="auto"/>
              </w:rPr>
            </w:pPr>
          </w:p>
        </w:tc>
      </w:tr>
      <w:tr>
        <w:trPr>
          <w:trHeight w:val="23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Cost of sales (excluding 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135.1</w:t>
            </w: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36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36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6"/>
                <w:szCs w:val="16"/>
                <w:b w:val="1"/>
                <w:bCs w:val="1"/>
                <w:color w:val="auto"/>
                <w:w w:val="92"/>
              </w:rPr>
              <w:t>Nine Months Ended July 31,</w:t>
            </w:r>
          </w:p>
        </w:tc>
        <w:tc>
          <w:tcPr>
            <w:tcW w:w="1200" w:type="dxa"/>
            <w:vAlign w:val="bottom"/>
            <w:tcBorders>
              <w:bottom w:val="single" w:sz="8" w:color="auto"/>
            </w:tcBorders>
          </w:tcPr>
          <w:p>
            <w:pPr>
              <w:spacing w:after="0"/>
              <w:rPr>
                <w:sz w:val="18"/>
                <w:szCs w:val="18"/>
                <w:color w:val="auto"/>
              </w:rPr>
            </w:pPr>
          </w:p>
        </w:tc>
      </w:tr>
      <w:tr>
        <w:trPr>
          <w:trHeight w:val="184"/>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 Variance</w:t>
            </w:r>
          </w:p>
        </w:tc>
      </w:tr>
      <w:tr>
        <w:trPr>
          <w:trHeight w:val="165"/>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24%</w:t>
            </w: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(23)%</w:t>
            </w:r>
          </w:p>
        </w:tc>
      </w:tr>
      <w:tr>
        <w:trPr>
          <w:trHeight w:val="229"/>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1"/>
              </w:rPr>
              <w:t>(11)%</w:t>
            </w: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100%</w:t>
            </w:r>
          </w:p>
        </w:tc>
      </w:tr>
      <w:tr>
        <w:trPr>
          <w:trHeight w:val="229"/>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21%</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4"/>
              </w:rPr>
              <w:t>89%</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$80.6 million, or 24%, for the nine months ended July 31,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$66.8 million increase in volumes, including a recovery from prior year COVID-19 impacts, and an increase in price and raw material surcharges of $13.9 million.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The cost of sales increased $61.8 million, or 23%, for the nine months ended July 31, 2021 as compared to the same period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sales, including labor, increased primarily due to higher volumes during the period as well as the inflation of raw materials.</w:t>
      </w:r>
    </w:p>
    <w:p>
      <w:pPr>
        <w:spacing w:after="0" w:line="130"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increased $3.9 million, or 11%, for the nine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as compared to the same period in 2020. This increase was due primarily to higher compensation year-over-year.</w:t>
      </w:r>
    </w:p>
    <w:p>
      <w:pPr>
        <w:spacing w:after="0" w:line="10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for the nine months ended July 31, 2020 relate to facility lease expense for a U.S. vinyl extrusion plant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closed in January 2017. We exited the lease during December 2020.</w:t>
      </w:r>
    </w:p>
    <w:p>
      <w:pPr>
        <w:spacing w:after="0" w:line="103"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decreased $3.9 million for the nine months ended July 31, 2021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same period in 2020, reflecting the run-off of depreciation expense related to existing assets and disposals during the period.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6"/>
                <w:szCs w:val="16"/>
                <w:b w:val="1"/>
                <w:bCs w:val="1"/>
                <w:color w:val="auto"/>
                <w:w w:val="92"/>
              </w:rPr>
              <w:t>Nine Months Ended July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c>
          <w:tcPr>
            <w:tcW w:w="0" w:type="dxa"/>
            <w:vAlign w:val="bottom"/>
          </w:tcPr>
          <w:p>
            <w:pPr>
              <w:spacing w:after="0"/>
              <w:rPr>
                <w:sz w:val="1"/>
                <w:szCs w:val="1"/>
                <w:color w:val="auto"/>
              </w:rPr>
            </w:pPr>
          </w:p>
        </w:tc>
      </w:tr>
      <w:tr>
        <w:trPr>
          <w:trHeight w:val="165"/>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4"/>
          </w:tcPr>
          <w:p>
            <w:pPr>
              <w:jc w:val="right"/>
              <w:ind w:right="654"/>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w:t>
            </w:r>
          </w:p>
        </w:tc>
        <w:tc>
          <w:tcPr>
            <w:tcW w:w="1200" w:type="dxa"/>
            <w:vAlign w:val="bottom"/>
          </w:tcPr>
          <w:p>
            <w:pPr>
              <w:jc w:val="center"/>
              <w:ind w:left="14"/>
              <w:spacing w:after="0"/>
              <w:rPr>
                <w:sz w:val="20"/>
                <w:szCs w:val="20"/>
                <w:color w:val="auto"/>
              </w:rPr>
            </w:pPr>
            <w:r>
              <w:rPr>
                <w:rFonts w:ascii="Arial" w:cs="Arial" w:eastAsia="Arial" w:hAnsi="Arial"/>
                <w:sz w:val="18"/>
                <w:szCs w:val="18"/>
                <w:color w:val="auto"/>
                <w:w w:val="95"/>
              </w:rPr>
              <w:t>(70)%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(35)%</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1"/>
              </w:rPr>
              <w:t>229%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16 %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$77.7 million, or 75%, comparing the nine months ended July 31, 2021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$64.4 million increase in volumes, including a recovery from prior year COVID-19 impacts and the reopening of manufacturing facilities in the U.K. which were forced to close for several weeks in the second quarter of 2020, $8.6 million of foreign currency rate changes, and $4.6 million of base price increases.</w:t>
      </w:r>
    </w:p>
    <w:p>
      <w:pPr>
        <w:spacing w:after="0" w:line="11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increased $50.5 million, or 70%, for the nine months ended July 31, 2021 compared to the same period in 2020.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sales increased primarily due to higher volumes during the period.</w:t>
      </w:r>
    </w:p>
    <w:p>
      <w:pPr>
        <w:spacing w:after="0" w:line="103"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$5.6 million, or 35%, for the nine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The increase is primarily due to higher compensation, general expenses and foreign currency impacts year-over-year.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6"/>
                <w:szCs w:val="16"/>
                <w:b w:val="1"/>
                <w:bCs w:val="1"/>
                <w:color w:val="auto"/>
                <w:w w:val="92"/>
              </w:rPr>
              <w:t>Nine Months Ended July 31,</w:t>
            </w:r>
          </w:p>
        </w:tc>
        <w:tc>
          <w:tcPr>
            <w:tcW w:w="1200" w:type="dxa"/>
            <w:vAlign w:val="bottom"/>
            <w:tcBorders>
              <w:bottom w:val="single" w:sz="8" w:color="auto"/>
            </w:tcBorders>
          </w:tcPr>
          <w:p>
            <w:pPr>
              <w:spacing w:after="0"/>
              <w:rPr>
                <w:sz w:val="18"/>
                <w:szCs w:val="18"/>
                <w:color w:val="auto"/>
              </w:rPr>
            </w:pPr>
          </w:p>
        </w:tc>
      </w:tr>
      <w:tr>
        <w:trPr>
          <w:trHeight w:val="184"/>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r>
      <w:tr>
        <w:trPr>
          <w:trHeight w:val="165"/>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18%</w:t>
            </w: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(18)%</w:t>
            </w:r>
          </w:p>
        </w:tc>
      </w:tr>
      <w:tr>
        <w:trPr>
          <w:trHeight w:val="229"/>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5"/>
              </w:rPr>
              <w:t>(15)%</w:t>
            </w: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100%</w:t>
            </w:r>
          </w:p>
        </w:tc>
      </w:tr>
      <w:tr>
        <w:trPr>
          <w:trHeight w:val="229"/>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1%</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4"/>
              </w:rPr>
              <w:t>62%</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margin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13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$26.9 million, or 18%, for the nine months ended July 31,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$19.8 million increase in volumes and an increase in price and raw material indexes of $7.1 million.</w:t>
      </w:r>
    </w:p>
    <w:p>
      <w:pPr>
        <w:spacing w:after="0" w:line="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$23.2 million, or 18%, for the nine months ended July 31, 2021 compared with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higher volumes and rising lumber prices, which are recovered on a lag.</w:t>
      </w:r>
    </w:p>
    <w:p>
      <w:pPr>
        <w:spacing w:after="0" w:line="103"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increased $2.0 million, or 15%, for the nine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primarily due to higher compensation and general expenses year-over-year.</w:t>
      </w:r>
    </w:p>
    <w:p>
      <w:pPr>
        <w:spacing w:after="0" w:line="10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of $0.3 million in the nine months ended July 31, 2020 related to severance, equipment moving,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charges incurred for a plant closure.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6"/>
                <w:szCs w:val="16"/>
                <w:b w:val="1"/>
                <w:bCs w:val="1"/>
                <w:color w:val="auto"/>
                <w:w w:val="93"/>
              </w:rPr>
              <w:t>Nine Months Ended July 31,</w:t>
            </w:r>
          </w:p>
        </w:tc>
        <w:tc>
          <w:tcPr>
            <w:tcW w:w="1220" w:type="dxa"/>
            <w:vAlign w:val="bottom"/>
            <w:tcBorders>
              <w:bottom w:val="single" w:sz="8" w:color="auto"/>
            </w:tcBorders>
          </w:tcPr>
          <w:p>
            <w:pPr>
              <w:spacing w:after="0"/>
              <w:rPr>
                <w:sz w:val="18"/>
                <w:szCs w:val="18"/>
                <w:color w:val="auto"/>
              </w:rPr>
            </w:pPr>
          </w:p>
        </w:tc>
      </w:tr>
      <w:tr>
        <w:trPr>
          <w:trHeight w:val="184"/>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 Change</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r>
      <w:tr>
        <w:trPr>
          <w:trHeight w:val="165"/>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534"/>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4"/>
                <w:szCs w:val="14"/>
                <w:color w:val="auto"/>
              </w:rPr>
            </w:pPr>
          </w:p>
        </w:tc>
      </w:tr>
      <w:tr>
        <w:trPr>
          <w:trHeight w:val="235"/>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497"/>
              <w:spacing w:after="0"/>
              <w:rPr>
                <w:sz w:val="20"/>
                <w:szCs w:val="20"/>
                <w:color w:val="auto"/>
              </w:rPr>
            </w:pPr>
            <w:r>
              <w:rPr>
                <w:rFonts w:ascii="Arial" w:cs="Arial" w:eastAsia="Arial" w:hAnsi="Arial"/>
                <w:sz w:val="18"/>
                <w:szCs w:val="18"/>
                <w:color w:val="auto"/>
                <w:w w:val="91"/>
              </w:rPr>
              <w:t>(2.1)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5"/>
              </w:rPr>
              <w:t>(43)%</w:t>
            </w:r>
          </w:p>
        </w:tc>
      </w:tr>
      <w:tr>
        <w:trPr>
          <w:trHeight w:val="230"/>
        </w:trPr>
        <w:tc>
          <w:tcPr>
            <w:tcW w:w="64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left="497"/>
              <w:spacing w:after="0"/>
              <w:rPr>
                <w:sz w:val="20"/>
                <w:szCs w:val="20"/>
                <w:color w:val="auto"/>
              </w:rPr>
            </w:pPr>
            <w:r>
              <w:rPr>
                <w:rFonts w:ascii="Arial" w:cs="Arial" w:eastAsia="Arial" w:hAnsi="Arial"/>
                <w:sz w:val="18"/>
                <w:szCs w:val="18"/>
                <w:color w:val="auto"/>
                <w:w w:val="91"/>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5"/>
              </w:rPr>
              <w:t>(33)%</w:t>
            </w:r>
          </w:p>
        </w:tc>
      </w:tr>
      <w:tr>
        <w:trPr>
          <w:trHeight w:val="230"/>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97"/>
              <w:spacing w:after="0"/>
              <w:rPr>
                <w:sz w:val="20"/>
                <w:szCs w:val="20"/>
                <w:color w:val="auto"/>
              </w:rPr>
            </w:pPr>
            <w:r>
              <w:rPr>
                <w:rFonts w:ascii="Arial" w:cs="Arial" w:eastAsia="Arial" w:hAnsi="Arial"/>
                <w:sz w:val="18"/>
                <w:szCs w:val="18"/>
                <w:color w:val="auto"/>
                <w:w w:val="91"/>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2"/>
              </w:rPr>
              <w:t>(875)%</w:t>
            </w:r>
          </w:p>
        </w:tc>
      </w:tr>
      <w:tr>
        <w:trPr>
          <w:trHeight w:val="229"/>
        </w:trPr>
        <w:tc>
          <w:tcPr>
            <w:tcW w:w="6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537"/>
              <w:spacing w:after="0"/>
              <w:rPr>
                <w:sz w:val="20"/>
                <w:szCs w:val="20"/>
                <w:color w:val="auto"/>
              </w:rPr>
            </w:pPr>
            <w:r>
              <w:rPr>
                <w:rFonts w:ascii="Arial" w:cs="Arial" w:eastAsia="Arial" w:hAnsi="Arial"/>
                <w:sz w:val="18"/>
                <w:szCs w:val="18"/>
                <w:color w:val="auto"/>
                <w:w w:val="87"/>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4"/>
              </w:rPr>
              <w:t>25%</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537"/>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2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3"/>
              </w:rPr>
              <w:t>(4,800)%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Unallocated Corporate &amp; Other represents the elimination of inter-segment sales for the nine months ended July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increased $14.0 million, or 875%,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July 31, 2021 compared to the same period in 2020. This increase is attributable to $9.3 million of higher compensation expense related to the valuations of our stock based compensation awards and executive bonuses, $4.8 million of medical expenses due to a higher claims experience during nine months ended July 31, 2021 as compared to the prior year period, and $1.4 million of loss on the sale of a plant. These increases were partially offset by a reduction in executive severance and legal charges.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10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$2.3 million for the nine months ended July 31, 2021 compared to the same period in 2020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interest rates and lower borrowings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recorded income tax</w:t>
      </w:r>
      <w:r>
        <w:rPr>
          <w:rFonts w:ascii="Arial" w:cs="Arial" w:eastAsia="Arial" w:hAnsi="Arial"/>
          <w:sz w:val="16"/>
          <w:szCs w:val="16"/>
          <w:i w:val="1"/>
          <w:iCs w:val="1"/>
          <w:color w:val="auto"/>
        </w:rPr>
        <w:t xml:space="preserve"> </w:t>
      </w:r>
      <w:r>
        <w:rPr>
          <w:rFonts w:ascii="Arial" w:cs="Arial" w:eastAsia="Arial" w:hAnsi="Arial"/>
          <w:sz w:val="14"/>
          <w:szCs w:val="14"/>
          <w:color w:val="auto"/>
        </w:rPr>
        <w:t>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$17.4 million on pre-tax</w:t>
      </w:r>
      <w:r>
        <w:rPr>
          <w:rFonts w:ascii="Arial" w:cs="Arial" w:eastAsia="Arial" w:hAnsi="Arial"/>
          <w:sz w:val="16"/>
          <w:szCs w:val="16"/>
          <w:i w:val="1"/>
          <w:iCs w:val="1"/>
          <w:color w:val="auto"/>
        </w:rPr>
        <w:t xml:space="preserve"> </w:t>
      </w:r>
      <w:r>
        <w:rPr>
          <w:rFonts w:ascii="Arial" w:cs="Arial" w:eastAsia="Arial" w:hAnsi="Arial"/>
          <w:sz w:val="14"/>
          <w:szCs w:val="14"/>
          <w:color w:val="auto"/>
        </w:rPr>
        <w:t>income</w:t>
      </w:r>
      <w:r>
        <w:rPr>
          <w:rFonts w:ascii="Arial" w:cs="Arial" w:eastAsia="Arial" w:hAnsi="Arial"/>
          <w:sz w:val="16"/>
          <w:szCs w:val="16"/>
          <w:i w:val="1"/>
          <w:iCs w:val="1"/>
          <w:color w:val="auto"/>
        </w:rPr>
        <w:t xml:space="preserve"> </w:t>
      </w:r>
      <w:r>
        <w:rPr>
          <w:rFonts w:ascii="Arial" w:cs="Arial" w:eastAsia="Arial" w:hAnsi="Arial"/>
          <w:sz w:val="16"/>
          <w:szCs w:val="16"/>
          <w:color w:val="auto"/>
        </w:rPr>
        <w:t>of $53.5 million for the nine months ended July 31, 2021,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rate of 32.5%, and income tax </w:t>
      </w:r>
      <w:r>
        <w:rPr>
          <w:rFonts w:ascii="Arial" w:cs="Arial" w:eastAsia="Arial" w:hAnsi="Arial"/>
          <w:sz w:val="14"/>
          <w:szCs w:val="14"/>
          <w:color w:val="auto"/>
        </w:rPr>
        <w:t>expense</w:t>
      </w:r>
      <w:r>
        <w:rPr>
          <w:rFonts w:ascii="Arial" w:cs="Arial" w:eastAsia="Arial" w:hAnsi="Arial"/>
          <w:sz w:val="16"/>
          <w:szCs w:val="16"/>
          <w:color w:val="auto"/>
        </w:rPr>
        <w:t xml:space="preserve"> of $6.9 million on a pre-tax income of $23.2 million for the nine months ended July 31, 2020, an effective</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rate of 29.7%. The $10.5 million increase in income tax expense year-over-year was primarily driven by the increase in pre-tax book income as well as the remeasurement of our deferred income tax assets and liabilities related to the increase in the corporate tax rate in the U.K. from 19% to 25%.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Historically, our principal sources of funds have been cash on hand, cash flow from operations, and borrowings under our credit facilities.</w:t>
      </w:r>
    </w:p>
    <w:p>
      <w:pPr>
        <w:spacing w:after="0" w:line="16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maintain a $325.0 million revolving credit facility (the Credit Facility) that matures in 2023 (5-year term) and requires interest payments calculated at a variable market rate depending upon our Consolidated Leverage Ratio. The applicable rate during the nine months ended July 31, 2021 ranged from LIBOR + 1.50% to LIBOR + 1.25%. Our cost of capital could increase depending upon the Consolidated Leverage Ratio at the end of any given quarter. In addition to the Consolidated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$20.0 million per year). We are amortizing deferred financing fees of $0.7 million straight-line over the remaining term of the facility. For further details of the Credit Facility, refer to Note 4, “Debt and Finance Lease Obligations” to the accompanying unaudited condensed consolidated financial statements contained elsewhere herein.</w:t>
      </w:r>
    </w:p>
    <w:p>
      <w:pPr>
        <w:spacing w:after="0" w:line="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July 31, 2021, we had $43.7 million of cash and equivalents, $58.0 million outstanding under the Credit Facility, $4.5 million of outstanding letters of credit and $16.0 million outstanding under finance leases and other debt. We had $262.5 million available for use under the Credit Facility at July 31, 2021.</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repatriated $17.7 million and $12.6 million of foreign cash during the nine months ended July 31, 2021 and 2020, respectively. We expect to repatriate excess cash moving forward and use the funds to retire debt or meet current working capital needs. In the U.K., we insure against a portion of our credit losses. We believe our business model, our current cash reserves and the recent steps we have taken to strengthen our balance sheet leave us well-positioned to manage our business and remain in compliance with our debt covenants.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nine months ended July 31, 2021 and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960" w:type="dxa"/>
            <w:vAlign w:val="bottom"/>
          </w:tcPr>
          <w:p>
            <w:pPr>
              <w:spacing w:after="0"/>
              <w:rPr>
                <w:sz w:val="16"/>
                <w:szCs w:val="16"/>
                <w:color w:val="auto"/>
              </w:rPr>
            </w:pPr>
          </w:p>
        </w:tc>
      </w:tr>
      <w:tr>
        <w:trPr>
          <w:trHeight w:val="195"/>
        </w:trPr>
        <w:tc>
          <w:tcPr>
            <w:tcW w:w="79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July 31,</w:t>
            </w:r>
          </w:p>
        </w:tc>
        <w:tc>
          <w:tcPr>
            <w:tcW w:w="960" w:type="dxa"/>
            <w:vAlign w:val="bottom"/>
            <w:tcBorders>
              <w:bottom w:val="single" w:sz="8" w:color="auto"/>
            </w:tcBorders>
          </w:tcPr>
          <w:p>
            <w:pPr>
              <w:spacing w:after="0"/>
              <w:rPr>
                <w:sz w:val="16"/>
                <w:szCs w:val="16"/>
                <w:color w:val="auto"/>
              </w:rPr>
            </w:pPr>
          </w:p>
        </w:tc>
      </w:tr>
      <w:tr>
        <w:trPr>
          <w:trHeight w:val="187"/>
        </w:trPr>
        <w:tc>
          <w:tcPr>
            <w:tcW w:w="79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3"/>
        </w:trPr>
        <w:tc>
          <w:tcPr>
            <w:tcW w:w="7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960" w:type="dxa"/>
            <w:vAlign w:val="bottom"/>
          </w:tcPr>
          <w:p>
            <w:pPr>
              <w:spacing w:after="0"/>
              <w:rPr>
                <w:sz w:val="15"/>
                <w:szCs w:val="15"/>
                <w:color w:val="auto"/>
              </w:rPr>
            </w:pPr>
          </w:p>
        </w:tc>
      </w:tr>
      <w:tr>
        <w:trPr>
          <w:trHeight w:val="23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47.4</w:t>
            </w:r>
          </w:p>
        </w:tc>
        <w:tc>
          <w:tcPr>
            <w:tcW w:w="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5"/>
              </w:rPr>
              <w:t>47.6</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(12.9)</w:t>
            </w:r>
          </w:p>
        </w:tc>
        <w:tc>
          <w:tcPr>
            <w:tcW w:w="7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395"/>
              <w:spacing w:after="0"/>
              <w:rPr>
                <w:sz w:val="20"/>
                <w:szCs w:val="20"/>
                <w:color w:val="auto"/>
              </w:rPr>
            </w:pPr>
            <w:r>
              <w:rPr>
                <w:rFonts w:ascii="Arial" w:cs="Arial" w:eastAsia="Arial" w:hAnsi="Arial"/>
                <w:sz w:val="18"/>
                <w:szCs w:val="18"/>
                <w:color w:val="auto"/>
                <w:w w:val="93"/>
              </w:rPr>
              <w:t>(20.5)</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financing activities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w:t>
            </w:r>
          </w:p>
        </w:tc>
        <w:tc>
          <w:tcPr>
            <w:tcW w:w="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93"/>
              </w:rPr>
              <w:t>(17.4)</w:t>
            </w:r>
          </w:p>
        </w:tc>
      </w:tr>
    </w:tbl>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for the nine months ended July 31, 2021 decreased $0.2 million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July 31, 2020. The decrease in cash provided by operating activities is primarily due to an increase in working capital partially offset by higher net income year-over-year due to increased demand. The increase in working capital was largely driven by an inventory build and raw material price inflation.</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decreased $7.6 million for the nine months ended July 31, 2021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as a result of lower capital expenditures and an increase in proceeds from disposition of capital assets.</w:t>
      </w:r>
    </w:p>
    <w:p>
      <w:pPr>
        <w:spacing w:after="0" w:line="8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$43.5 million for the nine months ended July 31, 2021, which included $45.5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repayments, $8.0 million of dividends paid to our shareholders, and $5.7 million of treasury stock repurchases. Our use of cash was partially offset by $16.3 million of proceeds from stock option exercises.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nine months ended July 31, 2021 and 2020, we repatriated $17.7 million and $12.6 million, respectively, of foreign earnings from our foreign locations. We maintain cash balances in foreign countries which total $16.8 million as of July 31,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a description of our critical accounting policies and estimates, see our Annual Report on Form 10-K for the fiscal year ended October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and estimates have not changed materially during the nine months ended July 31, 2021.</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2"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standards setting bodies that we adopt as of the specified effective date. Unless otherwise discussed, we believe the impact of any recently issued standards that are not yet effective are either not applicable to us at this time or will not have a material impact on our condensed consolidated financial statements upon adoption.</w:t>
      </w:r>
    </w:p>
    <w:p>
      <w:pPr>
        <w:spacing w:after="0" w:line="6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 xml:space="preserve">In June 2016, the FASB issued Accounting Standards Update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This ASU sets forth a “current expected credit loss” model, which requires the measurement of all expected credit losses for financial instruments or other assets (e.g., trade receivables), held at the reporting date based on historical experience, current conditions, and reasonable supportable forecasts. We adopted this amendment on November 1, 2020, with no material impact on our condensed consolidated financial statements.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 to our Annual Report on Form 10-K for the fiscal year ended October 31, 2020 for additional standards we are currently evaluating.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July 31, 2021, a hypothetical 1.0% increase or decrease in interest rates could result in approximately $0.6 million of additional pretax charges or credit to our net income per year. This sensitivity is impacted by the amount of borrowings under our credit facilities, and amounts outstanding under finance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6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corresponding foreign currency derivatives recorded on the Condensed Consolidated Balance Sheet as of October 31, 2020 or July 31, 2021.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To the extent the gain or loss on the derivative instrument offsets the gain or loss from the re-measurement of the underlying foreign currency balance, changes in exchange rates should have no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2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is included within our Annual Report on Form 10-K for the fiscal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July 31, 2021. Based on that evaluation, the Chief Executive Officer and Chief Financial Officer concluded that, as of July 31, 2021, the disclosure controls and procedures are effective.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July 31, 2021, we repurchased common stock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(a) Total Number of</w:t>
            </w:r>
          </w:p>
        </w:tc>
        <w:tc>
          <w:tcPr>
            <w:tcW w:w="120" w:type="dxa"/>
            <w:vAlign w:val="bottom"/>
          </w:tcPr>
          <w:p>
            <w:pPr>
              <w:spacing w:after="0"/>
              <w:rPr>
                <w:sz w:val="14"/>
                <w:szCs w:val="14"/>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(b) Average Price Paid</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2"/>
              </w:rPr>
              <w:t>(c) Total Number of Shares</w:t>
            </w:r>
          </w:p>
        </w:tc>
        <w:tc>
          <w:tcPr>
            <w:tcW w:w="100" w:type="dxa"/>
            <w:vAlign w:val="bottom"/>
          </w:tcPr>
          <w:p>
            <w:pPr>
              <w:spacing w:after="0"/>
              <w:rPr>
                <w:sz w:val="14"/>
                <w:szCs w:val="14"/>
                <w:color w:val="auto"/>
              </w:rPr>
            </w:pPr>
          </w:p>
        </w:tc>
        <w:tc>
          <w:tcPr>
            <w:tcW w:w="24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8"/>
              </w:rPr>
              <w:t>(d) Maximum US Dollars Remaining</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Period</w:t>
            </w:r>
          </w:p>
        </w:tc>
        <w:tc>
          <w:tcPr>
            <w:tcW w:w="1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a Publicly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w w:val="93"/>
              </w:rPr>
              <w:t>that May Yet Be Used to Purchase</w:t>
            </w:r>
          </w:p>
        </w:tc>
        <w:tc>
          <w:tcPr>
            <w:tcW w:w="0" w:type="dxa"/>
            <w:vAlign w:val="bottom"/>
          </w:tcPr>
          <w:p>
            <w:pPr>
              <w:spacing w:after="0"/>
              <w:rPr>
                <w:sz w:val="1"/>
                <w:szCs w:val="1"/>
                <w:color w:val="auto"/>
              </w:rPr>
            </w:pPr>
          </w:p>
        </w:tc>
      </w:tr>
      <w:tr>
        <w:trPr>
          <w:trHeight w:val="189"/>
        </w:trPr>
        <w:tc>
          <w:tcPr>
            <w:tcW w:w="3120" w:type="dxa"/>
            <w:vAlign w:val="bottom"/>
            <w:gridSpan w:val="2"/>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per Share</w:t>
            </w:r>
          </w:p>
        </w:tc>
        <w:tc>
          <w:tcPr>
            <w:tcW w:w="21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Announced Plans or Programs </w:t>
            </w:r>
            <w:r>
              <w:rPr>
                <w:rFonts w:ascii="Arial" w:cs="Arial" w:eastAsia="Arial" w:hAnsi="Arial"/>
                <w:sz w:val="18"/>
                <w:szCs w:val="18"/>
                <w:b w:val="1"/>
                <w:bCs w:val="1"/>
                <w:color w:val="auto"/>
                <w:w w:val="91"/>
                <w:vertAlign w:val="superscript"/>
              </w:rPr>
              <w:t>(1)</w:t>
            </w:r>
          </w:p>
        </w:tc>
        <w:tc>
          <w:tcPr>
            <w:tcW w:w="100" w:type="dxa"/>
            <w:vAlign w:val="bottom"/>
          </w:tcPr>
          <w:p>
            <w:pPr>
              <w:spacing w:after="0"/>
              <w:rPr>
                <w:sz w:val="16"/>
                <w:szCs w:val="16"/>
                <w:color w:val="auto"/>
              </w:rPr>
            </w:pPr>
          </w:p>
        </w:tc>
        <w:tc>
          <w:tcPr>
            <w:tcW w:w="2460" w:type="dxa"/>
            <w:vAlign w:val="bottom"/>
            <w:gridSpan w:val="2"/>
          </w:tcPr>
          <w:p>
            <w:pPr>
              <w:ind w:left="40"/>
              <w:spacing w:after="0" w:line="189" w:lineRule="exact"/>
              <w:rPr>
                <w:sz w:val="20"/>
                <w:szCs w:val="20"/>
                <w:color w:val="auto"/>
              </w:rPr>
            </w:pPr>
            <w:r>
              <w:rPr>
                <w:rFonts w:ascii="Arial" w:cs="Arial" w:eastAsia="Arial" w:hAnsi="Arial"/>
                <w:sz w:val="14"/>
                <w:szCs w:val="14"/>
                <w:b w:val="1"/>
                <w:bCs w:val="1"/>
                <w:color w:val="auto"/>
                <w:w w:val="91"/>
              </w:rPr>
              <w:t xml:space="preserve">Shares Under the Plans or Programs </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22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2021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7,214,720</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June 2021</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7,214,720</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2021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5,441,697</w:t>
            </w:r>
          </w:p>
        </w:tc>
        <w:tc>
          <w:tcPr>
            <w:tcW w:w="0" w:type="dxa"/>
            <w:vAlign w:val="bottom"/>
          </w:tcPr>
          <w:p>
            <w:pPr>
              <w:spacing w:after="0"/>
              <w:rPr>
                <w:sz w:val="1"/>
                <w:szCs w:val="1"/>
                <w:color w:val="auto"/>
              </w:rPr>
            </w:pPr>
          </w:p>
        </w:tc>
      </w:tr>
      <w:tr>
        <w:trPr>
          <w:trHeight w:val="22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13"/>
        <w:spacing w:after="0" w:line="254" w:lineRule="auto"/>
        <w:tabs>
          <w:tab w:leader="none" w:pos="596"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repurchased.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5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Arial" w:cs="Arial" w:eastAsia="Arial" w:hAnsi="Arial"/>
          <w:sz w:val="18"/>
          <w:szCs w:val="18"/>
          <w:color w:val="auto"/>
        </w:rPr>
        <w:t>Date: September 3, 2021</w:t>
      </w:r>
      <w:r>
        <w:rPr>
          <w:sz w:val="20"/>
          <w:szCs w:val="20"/>
          <w:color w:val="auto"/>
        </w:rPr>
        <w:tab/>
      </w:r>
      <w:r>
        <w:rPr>
          <w:rFonts w:ascii="Arial" w:cs="Arial" w:eastAsia="Arial" w:hAnsi="Arial"/>
          <w:sz w:val="16"/>
          <w:szCs w:val="16"/>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42348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Scott M. Zuehlke</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Vice President - Chief Financial Officer &amp; Treasurer</w:t>
      </w:r>
    </w:p>
    <w:p>
      <w:pPr>
        <w:jc w:val="center"/>
        <w:ind w:right="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EXHIBIT INDEX</w:t>
      </w:r>
    </w:p>
    <w:p>
      <w:pPr>
        <w:spacing w:after="0" w:line="238"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 of Exhibits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760"/>
        <w:spacing w:after="0"/>
        <w:rPr>
          <w:rFonts w:ascii="Arial" w:cs="Arial" w:eastAsia="Arial" w:hAnsi="Arial"/>
          <w:sz w:val="17"/>
          <w:szCs w:val="17"/>
          <w:u w:val="single" w:color="auto"/>
          <w:color w:val="0000FF"/>
        </w:rPr>
      </w:pPr>
      <w:hyperlink r:id="rId66">
        <w:r>
          <w:rPr>
            <w:rFonts w:ascii="Arial" w:cs="Arial" w:eastAsia="Arial" w:hAnsi="Arial"/>
            <w:sz w:val="17"/>
            <w:szCs w:val="17"/>
            <w:u w:val="single" w:color="auto"/>
            <w:color w:val="0000FF"/>
          </w:rPr>
          <w:t>3.1</w:t>
        </w:r>
      </w:hyperlink>
    </w:p>
    <w:p>
      <w:pPr>
        <w:spacing w:after="0" w:line="200" w:lineRule="exact"/>
        <w:rPr>
          <w:sz w:val="20"/>
          <w:szCs w:val="20"/>
          <w:color w:val="auto"/>
        </w:rPr>
      </w:pPr>
    </w:p>
    <w:p>
      <w:pPr>
        <w:spacing w:after="0" w:line="239" w:lineRule="exact"/>
        <w:rPr>
          <w:sz w:val="20"/>
          <w:szCs w:val="20"/>
          <w:color w:val="auto"/>
        </w:rPr>
      </w:pPr>
    </w:p>
    <w:p>
      <w:pPr>
        <w:ind w:left="760"/>
        <w:spacing w:after="0"/>
        <w:rPr>
          <w:rFonts w:ascii="Arial" w:cs="Arial" w:eastAsia="Arial" w:hAnsi="Arial"/>
          <w:sz w:val="17"/>
          <w:szCs w:val="17"/>
          <w:u w:val="single" w:color="auto"/>
          <w:color w:val="0000FF"/>
        </w:rPr>
      </w:pPr>
      <w:hyperlink r:id="rId67">
        <w:r>
          <w:rPr>
            <w:rFonts w:ascii="Arial" w:cs="Arial" w:eastAsia="Arial" w:hAnsi="Arial"/>
            <w:sz w:val="17"/>
            <w:szCs w:val="17"/>
            <w:u w:val="single" w:color="auto"/>
            <w:color w:val="0000FF"/>
          </w:rPr>
          <w:t>3.2</w:t>
        </w:r>
      </w:hyperlink>
    </w:p>
    <w:p>
      <w:pPr>
        <w:spacing w:after="0" w:line="200" w:lineRule="exact"/>
        <w:rPr>
          <w:sz w:val="20"/>
          <w:szCs w:val="20"/>
          <w:color w:val="auto"/>
        </w:rPr>
      </w:pPr>
    </w:p>
    <w:p>
      <w:pPr>
        <w:spacing w:after="0" w:line="239" w:lineRule="exact"/>
        <w:rPr>
          <w:sz w:val="20"/>
          <w:szCs w:val="20"/>
          <w:color w:val="auto"/>
        </w:rPr>
      </w:pPr>
    </w:p>
    <w:p>
      <w:pPr>
        <w:ind w:left="760"/>
        <w:spacing w:after="0"/>
        <w:rPr>
          <w:rFonts w:ascii="Arial" w:cs="Arial" w:eastAsia="Arial" w:hAnsi="Arial"/>
          <w:sz w:val="17"/>
          <w:szCs w:val="17"/>
          <w:u w:val="single" w:color="auto"/>
          <w:color w:val="0000FF"/>
        </w:rPr>
      </w:pPr>
      <w:hyperlink r:id="rId68">
        <w:r>
          <w:rPr>
            <w:rFonts w:ascii="Arial" w:cs="Arial" w:eastAsia="Arial" w:hAnsi="Arial"/>
            <w:sz w:val="17"/>
            <w:szCs w:val="17"/>
            <w:u w:val="single" w:color="auto"/>
            <w:color w:val="0000FF"/>
          </w:rPr>
          <w:t>4.1</w:t>
        </w:r>
      </w:hyperlink>
    </w:p>
    <w:p>
      <w:pPr>
        <w:spacing w:after="0" w:line="200" w:lineRule="exact"/>
        <w:rPr>
          <w:sz w:val="20"/>
          <w:szCs w:val="20"/>
          <w:color w:val="auto"/>
        </w:rPr>
      </w:pPr>
    </w:p>
    <w:p>
      <w:pPr>
        <w:spacing w:after="0" w:line="239" w:lineRule="exact"/>
        <w:rPr>
          <w:sz w:val="20"/>
          <w:szCs w:val="20"/>
          <w:color w:val="auto"/>
        </w:rPr>
      </w:pPr>
    </w:p>
    <w:p>
      <w:pPr>
        <w:ind w:left="760"/>
        <w:spacing w:after="0"/>
        <w:rPr>
          <w:rFonts w:ascii="Arial" w:cs="Arial" w:eastAsia="Arial" w:hAnsi="Arial"/>
          <w:sz w:val="17"/>
          <w:szCs w:val="17"/>
          <w:u w:val="single" w:color="auto"/>
          <w:color w:val="0000FF"/>
        </w:rPr>
      </w:pPr>
      <w:hyperlink r:id="rId69">
        <w:r>
          <w:rPr>
            <w:rFonts w:ascii="Arial" w:cs="Arial" w:eastAsia="Arial" w:hAnsi="Arial"/>
            <w:sz w:val="17"/>
            <w:szCs w:val="17"/>
            <w:u w:val="single" w:color="auto"/>
            <w:color w:val="0000FF"/>
          </w:rPr>
          <w:t>4.2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both"/>
        <w:ind w:right="40"/>
        <w:spacing w:after="0" w:line="224" w:lineRule="auto"/>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Restated Certificate of Incorporation of the Registrant dated as of March 4, 2016, filed as Exhibit 3.1 of the Registrant’s Current</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Report on Form 8-K (Reg. No. 001-33913) as filed with the Securities and Exchange Commission on March 7, 2016, and</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jc w:val="both"/>
        <w:ind w:right="40"/>
        <w:spacing w:after="0" w:line="224" w:lineRule="auto"/>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Fourth Amended and Restated Bylaws of the Registrant dated as of February 27, 2020, filed as Exhibit 3.2 of the Registrant's</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Quarterly Report on Form 10-Q (Reg. No. 001-33913) for the quarter ended January 31, 2020, and incorporated herein by</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jc w:val="both"/>
        <w:ind w:right="40"/>
        <w:spacing w:after="0" w:line="224" w:lineRule="auto"/>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Form of Registrant’s Common Stock certificate, filed as Exhibit 4.1 of Amendment No. 1 to the Registrant’s Registration</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Statement on Form 10 (Reg. No. 001-33913) as filed with the Securities and Exchange Commission on February 14, 2008, and</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incorporated herein by reference.</w:t>
        </w:r>
      </w:hyperlink>
    </w:p>
    <w:p>
      <w:pPr>
        <w:spacing w:after="0" w:line="149" w:lineRule="exact"/>
        <w:rPr>
          <w:rFonts w:ascii="Arial" w:cs="Arial" w:eastAsia="Arial" w:hAnsi="Arial"/>
          <w:sz w:val="18"/>
          <w:szCs w:val="18"/>
          <w:u w:val="single" w:color="auto"/>
          <w:color w:val="0000FF"/>
        </w:rPr>
      </w:pPr>
    </w:p>
    <w:p>
      <w:pPr>
        <w:jc w:val="both"/>
        <w:ind w:right="40"/>
        <w:spacing w:after="0" w:line="237" w:lineRule="auto"/>
        <w:rPr>
          <w:rFonts w:ascii="Arial" w:cs="Arial" w:eastAsia="Arial" w:hAnsi="Arial"/>
          <w:sz w:val="17"/>
          <w:szCs w:val="17"/>
          <w:u w:val="single" w:color="auto"/>
          <w:color w:val="0000FF"/>
        </w:rPr>
      </w:pPr>
      <w:hyperlink r:id="rId69">
        <w:r>
          <w:rPr>
            <w:rFonts w:ascii="Arial" w:cs="Arial" w:eastAsia="Arial" w:hAnsi="Arial"/>
            <w:sz w:val="17"/>
            <w:szCs w:val="17"/>
            <w:u w:val="single" w:color="auto"/>
            <w:color w:val="0000FF"/>
          </w:rPr>
          <w:t>Credit Agreement dated as of October 18, 2018, by and among the Company; the lenders party thereto; and Wells Fargo Bank,</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National Association, as Agent; filed as Exhibit 10.1 of the Registrant's Current Report on Form 8-K (Reg. No. 001-33913) as</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filed with the Securities and Exchange Commission on October 18, 2018, and incorporated herein by reference.</w:t>
        </w:r>
      </w:hyperlink>
    </w:p>
    <w:p>
      <w:pPr>
        <w:spacing w:after="0" w:line="119" w:lineRule="exact"/>
        <w:rPr>
          <w:rFonts w:ascii="Arial" w:cs="Arial" w:eastAsia="Arial" w:hAnsi="Arial"/>
          <w:sz w:val="17"/>
          <w:szCs w:val="17"/>
          <w:u w:val="single" w:color="auto"/>
          <w:color w:val="0000FF"/>
        </w:rPr>
      </w:pPr>
    </w:p>
    <w:p>
      <w:pPr>
        <w:sectPr>
          <w:pgSz w:w="11900" w:h="16838" w:orient="portrait"/>
          <w:cols w:equalWidth="0" w:num="2">
            <w:col w:w="1140" w:space="720"/>
            <w:col w:w="9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gridSpan w:val="4"/>
          </w:tcPr>
          <w:p>
            <w:pPr>
              <w:jc w:val="center"/>
              <w:ind w:left="590"/>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3</w:t>
              </w:r>
            </w:hyperlink>
          </w:p>
        </w:tc>
        <w:tc>
          <w:tcPr>
            <w:tcW w:w="780" w:type="dxa"/>
            <w:vAlign w:val="bottom"/>
          </w:tcPr>
          <w:p>
            <w:pPr>
              <w:spacing w:after="0"/>
              <w:rPr>
                <w:sz w:val="17"/>
                <w:szCs w:val="17"/>
                <w:color w:val="auto"/>
              </w:rPr>
            </w:pPr>
          </w:p>
        </w:tc>
        <w:tc>
          <w:tcPr>
            <w:tcW w:w="9380" w:type="dxa"/>
            <w:vAlign w:val="bottom"/>
            <w:gridSpan w:val="6"/>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Amendment No. 1 to Amended and Restated Credit Agreement, by and among the Company; the lenders party thereto; and Wells</w:t>
              </w:r>
            </w:hyperlink>
          </w:p>
        </w:tc>
      </w:tr>
      <w:tr>
        <w:trPr>
          <w:trHeight w:val="156"/>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Fargo Bank, National Association, as Agent (portions redacted). filed as Exhibit 4.3 of the Registrant's Quarterly Report on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60" w:type="dxa"/>
            <w:vAlign w:val="bottom"/>
            <w:gridSpan w:val="5"/>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10-Q (Reg. No. 001-33913) for the quarter ended July 31, 2020, and incorporated herein by reference</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63"/>
        </w:trPr>
        <w:tc>
          <w:tcPr>
            <w:tcW w:w="1080" w:type="dxa"/>
            <w:vAlign w:val="bottom"/>
            <w:gridSpan w:val="4"/>
          </w:tcPr>
          <w:p>
            <w:pPr>
              <w:jc w:val="center"/>
              <w:ind w:left="590"/>
              <w:spacing w:after="0"/>
              <w:rPr>
                <w:rFonts w:ascii="Arial" w:cs="Arial" w:eastAsia="Arial" w:hAnsi="Arial"/>
                <w:sz w:val="18"/>
                <w:szCs w:val="18"/>
                <w:color w:val="0000FF"/>
                <w:w w:val="95"/>
              </w:rPr>
            </w:pPr>
            <w:hyperlink w:anchor="page41">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780" w:type="dxa"/>
            <w:vAlign w:val="bottom"/>
          </w:tcPr>
          <w:p>
            <w:pPr>
              <w:spacing w:after="0"/>
              <w:rPr>
                <w:sz w:val="22"/>
                <w:szCs w:val="22"/>
                <w:color w:val="auto"/>
              </w:rPr>
            </w:pPr>
          </w:p>
        </w:tc>
        <w:tc>
          <w:tcPr>
            <w:tcW w:w="7320" w:type="dxa"/>
            <w:vAlign w:val="bottom"/>
            <w:tcBorders>
              <w:top w:val="single" w:sz="8" w:color="0000FF"/>
            </w:tcBorders>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by chief executive officer pursuant to Rule 13a-14(a)/15d-14(a).</w:t>
              </w:r>
            </w:hyperlink>
          </w:p>
        </w:tc>
        <w:tc>
          <w:tcPr>
            <w:tcW w:w="2060" w:type="dxa"/>
            <w:vAlign w:val="bottom"/>
            <w:gridSpan w:val="3"/>
          </w:tcPr>
          <w:p>
            <w:pPr>
              <w:spacing w:after="0"/>
              <w:rPr>
                <w:sz w:val="22"/>
                <w:szCs w:val="22"/>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r>
      <w:tr>
        <w:trPr>
          <w:trHeight w:val="264"/>
        </w:trPr>
        <w:tc>
          <w:tcPr>
            <w:tcW w:w="1080" w:type="dxa"/>
            <w:vAlign w:val="bottom"/>
            <w:gridSpan w:val="4"/>
          </w:tcPr>
          <w:p>
            <w:pPr>
              <w:jc w:val="center"/>
              <w:ind w:left="590"/>
              <w:spacing w:after="0"/>
              <w:rPr>
                <w:rFonts w:ascii="Arial" w:cs="Arial" w:eastAsia="Arial" w:hAnsi="Arial"/>
                <w:sz w:val="18"/>
                <w:szCs w:val="18"/>
                <w:color w:val="0000FF"/>
                <w:w w:val="95"/>
              </w:rPr>
            </w:pPr>
            <w:hyperlink w:anchor="page42">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780" w:type="dxa"/>
            <w:vAlign w:val="bottom"/>
          </w:tcPr>
          <w:p>
            <w:pPr>
              <w:spacing w:after="0"/>
              <w:rPr>
                <w:sz w:val="22"/>
                <w:szCs w:val="22"/>
                <w:color w:val="auto"/>
              </w:rPr>
            </w:pPr>
          </w:p>
        </w:tc>
        <w:tc>
          <w:tcPr>
            <w:tcW w:w="558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42">
              <w:r>
                <w:rPr>
                  <w:rFonts w:ascii="Arial" w:cs="Arial" w:eastAsia="Arial" w:hAnsi="Arial"/>
                  <w:sz w:val="18"/>
                  <w:szCs w:val="18"/>
                  <w:color w:val="0000FF"/>
                  <w:w w:val="93"/>
                </w:rPr>
                <w:t>Certification by chief financial officer pursuant to Rule 13a-14(a)/15d-14(a).</w:t>
              </w:r>
            </w:hyperlink>
          </w:p>
        </w:tc>
        <w:tc>
          <w:tcPr>
            <w:tcW w:w="3800" w:type="dxa"/>
            <w:vAlign w:val="bottom"/>
            <w:gridSpan w:val="4"/>
          </w:tcPr>
          <w:p>
            <w:pPr>
              <w:spacing w:after="0"/>
              <w:rPr>
                <w:sz w:val="22"/>
                <w:szCs w:val="22"/>
                <w:color w:val="auto"/>
              </w:rPr>
            </w:pPr>
          </w:p>
        </w:tc>
      </w:tr>
      <w:tr>
        <w:trPr>
          <w:trHeight w:val="263"/>
        </w:trPr>
        <w:tc>
          <w:tcPr>
            <w:tcW w:w="1080" w:type="dxa"/>
            <w:vAlign w:val="bottom"/>
            <w:gridSpan w:val="4"/>
          </w:tcPr>
          <w:p>
            <w:pPr>
              <w:jc w:val="center"/>
              <w:ind w:left="590"/>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hyperlink>
          </w:p>
        </w:tc>
        <w:tc>
          <w:tcPr>
            <w:tcW w:w="780" w:type="dxa"/>
            <w:vAlign w:val="bottom"/>
          </w:tcPr>
          <w:p>
            <w:pPr>
              <w:spacing w:after="0"/>
              <w:rPr>
                <w:sz w:val="22"/>
                <w:szCs w:val="22"/>
                <w:color w:val="auto"/>
              </w:rPr>
            </w:pPr>
          </w:p>
        </w:tc>
        <w:tc>
          <w:tcPr>
            <w:tcW w:w="9380" w:type="dxa"/>
            <w:vAlign w:val="bottom"/>
            <w:gridSpan w:val="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pursuant to Section 906 of the Sarbanes-Oxley Act of 2002.</w:t>
              </w:r>
            </w:hyperlink>
          </w:p>
        </w:tc>
      </w:tr>
      <w:tr>
        <w:trPr>
          <w:trHeight w:val="20"/>
        </w:trPr>
        <w:tc>
          <w:tcPr>
            <w:tcW w:w="68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r>
      <w:tr>
        <w:trPr>
          <w:trHeight w:val="250"/>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*101.INS</w:t>
            </w:r>
          </w:p>
        </w:tc>
        <w:tc>
          <w:tcPr>
            <w:tcW w:w="9380" w:type="dxa"/>
            <w:vAlign w:val="bottom"/>
            <w:gridSpan w:val="6"/>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its XBRL tags are</w:t>
            </w:r>
          </w:p>
        </w:tc>
      </w:tr>
      <w:tr>
        <w:trPr>
          <w:trHeight w:val="230"/>
        </w:trPr>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38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*101.SCH</w:t>
            </w:r>
          </w:p>
        </w:tc>
        <w:tc>
          <w:tcPr>
            <w:tcW w:w="93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8"/>
              </w:rPr>
              <w:t>*101.CAL</w:t>
            </w:r>
          </w:p>
        </w:tc>
        <w:tc>
          <w:tcPr>
            <w:tcW w:w="93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7"/>
              </w:rPr>
              <w:t>*101.DEF</w:t>
            </w:r>
          </w:p>
        </w:tc>
        <w:tc>
          <w:tcPr>
            <w:tcW w:w="93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9"/>
              </w:rPr>
              <w:t>*101.LAB</w:t>
            </w:r>
          </w:p>
        </w:tc>
        <w:tc>
          <w:tcPr>
            <w:tcW w:w="93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*101.PRE</w:t>
            </w:r>
          </w:p>
        </w:tc>
        <w:tc>
          <w:tcPr>
            <w:tcW w:w="93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27"/>
        </w:trPr>
        <w:tc>
          <w:tcPr>
            <w:tcW w:w="1860" w:type="dxa"/>
            <w:vAlign w:val="bottom"/>
            <w:gridSpan w:val="5"/>
          </w:tcPr>
          <w:p>
            <w:pPr>
              <w:spacing w:after="0"/>
              <w:rPr>
                <w:sz w:val="20"/>
                <w:szCs w:val="20"/>
                <w:color w:val="auto"/>
              </w:rPr>
            </w:pPr>
            <w:r>
              <w:rPr>
                <w:rFonts w:ascii="Arial" w:cs="Arial" w:eastAsia="Arial" w:hAnsi="Arial"/>
                <w:sz w:val="18"/>
                <w:szCs w:val="18"/>
                <w:color w:val="auto"/>
              </w:rPr>
              <w:t>* Filed herewith</w:t>
            </w:r>
          </w:p>
        </w:tc>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2021</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L. Wilson</w:t>
      </w:r>
    </w:p>
    <w:p>
      <w:pPr>
        <w:ind w:left="40"/>
        <w:spacing w:after="0" w:line="203" w:lineRule="auto"/>
        <w:rPr>
          <w:sz w:val="20"/>
          <w:szCs w:val="20"/>
          <w:color w:val="auto"/>
        </w:rPr>
      </w:pPr>
      <w:r>
        <w:rPr>
          <w:rFonts w:ascii="Arial" w:cs="Arial" w:eastAsia="Arial" w:hAnsi="Arial"/>
          <w:sz w:val="18"/>
          <w:szCs w:val="18"/>
          <w:color w:val="auto"/>
        </w:rPr>
        <w:t>President and Chief Executive Officer</w:t>
      </w: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2021</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Zuehlke</w:t>
      </w:r>
    </w:p>
    <w:p>
      <w:pPr>
        <w:ind w:left="40"/>
        <w:spacing w:after="0" w:line="203" w:lineRule="auto"/>
        <w:rPr>
          <w:sz w:val="20"/>
          <w:szCs w:val="20"/>
          <w:color w:val="auto"/>
        </w:rPr>
      </w:pPr>
      <w:r>
        <w:rPr>
          <w:rFonts w:ascii="Arial" w:cs="Arial" w:eastAsia="Arial" w:hAnsi="Arial"/>
          <w:sz w:val="18"/>
          <w:szCs w:val="18"/>
          <w:color w:val="auto"/>
        </w:rPr>
        <w:t>Senior Vice President - Chief Financial Officer and Treasurer</w:t>
      </w: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hereby certify that the accompanying Quarterly Report on Form 10-Q of Quanex Building Products Corporation for the quarter ended July 31, 2021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September 3, 2021</w:t>
            </w:r>
          </w:p>
        </w:tc>
        <w:tc>
          <w:tcPr>
            <w:tcW w:w="5400" w:type="dxa"/>
            <w:vAlign w:val="bottom"/>
          </w:tcPr>
          <w:p>
            <w:pPr>
              <w:spacing w:after="0"/>
              <w:rPr>
                <w:sz w:val="20"/>
                <w:szCs w:val="20"/>
                <w:color w:val="auto"/>
              </w:rPr>
            </w:pPr>
          </w:p>
        </w:tc>
      </w:tr>
      <w:tr>
        <w:trPr>
          <w:trHeight w:val="499"/>
        </w:trPr>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 George L. Wilson</w:t>
            </w: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Scott M. Zuehlke</w:t>
            </w:r>
          </w:p>
        </w:tc>
      </w:tr>
      <w:tr>
        <w:trPr>
          <w:trHeight w:val="176"/>
        </w:trPr>
        <w:tc>
          <w:tcPr>
            <w:tcW w:w="5840" w:type="dxa"/>
            <w:vAlign w:val="bottom"/>
            <w:gridSpan w:val="2"/>
          </w:tcPr>
          <w:p>
            <w:pPr>
              <w:jc w:val="center"/>
              <w:ind w:right="420"/>
              <w:spacing w:after="0" w:line="176" w:lineRule="exact"/>
              <w:rPr>
                <w:sz w:val="20"/>
                <w:szCs w:val="20"/>
                <w:color w:val="auto"/>
              </w:rPr>
            </w:pPr>
            <w:r>
              <w:rPr>
                <w:rFonts w:ascii="Arial" w:cs="Arial" w:eastAsia="Arial" w:hAnsi="Arial"/>
                <w:sz w:val="18"/>
                <w:szCs w:val="18"/>
                <w:i w:val="1"/>
                <w:iCs w:val="1"/>
                <w:color w:val="auto"/>
                <w:w w:val="91"/>
              </w:rPr>
              <w:t>President and Chief Executive Officer</w:t>
            </w:r>
          </w:p>
        </w:tc>
        <w:tc>
          <w:tcPr>
            <w:tcW w:w="54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Senior Vice President—Chief Financial Officer and Treasurer</w:t>
            </w:r>
          </w:p>
        </w:tc>
      </w:tr>
      <w:tr>
        <w:trPr>
          <w:trHeight w:val="230"/>
        </w:trPr>
        <w:tc>
          <w:tcPr>
            <w:tcW w:w="58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4"/>
              </w:rPr>
              <w:t>(Principal Executive Officer)</w:t>
            </w: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66" Type="http://schemas.openxmlformats.org/officeDocument/2006/relationships/hyperlink" Target="http://www.sec.gov/Archives/edgar/data/1423221/000119312516495257/d156158dex31.htm" TargetMode="External"/><Relationship Id="rId67" Type="http://schemas.openxmlformats.org/officeDocument/2006/relationships/hyperlink" Target="http://www.sec.gov/Archives/edgar/data/1423221/000142322120000005/nx01312020ex32.htm" TargetMode="External"/><Relationship Id="rId68" Type="http://schemas.openxmlformats.org/officeDocument/2006/relationships/hyperlink" Target="http://www.sec.gov/Archives/edgar/data/1423221/000095012908000988/h52992a1exv4w1.htm" TargetMode="External"/><Relationship Id="rId69" Type="http://schemas.openxmlformats.org/officeDocument/2006/relationships/hyperlink" Target="http://www.sec.gov/Archives/edgar/data/1423221/000119312518302063/d637291dex101.htm" TargetMode="External"/><Relationship Id="rId70" Type="http://schemas.openxmlformats.org/officeDocument/2006/relationships/hyperlink" Target="http://www.sec.gov/Archives/edgar/data/1423221/000142322120000016/exhibit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2021-09-03T15:20:32Z</dcterms:created>
  <dcterms:modified xsi:type="dcterms:W3CDTF">2021-09-03T15:20:32Z</dcterms:modified>
</cp:coreProperties>
</file>