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413385</wp:posOffset>
            </wp:positionV>
            <wp:extent cx="6604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379095</wp:posOffset>
            </wp:positionV>
            <wp:extent cx="6604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 w:lineRule="exact"/>
        <w:rPr>
          <w:sz w:val="24"/>
          <w:szCs w:val="24"/>
          <w:color w:val="auto"/>
        </w:rPr>
      </w:pPr>
    </w:p>
    <w:p>
      <w:pPr>
        <w:spacing w:after="0" w:line="322" w:lineRule="exact"/>
        <w:tabs>
          <w:tab w:leader="none" w:pos="1000" w:val="left"/>
        </w:tabs>
        <w:rPr>
          <w:sz w:val="20"/>
          <w:szCs w:val="20"/>
          <w:color w:val="auto"/>
        </w:rPr>
      </w:pPr>
      <w:r>
        <w:rPr>
          <w:rFonts w:ascii="Times New Roman" w:cs="Times New Roman" w:eastAsia="Times New Roman" w:hAnsi="Times New Roman"/>
          <w:sz w:val="28"/>
          <w:szCs w:val="28"/>
          <w:color w:val="auto"/>
          <w:vertAlign w:val="subscript"/>
        </w:rPr>
        <w:t>(Mark One)</w:t>
      </w:r>
      <w:r>
        <w:rPr>
          <w:rFonts w:ascii="Times New Roman" w:cs="Times New Roman" w:eastAsia="Times New Roman" w:hAnsi="Times New Roman"/>
          <w:sz w:val="17"/>
          <w:szCs w:val="17"/>
          <w:b w:val="1"/>
          <w:bCs w:val="1"/>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Fiscal Year Ended October 31, 2023</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2"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1-33913</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QUANEX BUILDING PRODUCTS 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 w:lineRule="exact"/>
        <w:rPr>
          <w:sz w:val="24"/>
          <w:szCs w:val="24"/>
          <w:color w:val="auto"/>
        </w:rPr>
      </w:pPr>
    </w:p>
    <w:p>
      <w:pPr>
        <w:ind w:left="258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26-1561397</w:t>
      </w:r>
    </w:p>
    <w:p>
      <w:pPr>
        <w:spacing w:after="0" w:line="31" w:lineRule="exact"/>
        <w:rPr>
          <w:sz w:val="24"/>
          <w:szCs w:val="24"/>
          <w:color w:val="auto"/>
        </w:rPr>
      </w:pPr>
    </w:p>
    <w:p>
      <w:pPr>
        <w:ind w:left="110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b w:val="1"/>
          <w:bCs w:val="1"/>
          <w:color w:val="auto"/>
        </w:rPr>
        <w:t>(I.R.S. Employer Identification No.)</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2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6"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388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6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4"/>
        </w:trPr>
        <w:tc>
          <w:tcPr>
            <w:tcW w:w="388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260" w:type="dxa"/>
            <w:vAlign w:val="bottom"/>
          </w:tcPr>
          <w:p>
            <w:pPr>
              <w:jc w:val="center"/>
              <w:ind w:left="436"/>
              <w:spacing w:after="0"/>
              <w:rPr>
                <w:sz w:val="20"/>
                <w:szCs w:val="20"/>
                <w:color w:val="auto"/>
              </w:rPr>
            </w:pPr>
            <w:r>
              <w:rPr>
                <w:rFonts w:ascii="Times New Roman" w:cs="Times New Roman" w:eastAsia="Times New Roman" w:hAnsi="Times New Roman"/>
                <w:sz w:val="18"/>
                <w:szCs w:val="18"/>
                <w:b w:val="1"/>
                <w:bCs w:val="1"/>
                <w:color w:val="auto"/>
                <w:w w:val="99"/>
              </w:rPr>
              <w:t>NX</w:t>
            </w:r>
          </w:p>
        </w:tc>
        <w:tc>
          <w:tcPr>
            <w:tcW w:w="600" w:type="dxa"/>
            <w:vAlign w:val="bottom"/>
          </w:tcPr>
          <w:p>
            <w:pPr>
              <w:spacing w:after="0"/>
              <w:rPr>
                <w:sz w:val="22"/>
                <w:szCs w:val="22"/>
                <w:color w:val="auto"/>
              </w:rPr>
            </w:pPr>
          </w:p>
        </w:tc>
        <w:tc>
          <w:tcPr>
            <w:tcW w:w="2360" w:type="dxa"/>
            <w:vAlign w:val="bottom"/>
            <w:gridSpan w:val="2"/>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77"/>
        </w:trPr>
        <w:tc>
          <w:tcPr>
            <w:tcW w:w="8400" w:type="dxa"/>
            <w:vAlign w:val="bottom"/>
            <w:gridSpan w:val="4"/>
          </w:tcPr>
          <w:p>
            <w:pPr>
              <w:jc w:val="center"/>
              <w:ind w:left="245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326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600" w:type="dxa"/>
            <w:vAlign w:val="bottom"/>
          </w:tcPr>
          <w:p>
            <w:pPr>
              <w:spacing w:after="0"/>
              <w:rPr>
                <w:sz w:val="20"/>
                <w:szCs w:val="20"/>
                <w:color w:val="auto"/>
              </w:rPr>
            </w:pPr>
          </w:p>
        </w:tc>
        <w:tc>
          <w:tcPr>
            <w:tcW w:w="6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p>
        </w:tc>
        <w:tc>
          <w:tcPr>
            <w:tcW w:w="170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3"/>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p>
        </w:tc>
        <w:tc>
          <w:tcPr>
            <w:tcW w:w="1700" w:type="dxa"/>
            <w:vAlign w:val="bottom"/>
          </w:tcPr>
          <w:p>
            <w:pPr>
              <w:jc w:val="center"/>
              <w:ind w:right="879"/>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ind w:firstLine="161"/>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19"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74"/>
        </w:trPr>
        <w:tc>
          <w:tcPr>
            <w:tcW w:w="30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62"/>
        </w:trPr>
        <w:tc>
          <w:tcPr>
            <w:tcW w:w="106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period for complying with any new or revised financial</w:t>
            </w:r>
          </w:p>
        </w:tc>
        <w:tc>
          <w:tcPr>
            <w:tcW w:w="3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standards provided pursuant to Section 7(a)(2)(B) of the Securities Act.</w:t>
            </w:r>
          </w:p>
        </w:tc>
        <w:tc>
          <w:tcPr>
            <w:tcW w:w="48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160"/>
        <w:spacing w:after="0" w:line="196" w:lineRule="exact"/>
        <w:tabs>
          <w:tab w:leader="none" w:pos="6960" w:val="left"/>
          <w:tab w:leader="none" w:pos="7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18" w:lineRule="exact"/>
        <w:rPr>
          <w:sz w:val="24"/>
          <w:szCs w:val="24"/>
          <w:color w:val="auto"/>
        </w:rPr>
      </w:pPr>
    </w:p>
    <w:p>
      <w:pPr>
        <w:ind w:right="20" w:firstLine="161"/>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jc w:val="both"/>
        <w:ind w:right="20" w:firstLine="161"/>
        <w:spacing w:after="0" w:line="23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2" w:lineRule="exact"/>
        <w:rPr>
          <w:sz w:val="24"/>
          <w:szCs w:val="24"/>
          <w:color w:val="auto"/>
        </w:rPr>
      </w:pPr>
    </w:p>
    <w:p>
      <w:pPr>
        <w:jc w:val="both"/>
        <w:ind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April 30, 2023, computed by reference to the closing price for the Common Stock on the New York Stock Exchange, Inc. on that date, was $618,523,093. Such calculation assumes only the registrant’s officers and directors at such date were affiliates of the registrant.</w:t>
      </w:r>
    </w:p>
    <w:p>
      <w:pPr>
        <w:spacing w:after="0" w:line="1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At December 7, 2023 there were outstanding 33,002,119 shares of the registrant’s Common Stock, $0.01 par value.</w:t>
      </w:r>
    </w:p>
    <w:p>
      <w:pPr>
        <w:spacing w:after="0" w:line="2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731" w:right="339" w:bottom="1440" w:gutter="0" w:footer="0" w:header="0"/>
        </w:sectPr>
      </w:pPr>
    </w:p>
    <w:p>
      <w:pPr>
        <w:spacing w:after="0" w:line="31" w:lineRule="exact"/>
        <w:rPr>
          <w:sz w:val="24"/>
          <w:szCs w:val="24"/>
          <w:color w:val="auto"/>
        </w:rPr>
      </w:pPr>
    </w:p>
    <w:p>
      <w:pPr>
        <w:jc w:val="center"/>
        <w:ind w:left="20"/>
        <w:spacing w:after="0" w:line="26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2024 Annual Meeting of Stockholders to be filed with the Commission within 120 days of October 31, 2023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518795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36830</wp:posOffset>
            </wp:positionV>
            <wp:extent cx="660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2540</wp:posOffset>
            </wp:positionV>
            <wp:extent cx="660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0" cy="8255"/>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7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968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8</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16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28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30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and Disagreements with Accountants on Accounting and Financial Disclosure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8"/>
        </w:trPr>
        <w:tc>
          <w:tcPr>
            <w:tcW w:w="8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6"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52" w:lineRule="exact"/>
        <w:rPr>
          <w:sz w:val="20"/>
          <w:szCs w:val="20"/>
          <w:color w:val="auto"/>
        </w:rPr>
      </w:pP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and elsewhere;</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1"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40"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are discussed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0"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 information is reliable, we cannot guarantee the accuracy or completeness of the information and have not independently verified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657225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Quanex was incorporated in Delaware on December 12, 2007, as Quanex Building Products Corporation. We currently manufacture components for original equipment manufacturers (OEM) in the building products industry. The majority of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vinyl fencing, water retention barriers, and conservatory roof components. We use low-cost production processes and engineering expertise to provide our customers with specialized products for their specific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3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w:t>
      </w:r>
    </w:p>
    <w:p>
      <w:pPr>
        <w:spacing w:after="0" w:line="10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of October 31, 2023, we operated 28 manufacturing facilities located in 15 states in the U.S., two facilities in the U.K., and one in Germany. These facilities feature efficient plant design and flexible manufacturing processes, enabling us to produce a wide variety of custom engineered products and components primarily focused on the window and door segment of the residential building products markets.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business is largely based in North America and dependent upon the spending and growth activity levels of our customers which include national and regional residential window, door and cabinet manufacturers. Our international presence includes vinyl extruded lineals for large house systems to smaller individual customers. We also have insulating glass businesses in the U.K. and Germany.</w:t>
      </w:r>
    </w:p>
    <w:p>
      <w:pPr>
        <w:spacing w:after="0" w:line="12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use data related to housing starts and window shipments in the U.S., as published by or derived from third-party sources, to evaluate the fenestration market. We also use data related to cabinet demand in the U.S. to evaluate the residential cabinet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presents calendar-year annual housing starts information as of November 2023 from the National Association of Home Builders (NAHB) (units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Single-family Units</w:t>
            </w:r>
          </w:p>
        </w:tc>
        <w:tc>
          <w:tcPr>
            <w:tcW w:w="23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Multi-family Units</w:t>
            </w:r>
          </w:p>
        </w:tc>
        <w:tc>
          <w:tcPr>
            <w:tcW w:w="23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Manufactured Units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Units</w:t>
            </w:r>
          </w:p>
        </w:tc>
        <w:tc>
          <w:tcPr>
            <w:tcW w:w="0" w:type="dxa"/>
            <w:vAlign w:val="bottom"/>
          </w:tcPr>
          <w:p>
            <w:pPr>
              <w:spacing w:after="0"/>
              <w:rPr>
                <w:sz w:val="1"/>
                <w:szCs w:val="1"/>
                <w:color w:val="auto"/>
              </w:rPr>
            </w:pPr>
          </w:p>
        </w:tc>
      </w:tr>
      <w:tr>
        <w:trPr>
          <w:trHeight w:val="188"/>
        </w:trPr>
        <w:tc>
          <w:tcPr>
            <w:tcW w:w="3120" w:type="dxa"/>
            <w:vAlign w:val="bottom"/>
            <w:gridSpan w:val="2"/>
            <w:vMerge w:val="continue"/>
          </w:tcPr>
          <w:p>
            <w:pPr>
              <w:spacing w:after="0"/>
              <w:rPr>
                <w:sz w:val="16"/>
                <w:szCs w:val="16"/>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889</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402</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1,386</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1,491</w:t>
            </w: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474</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1,712</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1,663</w:t>
            </w:r>
          </w:p>
        </w:tc>
        <w:tc>
          <w:tcPr>
            <w:tcW w:w="0" w:type="dxa"/>
            <w:vAlign w:val="bottom"/>
          </w:tcPr>
          <w:p>
            <w:pPr>
              <w:spacing w:after="0"/>
              <w:rPr>
                <w:sz w:val="1"/>
                <w:szCs w:val="1"/>
                <w:color w:val="auto"/>
              </w:rPr>
            </w:pPr>
          </w:p>
        </w:tc>
      </w:tr>
      <w:tr>
        <w:trPr>
          <w:trHeight w:val="214"/>
        </w:trPr>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 - Forecast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1,462</w:t>
            </w: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413</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1,461</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1,565</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Ducker Worldwide LLC, a consulting and research firm, indicated in November 2023 that window shipments in the residential remodeling and replacement (R&amp;R) market are expected to decrease approximately 6% for the calendar-year 2023 and increase approximately 1% in 2024. Derived from reports published by Ducker, the overall decrease in window shipments for the trailing twelve months ended September 30, 2023 was 8%. During this period, new construction activity decreased 13% and R&amp;R replacement decreased 3% respectively.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noted the following trends which we believe affect our industry:</w:t>
      </w:r>
    </w:p>
    <w:p>
      <w:pPr>
        <w:spacing w:after="0" w:line="115" w:lineRule="exact"/>
        <w:rPr>
          <w:sz w:val="20"/>
          <w:szCs w:val="20"/>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growth in the housing market over the past several years has been predominately in new construction which has outpaced the growth in the residential remodeling and replacement sector;</w:t>
      </w:r>
    </w:p>
    <w:p>
      <w:pPr>
        <w:spacing w:after="0" w:line="54"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 inflationary pressures related to transportation, labor, and raw materials have increased causing delays in production and higher prices;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rates in the U.K. and other European nations have changed significantly relative to the United States Dollar due in part to Brexit in the U.K., as well as other international unrest or uncertainties;</w:t>
      </w:r>
    </w:p>
    <w:p>
      <w:pPr>
        <w:spacing w:after="0" w:line="54" w:lineRule="exact"/>
        <w:rPr>
          <w:rFonts w:ascii="Times New Roman" w:cs="Times New Roman" w:eastAsia="Times New Roman" w:hAnsi="Times New Roman"/>
          <w:sz w:val="18"/>
          <w:szCs w:val="18"/>
          <w:color w:val="auto"/>
        </w:rPr>
      </w:pPr>
    </w:p>
    <w:p>
      <w:pPr>
        <w:jc w:val="both"/>
        <w:ind w:left="660" w:hanging="169"/>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aluminum, wood and silicone products used by our other businesses; and</w:t>
      </w:r>
    </w:p>
    <w:p>
      <w:pPr>
        <w:spacing w:after="0" w:line="69"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efficiency standards in Europe should favorably impact sales of our insulating glass spacer products in the short- to mid-term.</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vision is to be the preferred supplier to our customers in each market we serve. Our strategy to achieve this vision includes the following:</w:t>
      </w:r>
    </w:p>
    <w:p>
      <w:pPr>
        <w:spacing w:after="0" w:line="115" w:lineRule="exact"/>
        <w:rPr>
          <w:sz w:val="20"/>
          <w:szCs w:val="20"/>
          <w:color w:val="auto"/>
        </w:rPr>
      </w:pPr>
    </w:p>
    <w:p>
      <w:pPr>
        <w:jc w:val="both"/>
        <w:ind w:left="660" w:hanging="169"/>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growth with a purpose and explore markets that are synergistic with existing manufacturing capabilities and expand our market share with national and regional customers and collaborative partnerships by providing: (1) a quality product; (2) a high level of customer service; (3) product choices at different price points; and (4) an expanded product portfolio or enhancements to existing product offerings. These enhancements may include higher thermal efficiency, enhanced functionality, improved weatherability, better appearance and best-in-class quality for our fenestration and cabinet door products;</w:t>
      </w:r>
    </w:p>
    <w:p>
      <w:pPr>
        <w:spacing w:after="0" w:line="78"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logistics solutions that provide our customers with just-in-time service which can reduce their processing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169"/>
        <w:spacing w:after="0" w:line="310"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the importance of sustainability by continually looking for ways to reduce our environmental impact and carbon footprint, protect the health and safety of our employees and communities, engage diverse workers and leaders, and remain committed to doing good in our community;</w:t>
      </w:r>
    </w:p>
    <w:p>
      <w:pPr>
        <w:spacing w:after="0" w:line="32" w:lineRule="exact"/>
        <w:rPr>
          <w:rFonts w:ascii="Times New Roman" w:cs="Times New Roman" w:eastAsia="Times New Roman" w:hAnsi="Times New Roman"/>
          <w:sz w:val="17"/>
          <w:szCs w:val="17"/>
          <w:color w:val="auto"/>
        </w:rPr>
      </w:pPr>
    </w:p>
    <w:p>
      <w:pPr>
        <w:ind w:left="660" w:hanging="169"/>
        <w:spacing w:after="0" w:line="28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unprofitable or non-core service lines or customer relationships.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3"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We believe our strengths include design expertise, new technology development capability, high quality manufacturing, just-in-time delivery systems, customer service and the ability to generate unique patented products.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purchase a diverse range of raw materials, which include PVC resin, epoxy resin, butyl, titanium dioxide (TiO2) desiccant powder, silicone and EPDM rubber compounds, coated and uncoated aluminum sheet and wood (both hardwood and softwood). These raw materials are generally available from several suppliers at market prices. We may enter into sole sourcing arrangements with our suppliers from time to time if we believe we can realize beneficial savings, but only after we have determined that the vendor can reliably supply our raw material requirements. These sole sourcing arrangements generally have termination clauses to protect us if a sole sourced vendor could not provide raw materials timely and on economically feasible terms. We believe there are other qualified suppliers from which we could purchase raw materials and supplies.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products are sold under highly competitive conditions. We compete with a number of companies, some of which have greater financial resources than us. We believe the primary competitive factors in the markets we serve include price, product quality, delivery performance, and the ability to manufacture to customer specifications. The volume of engineered building products that we manufacture represents a small percentage of annual domestic consumption. Similarly, our subsidiaries in the U.K. compete against some larger vinyl producers and smaller window manufacturers. For our kitchen and bathroom cabinet door business, we believe we are the largest supplier to OEMs in the U.S., but we compete with other national and regional businesses, including OEMs who are vertically integrated.</w:t>
      </w:r>
    </w:p>
    <w:p>
      <w:pPr>
        <w:spacing w:after="0" w:line="13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vehicles, but we primarily serve the residential housing market. Competition is largely based on regional presence, custom engineering, product development, quality, service and price. Primary competitors in the North American Fenestration business include, but are not limited to, Veka, Deceuninck, Energi, Vision Extrusions, GED Integrated Solutions, Technoform, Swiss Spacer, Thermix, RiteScreen, Allmetal, Endura, Klinger, Thermoseal and Fenzi Group. Competitors in the vinyl extrusion business in the U.K. include Epwin, Veka, Profine UK Extrusions Ltd., Eurocell and others. Primary competitors in the cabinet door business in the U.S. include Conestoga, Appalachian Wood, Olon, Northern Contours and others.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sell our products to customers in various countries. Therefore,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limited use of distributors and independent sales agents.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Credit Losses,” of the accompanying financial statements in this Annual Report on Form 10-K for related disclosure.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Backlog</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Given the short lead times involved in our business, we have a backlog of approximately $42 million as of October 31, 2023. The criteria for revenue recognition has not been met with regard to sales backlog, and therefore, we have not recorded revenue or deferred revenue pursuant to these sales orders. If these sales orders result in a sale, we will record revenue in fiscal 2024 in accordance with our revenue recognition accounting policy.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We typically experience more favorable results in the third and fourth quarters of the fiscal year. Our exposure to seasonality was somewhat tempered with the entry into the kitchen and bathroom cabinet door industry, which is focused "inside the house" and less susceptible to inclement weather. Expenses for labor and other costs are generally semi-variable throughout the year.</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Service Marks, Trademarks, Trade Names, and Patents</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Our federally registered trademarks or service marks include QUANEX, QUANEX and design, “Q” design, TRUSEAL TECHNOLOGIES, DURASEAL, DURALITE, SOLARGAIN,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MIKRON and design, HOMESHIELD, HOMESHIELD and design, STORM SEAL, and TENON. We consider the following marks, design marks and associated trade names to be valuable in the conduct of our business: HOMESHIELD, TRUSEAL TECHNOLOGIES, EDGETECH, MIKRON, WOODCRAFT and QUANEX. Through Liniar, we hold a number of registered designs, patents and trademarks registered in the U.K., which include: MODLOK, LINIAR, SUPER CUT, ENERGY PLUS &amp; Device, FLAMSTEAD HOLDINGS &amp; Device, HL PLASTICS &amp; Device, VINTAGE WINDOWS &amp; Device, RESURGENCE, FUSE, ELEVATE, SWITCHBOARD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dyes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 numerous patents, the proprietary process technology that has been developed is also considered a source of competitive advantage.</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Environmental and Employee Safety Matters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 and Environmental Policies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Director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Compliance Costs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2024.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3"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 xml:space="preserve">We track human </w:t>
      </w:r>
      <w:r>
        <w:rPr>
          <w:rFonts w:ascii="Times New Roman" w:cs="Times New Roman" w:eastAsia="Times New Roman" w:hAnsi="Times New Roman"/>
          <w:sz w:val="18"/>
          <w:szCs w:val="18"/>
          <w:color w:val="222222"/>
        </w:rPr>
        <w:t>capital metrics that we consider to be key to our business, including employee headcount, temporary workers, health and safety,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turnover. </w:t>
      </w:r>
      <w:r>
        <w:rPr>
          <w:rFonts w:ascii="Times New Roman" w:cs="Times New Roman" w:eastAsia="Times New Roman" w:hAnsi="Times New Roman"/>
          <w:sz w:val="18"/>
          <w:szCs w:val="18"/>
          <w:color w:val="000000"/>
        </w:rPr>
        <w:t>As of October 31, 2023, we had 3,792 employees. Of these employees, 3,053 were domiciled in the U.S., 632 in the U.K., and 107 in Germany.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Generally, the total number of employees of Quanex and its subsidiaries does not significantly fluctuate throughout the year. Currently, none of our employees are subject to collective bargaining agreements.</w:t>
      </w:r>
    </w:p>
    <w:p>
      <w:pPr>
        <w:spacing w:after="0" w:line="12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Employee turnover rates are monitored monthly at the division and plant levels. Both voluntary and involuntary terminations, including retirements, are used to calculate the turnover rate. Our human capital objectives include attracting, developing, motivating, rewarding, and retaining our existing and new employees. We offer our employees online training courses and on-the-job training on job duties, safety requirements, and leadership skills.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http://www.quanex.com, as soon 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6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18"/>
          <w:szCs w:val="18"/>
          <w:b w:val="1"/>
          <w:bCs w:val="1"/>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Risks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purchase from outside sources significant amounts of raw materials, such as butyl, titanium dioxide, vinyl resin, aluminum, steel, silicone and wood products for use in our manufacturing facilities. Because we do not have long-term contracts for the supply of many of our raw materials, their availability and price are subject to market fluctuation and may be subject to curtailment or change. Any of these factors could affect our ability to timely and cost-effectively manufacture products for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Compliance with, or liabilities under, existing or future environmental laws and regulations could significantly increase our costs of doing business.</w:t>
      </w:r>
    </w:p>
    <w:p>
      <w:pPr>
        <w:spacing w:after="0" w:line="18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indefinite-lived intangible assets may become impaired and could result in a charge to income.</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Goodwill totaled $183.0 million at October 31, 2023. The results of goodwill impairment testing are described in the accompanying notes to the audited financial statements, Note 7, “Goodwill and Intangible Assets” of the accompanying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 materially impact our profitability. Likewise, when such laws, regulations or initiatives expire, our business may experience a material loss in sales volume or an increase in production costs as a result of the decline in consumer demand.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controls could have a material adverse effect on our business and on our stock price.</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foreign trade relations and associated tariffs could adversely impact our business.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currently source a number of raw materials from international suppliers. Import tariffs, taxes, customs duties and/or other trading regulations imposed by the U.S. government on foreign countries, or by foreign countries on the U.S., could significantly increase the prices we pay for certain raw materials, such as aluminum and wood, that are critical to our ability to manufacture our products. In addition, we may be unable to find a domestic supplier to provide the necessary raw materials on an economical basis in the amounts we require.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Risks</w:t>
      </w:r>
    </w:p>
    <w:p>
      <w:pPr>
        <w:spacing w:after="0" w:line="1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adversely affected by disruptions in the global economy caused by the wars in Ukraine and Gaza.</w:t>
      </w:r>
    </w:p>
    <w:p>
      <w:pPr>
        <w:spacing w:after="0" w:line="105" w:lineRule="exact"/>
        <w:rPr>
          <w:sz w:val="20"/>
          <w:szCs w:val="20"/>
          <w:color w:val="auto"/>
        </w:rPr>
      </w:pPr>
    </w:p>
    <w:p>
      <w:pPr>
        <w:jc w:val="both"/>
        <w:ind w:firstLine="403"/>
        <w:spacing w:after="0" w:line="272"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related to the escalation of geopolitical tensions and the military conflict currently ongoing in Ukraine and the Gaza Strip. These conflicts could lead to market or operational disruptions, including significant volatility in commodity prices,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many European countries, including Germany, alternatives to natural gas have limited capacity. This has had and may continue to have a negative impact on the energy costs of our European manufacturing facilities and may also negatively impact our customers and their demand for our products. In addition, one of the suppliers of a vapor barrier used in the production of our insulating glass spacers is located in Israel and may experience a disruption as a result of the ongoing conflict in Gaza. If supply chain interruptions or other disruptions result in the unavailability of raw materials or an increase to the price of raw materials or other commodities, we could experience a negative impact on our operating results, profitability and future cash flows.</w:t>
      </w:r>
    </w:p>
    <w:p>
      <w:pPr>
        <w:spacing w:after="0" w:line="12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their customers.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However, our efforts in this regard may not be successful and our operating margins could be negatively impacted.</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revenues could decline or we may lose business if our customers vertically integrate their operations, diversify their supplier base, or transfer manufacturing capacity to other regions.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or a shift in regional focus, our revenue, general financial condition and results of operations could be adversely affected.</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credit facility contains certain operational restrictions, reporting requirements, and financial covenants that limit the aggregate availability of funds.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“Management’s Discussion and Analysis of Financial Conditions and Results of Operations-Liquidity and Capital Resources,” included elsewhere in this Annual Report on Form 10-K.</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may not be able to successfully manage or integrate acquisitions, and if we are unable to do so, then our profitability could be adversely affected.</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manage or integrate acquisition targets once we have purchased them. If we acquire a business for which we do not fully understand or appreciate the specific business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data security and privacy risks that could negatively affect our results or operations.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our own sensitive and proprietary business information, we collect transactional and personal information about our customers and employees. Any breach, including ransomware attacks or other cybersecurity breaches,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 customer relationships, and could also result in unwanted media attention, reputational damage, or the imposition of fines, lawsuits, or significant legal or remediation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pandemics or other disease outbreaks could significantly disrupt our operations or those of our customers or suppliers.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the COVID-19 coronavirus, or any other epidemic or pandemic, disrupts the worldwide economy, or if similar widespread disease outbreaks occur in the future, our business, financial condition and results of operations could be negatively affected to the extent such event harms the economy or region in which we operate.</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occurrence of a widespread health epidemic or pandemic. In particular, any outbreak or resurgence of COVID-19 such as the spread of the Omicron variant, Delta variant or any other future variants, or governmental imposition of mandatory or voluntary closures in areas where our manufacturing facilities,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suppliers or customers are located, could severely disrupt our operations and result in (a) plant slowdowns or shutdowns, (b) difficulty obtaining necessary supplies, and (c) reduced customer orders and revenues. In addition to this potential direct 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COVID-19 pandemic has had and may continue to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2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We may not have the right personnel in place to achieve our operating goals, and the rural location of some of our operations may make it difficult to locate or hire highly skilled employees.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operate in some rural areas and small towns where the competition for labor can be fierce, and where the pool of qualified employees may be very small. If we are unable to obtain or retain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failures or catastrophic loss at any of our manufacturing facilities could prevent us from producing our products.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0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21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color w:val="auto"/>
        </w:rPr>
        <w:t>Our insurance coverage may be inapplicable or inadequate to cover certain liabilities, and our insurance policies may exclude coverage for certain matters.</w:t>
      </w:r>
    </w:p>
    <w:p>
      <w:pPr>
        <w:spacing w:after="0" w:line="105"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high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color w:val="auto"/>
        </w:rPr>
        <w:t>Climate change and related extreme weather events could disrupt our supply chain, decrease customer demand for our products, or damage our manufacturing facilities.</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along with many of our customers and suppliers, operate manufacturing facilities in areas at risk for extreme weather events such as hurricanes, tornadoes, drought, wildfires, winter storms, or floods. Ongoing climate change has increased the frequency and severity of these events and the related risk of a catastrophic weather event affecting one of our plants, or a plant owned by one of our customers or suppliers. If such an event occurs at a facility belonging to one of our customers, we could see reduced demand for our products. If such an event occurs at a facility belonging to us or one of our suppliers, we may be unable to timely and cost-effectively manufacture products for our customers. These declines in demand or impacts to our ability to manufacture our products could negatively impact our revenues, earnings, cash flow, and other operating results.</w:t>
      </w:r>
    </w:p>
    <w:p>
      <w:pPr>
        <w:spacing w:after="0" w:line="11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11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file income tax returns, including tax returns for our subsidiaries, with federal, state, local, and foreign jurisdictions. We consider the United States to be our most significant jurisdiction; however, all tax returns are subject to routine compliance review by the taxing authorities in the jurisdictions in which we file tax returns in the ordinary course of business. We make judgments regarding the utilization of existing deferred tax assets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tax positions that have been taken. Changes in federal, state, or local tax laws, adverse tax audit results, or adverse tax rulings on positions taken could have a material adverse effect on the results of our operations, financial condition, or cash 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failures or other events affecting financial institutions could adversely affect our liquidity and financial performance.</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recent and potential future disruptions in access to bank deposits or lending commitments due to bank failures and banking industry instability could materially and adversely affect the Company’s liquidity, access to cash and credit, and the Company’s business, financial condition and results of operations, as well as those of the Company’s third-party suppliers or vendors. The recent closures of Silicon Valley Bank (SVB) and Signature Bank and their placement into receivership with the Federal Deposit Insurance Company (FDIC) along with the FDIC’s seizure and sale of First Republic Bank created market disruption and uncertainty with respect to the financial condition of a number of other banking institutions in the United States. While the Company does not have any direct exposure to SVB, Signature Bank, or First Republic Bank, the Company does maintain its cash at financial institutions, sometimes in balances that exceed the current FDIC insurance limits.</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If other banks and financial institutions enter receivership or become insolvent in the future due to financial conditions affecting the banking system and financial markets, the Company’s ability to access its cash and cash equivalents, including transferring funds, making payments or receiving funds, and the Company’s access to credit, as well as those of its third-party suppliers or vendors, may be threatened and could have a material adverse effect on the Company’s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Investment in Quanex Securities</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1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the ability to issue additional equity securities, which would lead to dilution of our issued and outstanding common stock.</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37,176,958 were issued at October 31, 2023. These authorized shares can be issued, without stockholder approval, as securities convertible into either common stock or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our principal properties by location, general character and use as of October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Character and Use of Property</w:t>
            </w:r>
          </w:p>
        </w:tc>
      </w:tr>
      <w:tr>
        <w:trPr>
          <w:trHeight w:val="222"/>
        </w:trPr>
        <w:tc>
          <w:tcPr>
            <w:tcW w:w="55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Offices</w:t>
            </w:r>
          </w:p>
        </w:tc>
        <w:tc>
          <w:tcPr>
            <w:tcW w:w="8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Houston, Texas*</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corporate office</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Akron,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executive office and R&amp;D facility</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Rice Lake, Wisconsin</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Cambridge,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Flexible spacer, solar adhesives and custom compound mixing</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Richmond, Kentucky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Kent, Washington*</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Denby, United Kingdom*</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Heinsberg, Germany*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Flexible spacer</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Cabinet Components Segment</w:t>
            </w:r>
          </w:p>
        </w:tc>
        <w:tc>
          <w:tcPr>
            <w:tcW w:w="5580" w:type="dxa"/>
            <w:vAlign w:val="bottom"/>
          </w:tcPr>
          <w:p>
            <w:pPr>
              <w:spacing w:after="0"/>
              <w:rPr>
                <w:sz w:val="19"/>
                <w:szCs w:val="19"/>
                <w:color w:val="auto"/>
              </w:rPr>
            </w:pP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 Cloud, Minnesota</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Hardwood doors and components for kitchen and bath</w:t>
            </w:r>
          </w:p>
        </w:tc>
      </w:tr>
      <w:tr>
        <w:trPr>
          <w:trHeight w:val="363"/>
        </w:trPr>
        <w:tc>
          <w:tcPr>
            <w:tcW w:w="5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These locations are leased as of October 31, 2023.</w:t>
            </w:r>
          </w:p>
        </w:tc>
        <w:tc>
          <w:tcPr>
            <w:tcW w:w="5580" w:type="dxa"/>
            <w:vAlign w:val="bottom"/>
          </w:tcPr>
          <w:p>
            <w:pPr>
              <w:spacing w:after="0"/>
              <w:rPr>
                <w:sz w:val="24"/>
                <w:szCs w:val="24"/>
                <w:color w:val="auto"/>
              </w:rPr>
            </w:pPr>
          </w:p>
        </w:tc>
      </w:tr>
    </w:tbl>
    <w:p>
      <w:pPr>
        <w:spacing w:after="0" w:line="14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the locations identified above, our North American Fenestration Segment maintains 14 additional facilities for the manufacture and distribution of fenestration, spacer and extrusion products within the continental U.S., our European Fenestration Segment maintains one additional location for the production of spacer in the U.K., and our North American Cabinet Components Segment maintains 11 locations to manufacture hardwood doors and other wood components for kitchen and bath cabinets. See Note 1, “Nature of Operations, Basis of Presentation and Significant Accounting Policies - Restructuring,” to the accompanying consolidated financial statements included elsewhere in this Annual Report on Form 10-K.</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our operating properties are in good condition and well maintained, and are generally suitable and adequate to carry on our business. In fiscal 2023, on a consolidated basis, our facilities operated at approximately 54% of machine capacity. This capacity utilization is subject to variability by product line, seasonality, location, labor shortages and supply chain interruptions.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Several claims were resolved during fiscal 2020, 2021 and 2022, and we continue to defend the remaining claims.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108"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For discussion of environmental issues, see Item 1, “Business - Environmental and Employee Safety Matters,” discussed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under the ticker symbol NX since April 24, 2008. Electronic copies of our public filings are available on the Securities and Exchange Commission's website (www.sec.gov). There were approximately 1,535 holders of our common stock (excluding individual participants in securities positions listings) on record as of December 7,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equity compensation to our employees, officers and directors under equity compensation plans as of October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4"/>
                <w:szCs w:val="14"/>
                <w:color w:val="auto"/>
              </w:rPr>
            </w:pPr>
          </w:p>
        </w:tc>
        <w:tc>
          <w:tcPr>
            <w:tcW w:w="1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1"/>
                <w:szCs w:val="11"/>
                <w:b w:val="1"/>
                <w:bCs w:val="1"/>
                <w:color w:val="auto"/>
              </w:rPr>
              <w:t>rights</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4"/>
                <w:szCs w:val="14"/>
                <w:b w:val="1"/>
                <w:bCs w:val="1"/>
                <w:color w:val="auto"/>
                <w:vertAlign w:val="superscript"/>
              </w:rPr>
              <w:t>(2)</w:t>
            </w:r>
          </w:p>
        </w:tc>
        <w:tc>
          <w:tcPr>
            <w:tcW w:w="22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304,630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2,718,886</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420" w:hanging="9"/>
        <w:spacing w:after="0" w:line="234" w:lineRule="auto"/>
        <w:tabs>
          <w:tab w:leader="none" w:pos="6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Column (a) includes securities that may be issued upon future vesting of performance restricted stock units that have been previously granted to key employees and officers. The number of securities reflected in this column includes the maximum number of shares that would be issued pursuant to these performance restricted stock units assuming the performance measures are achieved. The performance measures may not be achieved.</w:t>
      </w:r>
    </w:p>
    <w:p>
      <w:pPr>
        <w:spacing w:after="0" w:line="144" w:lineRule="exact"/>
        <w:rPr>
          <w:rFonts w:ascii="Times New Roman" w:cs="Times New Roman" w:eastAsia="Times New Roman" w:hAnsi="Times New Roman"/>
          <w:sz w:val="23"/>
          <w:szCs w:val="23"/>
          <w:color w:val="auto"/>
          <w:vertAlign w:val="superscript"/>
        </w:rPr>
      </w:pPr>
    </w:p>
    <w:p>
      <w:pPr>
        <w:jc w:val="both"/>
        <w:ind w:left="420" w:hanging="9"/>
        <w:spacing w:after="0" w:line="234" w:lineRule="auto"/>
        <w:tabs>
          <w:tab w:leader="none" w:pos="614"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in column (b) does not include the impacts of the performance share awards or any securities that may be issued thereunder. For additional details, see Note 14, “Stock-Based Compensation,” of the accompanying financial statements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As of October 31, 2021, this share repurchase authorization was exhausted and the program was complete. During December 2021, our Board of Directors approved a new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During the three months ended October 31, 2023, we did not purchase any shares under this program and as of October 31, 2023 we had a maximum of $62.8 million available to purchase shares under this program. During the years ended October 31, 2023, 2022 and 2021, we purchased 275,000, 291,000 and 478,311 shares, respectively, at a cost of $5.6 million, $6.6 million and $11.2 million, respectively, under these programs. The new program does not have an expiration date or a limit on the number of shares that may be purchased.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Standard &amp; Poor’s 600 Building Products Industry Index (S&amp;P 600 Building Products), the Russell 2000 Index, and a peer group index selected by us, which includes companies offering similar products and services to ours. The companies in our peer group for the year ended October 31, 2023 are AAON Inc., American Woodmark Corp, Apogee Enterprises Inc., Armstrong Flooring Inc., CSW Industrials Inc., Gibraltar Industries Inc., Griffon Corporation, Insteel Industries Inc., L.B. Foster Company, Masonite International Corp, Mueller Water Products, Inc., Patrick Industries Inc., PGT Innovations, Inc., Simpson Manufacturing Company Inc., Tredegar Corp,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95250</wp:posOffset>
            </wp:positionV>
            <wp:extent cx="5972810" cy="4829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72810" cy="482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INDEXED RETURNS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Name / Index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10/31/2018</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10/31/2019</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10/31/2023</w:t>
            </w: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Quanex Building Products Corporation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132.79</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127.97</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147.65</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160.22</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196.71</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600 Building Products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135.71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134.31</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193.08</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177.99</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199.14</w:t>
            </w: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104.76</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157.98</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128.69</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129.30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150.25</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205.78</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145.44</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our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discussed elsewhere within this Annual Report on Form 10-K. For a listing of potential risks and uncertainties which impact our business and industry, see “Item 1A. Risk Factors.”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Unless otherwise required by law, we undertake no obligation to publicly update any forward-looking statements, even if new information becomes available or other events occur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currently manufacture components for original equipment manufacturers in the building products industry. The majority of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vinyl fencing, water retention barriers, custom compound mixing, and conservatory roof components. We use low-cost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8"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three operating segments, consisting of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consolidated financial statements. Corporate general and administrative expenses allocated during the years ended October 31, 2023, 2022 and 2021 were $23.5 million, $24.5 million and $21.6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1"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LMI is allocated entirely to our North American Fenestration reportable operating segment.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 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 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36"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Overview and Outlook</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In November 2023, the NAHB forecasted calendar-year housing starts (excluding manufactured units) to be 1.4 million in the 2023, 2024 and 2025 calendar-years. The November 2022 Ducker forecast indicated that window shipments in the R&amp;R market are expected to decrease approximately 6% and increase 1% in the calendar-years ended 2023 and 2024, respectively, and window shipments in the new construction market are expected to decrease 10% and increase 5% in the calendar-years ended 2023 and 2024, respectively, resulting in overall window shipment decline of 8% in 2023 and increase 3% in 2024. Derived from reports published by Ducker, the overall decrease in window shipments for the trailing twelve months ended September 30, 2023 was 8%. During this period, new construction activities decreased 13% and R&amp;R decreased 3%.</w:t>
      </w:r>
    </w:p>
    <w:p>
      <w:pPr>
        <w:spacing w:after="0" w:line="132"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U.K. vinyl business (commonly referred to as “Liniar”) is largely focused on the sale of vinyl house systems under the trade name “Liniar” to smaller window manufacturers in the U.K. Liniar is one of the larger providers of vinyl extruded products in the U.K. in terms of volume shipped. Currently, the U.K. is experiencing a shortage in affordable housing, with rising demand due in part to a growing immigrant population. Liniar’s current primary customers are smaller window fabricators, as opposed to the larger OEMs that comprise a large portion of the North American market. These manufacturers seek the quality and technology of the specific products identified by the Liniar trade name. In addition, Liniar services non-fenestration markets including the manufacture of roofing for conservatories, vinyl decking and vinyl water retention barriers used for landscaping. We believe there are growth opportunities within these markets in the U.K. and potential synergies which may enable us to sell complementary products.</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NA Cabinet Components manufactures kitchen and bathroom cabinet doors and components, amongst other products, using a variety of woods from traditional hardwoods to engineered wood products. Currently, most of the revenue in the NA Cabinet Components segment is earned in the U.S., so domestic housing starts and R&amp;R activity constitute the primary drivers of this business as well. The cabinet door market is stratified as follows: stock (low-cost, low-variations), semi-custom (more customized, just-in-time manufacturing, higher price point) and custom (precise customer specifications, just-in-time manufacturing, high-end price point). NA Cabinet Component's primary market is semi-custom.</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business is seasonal, particularly our fenestration business, as inclement weather during the winter months tends to slow down construction, particularly as related to “outside of the house” construction. To some extent, we believe our kitchen and bathroom cabinet door business lessens the impact of seasonality on our operating results, as the cabinet business is “inside of the house” and less susceptible to weather.</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w:t>
      </w:r>
    </w:p>
    <w:p>
      <w:pPr>
        <w:spacing w:after="0" w:line="12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aluminum and wood. For the majority of our customers and critical suppliers, we have price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October 31, 2023 and 2022</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consolidated results of operations for the twelve-month periods ended October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(90,919)</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(7)%</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(99,945)</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(10)%</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6%</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9"/>
              </w:rPr>
              <w:t>7%</w:t>
            </w: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56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(218)%</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5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(630)%</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6"/>
              </w:rPr>
              <w:t>32%</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56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year-over-year results by reportable segment follow. Our comparison of the results for the fiscal years ended October 31, 2022 and 2021 by reportable segment for the prior year comparative periods can be found in the annual report on Form 10-K for the year ended October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667,482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687,458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517,805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537,900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5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56,979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58,735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20,539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16,253</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54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72,159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74,570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540" w:type="dxa"/>
            <w:vAlign w:val="bottom"/>
            <w:tcBorders>
              <w:bottom w:val="single" w:sz="8" w:color="CCEEFF"/>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$20.0 million, or 3%, for the twelve months ended October 31, 2023 compared to the same period in 2022,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$86.9 million decrease in volumes mainly due to softer market demand, a return to normal seasonality, customer destocking, and a decrease in price and raw material surcharges of $8.7 million, partially offset by a $75.6 million contribution from the addition of LMI in 2023.</w:t>
      </w:r>
    </w:p>
    <w:p>
      <w:pPr>
        <w:spacing w:after="0" w:line="121"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$20.1 million, or 4%, for the twelve months ended October 31, 2023 compared to the same period in 2022.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including labor, decreased primarily due to lower volumes and deflation of raw materials during the period partially offset by the addition of LMI’s cost of sales in 2023.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decreased by $1.8 million, or 3%,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2023 compared to the same period in 2022. This decrease was due primarily to decreases in labor costs year-over-year.</w:t>
      </w:r>
    </w:p>
    <w:p>
      <w:pPr>
        <w:spacing w:after="0" w:line="105"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$4.3 million, or 26%, for the twelve months ended October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2022, primarily due to the acquisition of LMI’s property, plant and equipment and intangible assets.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250,774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262,058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158,491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180,268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32,350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31,846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9,849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9,674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540" w:type="dxa"/>
            <w:vAlign w:val="bottom"/>
            <w:tcBorders>
              <w:bottom w:val="single" w:sz="8" w:color="CCEEFF"/>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50,084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40,270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$11.3 million, or 4%, when comparing the twelve months ended October 31, 2023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which was primarily driven by a $19.2 million decrease in volumes largely due to softer market demand, a return to normal seasonality, and customer destocking, and $4.1 million of foreign currency rate change, partially offset by $12.0 million of base price increases.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Cost of Sales</w:t>
      </w:r>
      <w:r>
        <w:rPr>
          <w:rFonts w:ascii="Times New Roman" w:cs="Times New Roman" w:eastAsia="Times New Roman" w:hAnsi="Times New Roman"/>
          <w:sz w:val="17"/>
          <w:szCs w:val="17"/>
          <w:color w:val="auto"/>
        </w:rPr>
        <w:t>. The cost of sales decreased $21.8 million, or 12%, for the twelve months ended October 31, 2023 compared to the same period in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decreased primarily due to a decrease in volumes, deflation in the price of raw materials and foreign currency impacts.</w:t>
      </w:r>
    </w:p>
    <w:p>
      <w:pPr>
        <w:spacing w:after="0" w:line="149"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increased $0.5 million, or 2%,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2023 compared to the same period in 2022. The increase is primarily due to an increase in labor costs partially offset by a decrease in professional fees and foreign currency impacts year-over-year.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215,445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275,704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(60,259)</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178,210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236,695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(58,485)</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21,074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21,934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12,208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13,830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54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3,953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3,245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$60.3 million, or 22%, for the twelve months ended October 31, 2023 compared to the same period in 2022,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$49.5 million decrease in volumes due to softer market demand driven by weaker consumer confidence and a $10.8 million decrease in raw material indexes.</w:t>
      </w:r>
    </w:p>
    <w:p>
      <w:pPr>
        <w:spacing w:after="0" w:line="107"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decreased $58.5 million, or 25%, for the twelve months ended October 31, 2023 compared to the same period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lower volumes year-over-year and lumber price deflation.</w:t>
      </w:r>
    </w:p>
    <w:p>
      <w:pPr>
        <w:spacing w:after="0" w:line="78"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decreased $0.9 million, or 4%,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2023 compared to the same period in 2022. The decrease is primarily due to lower labor costs partially offset by an increase in professional fees and the loss on an asset caused by wind damage to a manufacturing facility.</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$1.6 million, or 12%, for the twelve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80"/>
        <w:spacing w:after="0" w:line="359" w:lineRule="auto"/>
        <w:rPr>
          <w:sz w:val="20"/>
          <w:szCs w:val="20"/>
          <w:color w:val="auto"/>
        </w:rPr>
      </w:pPr>
      <w:r>
        <w:rPr>
          <w:rFonts w:ascii="Times New Roman" w:cs="Times New Roman" w:eastAsia="Times New Roman" w:hAnsi="Times New Roman"/>
          <w:sz w:val="18"/>
          <w:szCs w:val="18"/>
          <w:color w:val="auto"/>
        </w:rPr>
        <w:t xml:space="preserve">months ended October 31, 2023 as compared to the same period in 2022, reflecting the run-off of depreciation expense related to existing assets. </w:t>
      </w:r>
      <w:r>
        <w:rPr>
          <w:rFonts w:ascii="Times New Roman" w:cs="Times New Roman" w:eastAsia="Times New Roman" w:hAnsi="Times New Roman"/>
          <w:sz w:val="18"/>
          <w:szCs w:val="18"/>
          <w:i w:val="1"/>
          <w:iCs w:val="1"/>
          <w:u w:val="single" w:color="auto"/>
          <w:color w:val="auto"/>
        </w:rPr>
        <w:t>Unallocated Corporate &amp;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5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195%</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60" w:type="dxa"/>
            <w:vAlign w:val="bottom"/>
            <w:tcBorders>
              <w:bottom w:val="single" w:sz="8" w:color="CCEEFF"/>
            </w:tcBorders>
          </w:tcPr>
          <w:p>
            <w:pPr>
              <w:jc w:val="center"/>
              <w:ind w:left="172"/>
              <w:spacing w:after="0"/>
              <w:rPr>
                <w:sz w:val="20"/>
                <w:szCs w:val="20"/>
                <w:color w:val="auto"/>
              </w:rPr>
            </w:pPr>
            <w:r>
              <w:rPr>
                <w:rFonts w:ascii="Times New Roman" w:cs="Times New Roman" w:eastAsia="Times New Roman" w:hAnsi="Times New Roman"/>
                <w:sz w:val="18"/>
                <w:szCs w:val="18"/>
                <w:color w:val="auto"/>
              </w:rPr>
              <w:t>(23)%</w:t>
            </w:r>
          </w:p>
        </w:tc>
      </w:tr>
      <w:tr>
        <w:trPr>
          <w:trHeight w:val="24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560" w:type="dxa"/>
            <w:vAlign w:val="bottom"/>
            <w:tcBorders>
              <w:bottom w:val="single" w:sz="8" w:color="CCEEFF"/>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(128)%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22" w:lineRule="exact"/>
        <w:rPr>
          <w:sz w:val="20"/>
          <w:szCs w:val="20"/>
          <w:color w:val="auto"/>
        </w:rPr>
      </w:pPr>
    </w:p>
    <w:p>
      <w:pPr>
        <w:ind w:right="20"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2022.</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02"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expenses increased $9.0 million, or 195%,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2023 compared to the same period in 2022. This increase is primarily attributable to an increase in transaction fees and compensation expense including the valuations of our stock-based compensation awards during the twelve months ended October 31, 2023 compared to the same period in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212"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$5.6 million, or 218%, for the twelve months ended October 31, 2023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a result of higher borrowings outstanding during the period and an increase in interest rates. The weighted average interest rate for borrowings outstanding for the twelve months ended October 31, 2023 was 6.01% compared with 2.16% for the twelve months ended October 31, 2022.</w:t>
      </w:r>
    </w:p>
    <w:p>
      <w:pPr>
        <w:spacing w:after="0" w:line="121"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loss increased $6.6 million for the twelve months ended October 31, 2023 compared to the same period in 2022. The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pension settlement expense.</w:t>
      </w:r>
    </w:p>
    <w:p>
      <w:pPr>
        <w:spacing w:after="0" w:line="105"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$14.5 million on pre-tax income of $97.0 million for the twelve months ended October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effective rate of 15.0%, and income tax expense of $21.4 million on pre-tax income of $109.8 million for the twelve months ended October 31, 2022, an effective rate of 19.5%. The October 31, 2023 effective rate is lower than the U.S. federal statutory rate of 21% primarily due to the U.K. patent box benefit, tax return to accrual adjustments, and changes in uncertain tax positions, offset by state and local income tax, non U.S. income tax and nondeductible expenses. The effective rate for the twelve months ended October 31, 2022 was impacted by U.S. patent box benefit, state and local income taxes, non U.S. income tax and nondeductible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October 31, 2023, we had $58.5 million of cash and cash equivalents, $15.0 million outstanding under our credit facilities, $5.0 million of outstanding letters of credit and $55.0 million outstanding leases under finance leases and other debt. Of the $55.0 million outstanding under finance leases and other debt, $51.5 million relates to real estate leases. We had $305.0 million available for use under a revolving credit facility at October 31, 2023.</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during the year ended October 31, 2022. This $325.0 million revolving credit facility has a five-year term, maturing on July 6, 2027, and replaces our previous credit facility we entered into on October 18, 2018.</w:t>
      </w:r>
    </w:p>
    <w:p>
      <w:pPr>
        <w:spacing w:after="0" w:line="10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Interest payments for the Credit Facility are calculated, at our election and depending upon the Consolidated Net Leverage Ratio, at a Base Rate (0.25% to 1.00%) plus an applicable margin or at the same rate as Risk-Free Rate (“RFR”) Loans for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domestic borrowings or Eurocurrency Rate Loans (1.25% to 2.00%) plus an applicable margin. In addition, we are subject to commitment fees (0.150% to 0.250%) for the unused portion of the Credit Facility. As of October 31, 2023, the applicable rate was RFR + 1.25%.</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weighted average interest rate of borrowings outstanding for the twelve-month periods ended October 31, 2023 and 2022 was 6.01% and 2.16%, respectively. We were in compliance with our debt covenants as of October 31, 2023. For additional details of the Revolving Credit Facility, see Note 9, “Debt,” included elsewhere within this Annual Report on Form 10-K.</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years ended October 31, 2023, 2022, and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0"/>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299"/>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147,052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8"/>
                <w:szCs w:val="18"/>
                <w:color w:val="auto"/>
                <w:w w:val="96"/>
              </w:rPr>
              <w:t>97,965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rPr>
              <w:t>78,588</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(128,439)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199"/>
              <w:spacing w:after="0"/>
              <w:rPr>
                <w:sz w:val="20"/>
                <w:szCs w:val="20"/>
                <w:color w:val="auto"/>
              </w:rPr>
            </w:pPr>
            <w:r>
              <w:rPr>
                <w:rFonts w:ascii="Times New Roman" w:cs="Times New Roman" w:eastAsia="Times New Roman" w:hAnsi="Times New Roman"/>
                <w:sz w:val="18"/>
                <w:szCs w:val="18"/>
                <w:color w:val="auto"/>
                <w:w w:val="97"/>
              </w:rPr>
              <w:t>(32,962)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(18,708)</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(16,151)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w w:val="97"/>
              </w:rPr>
              <w:t>(45,879)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7"/>
              </w:rPr>
              <w:t>(71,861)</w:t>
            </w:r>
          </w:p>
        </w:tc>
      </w:tr>
    </w:tbl>
    <w:p>
      <w:pPr>
        <w:spacing w:after="0" w:line="224"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Our year-over-year cash flow analysis follows. Our cash flow analysis for the fiscal years ended October 31, 2022 and 2021 for the prior year comparative periods can be found in the annual report on Form 10-K for the year ended October 31,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Cash provided by operating activities increased $49.1 million for the year ended October 31, 2023 compared to the year ended October 31, 2022. The increase in operating cash flows is primarily due to favorable changes to working capital partially offset by lower net income year-over-year due to a decrease in customer demand. The favorable changes in working capital were largely driven by a decrease in inventory value due to raw material price deflation partially offset by a decrease in accounts payable.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Cash used for investing activities for the year ended October 31, 2023 increased $95.5 million compared to the year ended October 31, 2022, primarily as a result of the acquisition of the LMI Custom Mixing assets.</w:t>
      </w:r>
    </w:p>
    <w:p>
      <w:pPr>
        <w:spacing w:after="0" w:line="108"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At October 31, 2023, we had firm purchase commitments of approximately $1.4 million for the purchase or construction of capital assets. We plan to fund these capital expenditures through cash from operations or borrowings under our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Cash used for financing activities was $16.2 million for the year ended October 31, 2023 compared to the year ended October 31, 2022, which included $10.6 million of dividends paid to our shareholders, and $5.6 million related to the purchase of treasury stock.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We maintain cash balances in foreign countries which totaled $17.8 million and $13.6 million as of October 31, 2023 and 2022. During the years ended October 31, 2023 and 2022, we repatriated $47.1 million and $28.9 million, respectively, of foreign earnings from our international divisions.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believe that we have sufficient funds and adequate financial resources available to meet our anticipated liquidity needs. We expect to use our cash flow from operations to fund operations for the next twelve months and the foreseeable future.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believe these funds should be adequate to provide for our working capital requirements, capital expenditures, and dividends, while continuing to meet our debt service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maintain our $325.0 million Credit Facility, which contains a revolving credit facility, with Wells Fargo Securities, LLC, as Agent, Swingline Lender and Issuing Lender, and BofA Securities, Inc. serving as Syndication Agent. The Credit Facility has a five-year term, maturing on July 6, 2027, and requires interest payments calculated, at our election and depending upon our Consolidated Net Leverage Ratio, at a Base Rate plus an applicable margin or at the same rate as Risk-Free Rate (“RFR”) Loans for domestic borrowings or Eurocurrency Rate Loans plus an applicable margin. At the time of the initial borrowing, the applicable rate was RFR + 1.25%. In addition, we are subject to commitment fees for the unused portion of the Credit Facility. The applicable margin and commitment fees range from 0.15% to 0.25%, depending upon the type of loan and Consolidated Net Leverage Ratio.</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provides for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to conduct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pledged as collateral for the Credit Facility.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December 2021, our Board of Directors approved a new stock repurchase program that authorized the repurchase of up to $75.0 million worth of shares of our common stock. During the years ended October 31, 2023, 2022 and 2021, we purchased 275,000, 291,000 and 478,311 shares, respectively, at a cost of $5.6 million, $6.6 million and $11.2 million, respectively, under these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7"/>
          <w:szCs w:val="17"/>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 periods could result in an impairment charge in the period of the change. No impairment charges were incurred with regard to our property, plant and equipment for the years ended October 31, 2023, 2022 and 2021.</w:t>
      </w:r>
    </w:p>
    <w:p>
      <w:pPr>
        <w:spacing w:after="0" w:line="12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At our annual testing date, August 31, 2023, we had six reporting units with goodwill balances: three reporting units included in our NA Fenestration operating segment, two reporting units included in our EU Fenestration operating segment, and one reporting unit included in our NA Cabinet Components operating segment. We performed a qualitative assessment for the three of the reporting units in the NA Fenestration segment and the two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segment and the EU Fenestration segment that were assessed qualitatively. We also updated the quantitative assessments for the reportable unit in the NA Cabinet Components segment. We determined the fair value of these reportable units exceeded the carrying value by 12.9% and concluded that no impairment was necessary.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operate in various jurisdictions and therefore our income tax expense relates to income taxes in the U.S., U.K., Canada, and Germany, as well as local and state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35"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Annually, we evaluate our tax positions to determine if there have been any changes in uncertain tax positions or if there has been a lapse in the statute of limitations with regard to such positions. As of October 31, 2023 and 2022 our liability for uncertain tax positions was $0.3 million and $1.4 million, respectively. These tax positions related to certain federal and state tax items regarding the interpretation of tax laws and regulations.</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we will have sufficient taxable income in the future to fully utilize our deferred tax assets recorded as of October 31, 2023, net of our valuation allowance. There is a risk that our estimates related to the future use of loss carry forwards and our ability to realize our deferred tax assets may not come to fruition, and that the results could materially impact our financial position and results of operations. Our total gross deferred tax assets as of October 31, 2023 and 2022 were $11.8 million and $13.9 million, respectively, for which we reserved a valuation allowance of $0.6 million and $0.5 million for the corresponding periods.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2023, 2022 and 2021, our inventory reserves are approximately 3% of gross inventory.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have historically sponsored a defined benefit pension plan.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During the three months ended October 31, 2023, we contributed $6.3 million to the pension plan and settled the pension benefit obligation and the defined benefit pension plan as terminated. As a result, our accumulated benefit obligation was zero as of October 31, 2023.</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Under U.S. GAAP, we are not required to immediately recognize the effects of a deviation between actual and assumed experience under our pension plan, or to revise our estimate as a result. This approach allows the favorable and unfavorable effects that fall within an acceptable range to be netted and disclosed as an unrecognized gain or loss. As of October 31, 2023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and 2022, a net actuarial loss of zero and $3.6 million, respectively, was included in our accumulated other comprehensive income. There were no net prior service costs or transition obligations for the years ended October 31, 2023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contractual obligations and commercial commitments include unconditional purchase obligations which consist of commitments to buy miscellaneous parts, inventory, and expenditures related to capital projects in progress.</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supplemental benefit plan and deferred compensation plans were terminated in June 2023. As a result, our liabilities for these plans will be distributed in June 2024 in accordance with IRS requirements. As of October 31, 2023, our liability under the supplemental benefit plan and the deferred compensation plan was approximately $2.0 million and $3.9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experienced the impact of inflation on our cost of raw materials, labor, freight and overhead, particularly during the year ended October 31, 2023. Although we use contractual price indexing along with periodic base price increases to minimize the effect of inflation on our results, we have not been able to fully recover all of the inflationary cost increases. We cannot provide assurance that our results of operations and financial position will not be materially impacted by inflation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twelve months ended October 31, 2023. As of October 31, 2023, we believe the impact of any recently issued standards that are not yet effective are either not applicable to us at this time or will not have a material impact on our condensed consolidated financial statements upon adoption.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173"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October 31, 2023, a hypothetical 1.0% increase or decrease in interest rates could result in approximately $0.2 million of additional pre-tax charges or credit to our operating results. This sensitivity pertains primarily to our outstanding revolving credit facility borrowings outstanding under the Credit Facility as of October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46"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derivatives outstanding as of October 31, 2023 or 2022.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6"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9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8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82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1280" w:type="dxa"/>
            <w:vAlign w:val="bottom"/>
          </w:tcPr>
          <w:p>
            <w:pPr>
              <w:spacing w:after="0"/>
              <w:rPr>
                <w:sz w:val="24"/>
                <w:szCs w:val="24"/>
                <w:color w:val="auto"/>
              </w:rPr>
            </w:pPr>
          </w:p>
        </w:tc>
        <w:tc>
          <w:tcPr>
            <w:tcW w:w="86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5"/>
        </w:trPr>
        <w:tc>
          <w:tcPr>
            <w:tcW w:w="128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99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Reports of Independent Registered Public Accounting Firm (PCAOB ID 248)</w:t>
            </w:r>
          </w:p>
        </w:tc>
        <w:tc>
          <w:tcPr>
            <w:tcW w:w="640" w:type="dxa"/>
            <w:vAlign w:val="bottom"/>
            <w:gridSpan w:val="2"/>
          </w:tcPr>
          <w:p>
            <w:pPr>
              <w:jc w:val="center"/>
              <w:ind w:left="370"/>
              <w:spacing w:after="0" w:line="182" w:lineRule="exact"/>
              <w:rPr>
                <w:sz w:val="20"/>
                <w:szCs w:val="20"/>
                <w:color w:val="auto"/>
              </w:rPr>
            </w:pPr>
            <w:r>
              <w:rPr>
                <w:rFonts w:ascii="Times New Roman" w:cs="Times New Roman" w:eastAsia="Times New Roman" w:hAnsi="Times New Roman"/>
                <w:sz w:val="18"/>
                <w:szCs w:val="18"/>
                <w:color w:val="0000FF"/>
                <w:w w:val="99"/>
              </w:rPr>
              <w:t>31</w:t>
            </w:r>
          </w:p>
        </w:tc>
        <w:tc>
          <w:tcPr>
            <w:tcW w:w="460" w:type="dxa"/>
            <w:vAlign w:val="bottom"/>
          </w:tcPr>
          <w:p>
            <w:pPr>
              <w:spacing w:after="0"/>
              <w:rPr>
                <w:sz w:val="15"/>
                <w:szCs w:val="15"/>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34</w:t>
            </w:r>
          </w:p>
        </w:tc>
        <w:tc>
          <w:tcPr>
            <w:tcW w:w="460" w:type="dxa"/>
            <w:vAlign w:val="bottom"/>
          </w:tcPr>
          <w:p>
            <w:pPr>
              <w:spacing w:after="0"/>
              <w:rPr>
                <w:sz w:val="18"/>
                <w:szCs w:val="18"/>
                <w:color w:val="auto"/>
              </w:rPr>
            </w:pPr>
          </w:p>
        </w:tc>
      </w:tr>
      <w:tr>
        <w:trPr>
          <w:trHeight w:val="244"/>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r>
      <w:tr>
        <w:trPr>
          <w:trHeight w:val="193"/>
        </w:trPr>
        <w:tc>
          <w:tcPr>
            <w:tcW w:w="9900" w:type="dxa"/>
            <w:vAlign w:val="bottom"/>
            <w:gridSpan w:val="2"/>
          </w:tcPr>
          <w:p>
            <w:pPr>
              <w:ind w:left="380"/>
              <w:spacing w:after="0" w:line="193" w:lineRule="exact"/>
              <w:rPr>
                <w:sz w:val="20"/>
                <w:szCs w:val="20"/>
                <w:color w:val="auto"/>
              </w:rPr>
            </w:pPr>
            <w:r>
              <w:rPr>
                <w:rFonts w:ascii="Times New Roman" w:cs="Times New Roman" w:eastAsia="Times New Roman" w:hAnsi="Times New Roman"/>
                <w:sz w:val="18"/>
                <w:szCs w:val="18"/>
                <w:color w:val="auto"/>
              </w:rPr>
              <w:t>Consolidated Balance Sheets</w:t>
            </w:r>
          </w:p>
        </w:tc>
        <w:tc>
          <w:tcPr>
            <w:tcW w:w="640" w:type="dxa"/>
            <w:vAlign w:val="bottom"/>
            <w:gridSpan w:val="2"/>
          </w:tcPr>
          <w:p>
            <w:pPr>
              <w:jc w:val="center"/>
              <w:ind w:left="370"/>
              <w:spacing w:after="0" w:line="193" w:lineRule="exact"/>
              <w:rPr>
                <w:sz w:val="20"/>
                <w:szCs w:val="20"/>
                <w:color w:val="auto"/>
              </w:rPr>
            </w:pPr>
            <w:r>
              <w:rPr>
                <w:rFonts w:ascii="Times New Roman" w:cs="Times New Roman" w:eastAsia="Times New Roman" w:hAnsi="Times New Roman"/>
                <w:sz w:val="18"/>
                <w:szCs w:val="18"/>
                <w:color w:val="0000FF"/>
                <w:w w:val="99"/>
              </w:rPr>
              <w:t>35</w:t>
            </w:r>
          </w:p>
        </w:tc>
        <w:tc>
          <w:tcPr>
            <w:tcW w:w="460" w:type="dxa"/>
            <w:vAlign w:val="bottom"/>
          </w:tcPr>
          <w:p>
            <w:pPr>
              <w:spacing w:after="0"/>
              <w:rPr>
                <w:sz w:val="16"/>
                <w:szCs w:val="16"/>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37</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 of Stockholders’ Equity</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40</w:t>
            </w:r>
          </w:p>
        </w:tc>
        <w:tc>
          <w:tcPr>
            <w:tcW w:w="4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07" w:right="5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Quanex Building Products Corporation (a Delaware corporation) and subsidiaries (the “Company”) as of October 31, 2023 and 2022, the related consolidated statements of income, comprehensive income, stockholders’ equity, and cash flows for each of the three years in the period ended October 31, 2023, and the related notes (collectively referred to as the “financial statements”). In our opinion, the financial statements present fairly, in all material respects, the financial position of the Company as of October 31, 2023 and 2022, and the results of its operations and its cash flows for each of the three years in the period ended October 31, 2023, in conformity with accounting principles generally accepted in the United States of America.</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October 31, 2023, based on criteria established in the 2013 Internal Control—Integrated Framework issued by the Committee of Sponsoring Organizations of the Treadway Commission (“COSO”), and our report dated December 15, 2023 expressed an unqualified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goodwill impairment assessment of the reporting unit included in the North American Cabinet Components operating segment</w:t>
      </w:r>
    </w:p>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performs its annual goodwill impairment test as of August 31. The Company performed a quantitative assessment of the reporting unit included in the North American Cabinet Components operating segment primarily due to the history of a narrow margin of fair value over carrying value in the quantitative assessments performed in prior years. We identified the estimation of the fair value of this reporting unit as a critical audit matter.</w:t>
      </w:r>
    </w:p>
    <w:p>
      <w:pPr>
        <w:spacing w:after="0" w:line="1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estimation of the fair value of this reporting unit is a critical audit matter relates to the use of the income approach which is one method management uses to estimate the fair value of the reporting unit. Auditing the fair value of the reporting unit involved a high degree of auditor judgment, subjectivity and audit effort in evaluating management’s significant assumptions used in the income approach, including future cash flows related to the reporting unit and the weighted average cost of capital (WACC). In addition, the audit effort involved the use of valuation specialists to assist in performing these procedures and evaluating the audit evidence obtained.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the fair value of this reporting unit included the following, among others.</w:t>
      </w:r>
    </w:p>
    <w:p>
      <w:pPr>
        <w:spacing w:after="0" w:line="236" w:lineRule="exact"/>
        <w:rPr>
          <w:sz w:val="20"/>
          <w:szCs w:val="20"/>
          <w:color w:val="auto"/>
        </w:rPr>
      </w:pPr>
    </w:p>
    <w:p>
      <w:pPr>
        <w:ind w:left="660" w:hanging="330"/>
        <w:spacing w:after="0" w:line="24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impairment including those over the determination of fair value, including controls relating to management’s development of forecasts of future revenues, earnings, cash flows and WACC.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60" w:hanging="330"/>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revenues, earnings and cash flows by comparing actual results to management’s historical forecasts.</w:t>
      </w:r>
    </w:p>
    <w:p>
      <w:pPr>
        <w:jc w:val="both"/>
        <w:ind w:left="660" w:hanging="330"/>
        <w:spacing w:after="0" w:line="21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revenues, earnings and cash flows by comparing the forecasts to historical revenues, earnings and cash flows, current budgets, our understanding of the current business strategy, communications to the Board of Directors, press releases and industry reports.</w:t>
      </w:r>
    </w:p>
    <w:p>
      <w:pPr>
        <w:ind w:left="660" w:hanging="330"/>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evaluate the reasonableness of the WACC used by management, including the testing of underlying source information and developing a range of independent estimates and comparing those to the rate selected by management.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Quanex Building Products Corporation (a Delaware corporation) and subsidiaries (the “Company”) as of October 31, 2023,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October 31, 2023, based on criteria established in the 2013 Internal Control—Integrated Framework issued by COSO.</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October 31, 2023, and our report dated December 15, 2023 expressed an unqualified opinion on those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October 31, 2023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Based on this assessment, management has concluded that, as of October 31, 2023,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132"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Grant Thornton LLP, the Company’s independent registered public accounting firm, has issued an attestation report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October 31, 2023 and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16"/>
                <w:szCs w:val="16"/>
                <w:color w:val="auto"/>
              </w:rPr>
            </w:pPr>
          </w:p>
        </w:tc>
      </w:tr>
      <w:tr>
        <w:trPr>
          <w:trHeight w:val="25"/>
        </w:trPr>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7"/>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60" w:type="dxa"/>
            <w:vAlign w:val="bottom"/>
            <w:gridSpan w:val="4"/>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3"/>
        </w:trPr>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940" w:type="dxa"/>
            <w:vAlign w:val="bottom"/>
          </w:tcPr>
          <w:p>
            <w:pPr>
              <w:spacing w:after="0"/>
              <w:rPr>
                <w:sz w:val="16"/>
                <w:szCs w:val="16"/>
                <w:color w:val="auto"/>
              </w:rPr>
            </w:pPr>
          </w:p>
        </w:tc>
      </w:tr>
      <w:tr>
        <w:trPr>
          <w:trHeight w:val="221"/>
        </w:trPr>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55,093</w:t>
            </w:r>
          </w:p>
        </w:tc>
      </w:tr>
      <w:tr>
        <w:trPr>
          <w:trHeight w:val="212"/>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$843 and $289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96,018</w:t>
            </w: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97,959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120,890</w:t>
            </w:r>
          </w:p>
        </w:tc>
      </w:tr>
      <w:tr>
        <w:trPr>
          <w:trHeight w:val="226"/>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8,664</w:t>
            </w:r>
          </w:p>
        </w:tc>
      </w:tr>
      <w:tr>
        <w:trPr>
          <w:trHeight w:val="206"/>
        </w:trPr>
        <w:tc>
          <w:tcPr>
            <w:tcW w:w="83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280,665</w:t>
            </w:r>
          </w:p>
        </w:tc>
      </w:tr>
      <w:tr>
        <w:trPr>
          <w:trHeight w:val="218"/>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shd w:val="clear" w:color="auto" w:fill="CCEEFF"/>
              </w:rPr>
              <w:t>$368,763</w:t>
            </w:r>
          </w:p>
        </w:tc>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$348,528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250,664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180,400</w:t>
            </w: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56,000</w:t>
            </w: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182,956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137,855</w:t>
            </w: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74,115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65,035</w:t>
            </w: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w:t>
            </w:r>
          </w:p>
        </w:tc>
      </w:tr>
      <w:tr>
        <w:trPr>
          <w:trHeight w:val="206"/>
        </w:trPr>
        <w:tc>
          <w:tcPr>
            <w:tcW w:w="83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831,143</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724,617</w:t>
            </w: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1200" w:type="dxa"/>
            <w:vAlign w:val="bottom"/>
            <w:shd w:val="clear" w:color="auto" w:fill="CCEEFF"/>
          </w:tcPr>
          <w:p>
            <w:pPr>
              <w:spacing w:after="0"/>
              <w:rPr>
                <w:sz w:val="16"/>
                <w:szCs w:val="16"/>
                <w:color w:val="auto"/>
              </w:rPr>
            </w:pPr>
          </w:p>
        </w:tc>
        <w:tc>
          <w:tcPr>
            <w:tcW w:w="7160" w:type="dxa"/>
            <w:vAlign w:val="bottom"/>
            <w:gridSpan w:val="4"/>
            <w:shd w:val="clear" w:color="auto" w:fill="CCEEFF"/>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77,907</w:t>
            </w:r>
          </w:p>
        </w:tc>
      </w:tr>
      <w:tr>
        <w:trPr>
          <w:trHeight w:val="212"/>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52,114</w:t>
            </w: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12"/>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w:t>
            </w:r>
          </w:p>
        </w:tc>
      </w:tr>
      <w:tr>
        <w:trPr>
          <w:trHeight w:val="206"/>
        </w:trPr>
        <w:tc>
          <w:tcPr>
            <w:tcW w:w="83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139,843</w:t>
            </w: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29,628</w:t>
            </w: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49,286</w:t>
            </w: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pension</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22,277</w:t>
            </w: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2"/>
        </w:trPr>
        <w:tc>
          <w:tcPr>
            <w:tcW w:w="83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14,747</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13,470</w:t>
            </w:r>
          </w:p>
        </w:tc>
      </w:tr>
      <w:tr>
        <w:trPr>
          <w:trHeight w:val="211"/>
        </w:trPr>
        <w:tc>
          <w:tcPr>
            <w:tcW w:w="83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285,589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259,782</w:t>
            </w:r>
          </w:p>
        </w:tc>
      </w:tr>
      <w:tr>
        <w:trPr>
          <w:trHeight w:val="212"/>
        </w:trPr>
        <w:tc>
          <w:tcPr>
            <w:tcW w:w="8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8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Preferred stock, no par value, shares authorized 1,000,000 issued and outstanding - none</w:t>
            </w:r>
          </w:p>
        </w:tc>
        <w:tc>
          <w:tcPr>
            <w:tcW w:w="3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7"/>
        </w:trPr>
        <w:tc>
          <w:tcPr>
            <w:tcW w:w="8360" w:type="dxa"/>
            <w:vAlign w:val="bottom"/>
            <w:gridSpan w:val="5"/>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 xml:space="preserve">Common </w:t>
            </w:r>
            <w:r>
              <w:rPr>
                <w:rFonts w:ascii="Times New Roman" w:cs="Times New Roman" w:eastAsia="Times New Roman" w:hAnsi="Times New Roman"/>
                <w:sz w:val="16"/>
                <w:szCs w:val="16"/>
                <w:color w:val="auto"/>
                <w:shd w:val="clear" w:color="auto" w:fill="CCEEFF"/>
              </w:rPr>
              <w:t>stock, $0.01 par value, shares authorized 125,000,000 issued 37,176,958 and 37,211,056 respectively; outstanding</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2"/>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shd w:val="clear" w:color="auto" w:fill="CCEEFF"/>
              </w:rPr>
              <w:t>33,011,119 and 33,129,250, respectively</w:t>
            </w:r>
          </w:p>
        </w:tc>
        <w:tc>
          <w:tcPr>
            <w:tcW w:w="2160" w:type="dxa"/>
            <w:vAlign w:val="bottom"/>
            <w:gridSpan w:val="2"/>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2"/>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251,576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251,947</w:t>
            </w:r>
          </w:p>
        </w:tc>
      </w:tr>
      <w:tr>
        <w:trPr>
          <w:trHeight w:val="218"/>
        </w:trPr>
        <w:tc>
          <w:tcPr>
            <w:tcW w:w="8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409,318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337,456</w:t>
            </w:r>
          </w:p>
        </w:tc>
      </w:tr>
      <w:tr>
        <w:trPr>
          <w:trHeight w:val="212"/>
        </w:trPr>
        <w:tc>
          <w:tcPr>
            <w:tcW w:w="83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(49,422)</w:t>
            </w:r>
          </w:p>
        </w:tc>
      </w:tr>
      <w:tr>
        <w:trPr>
          <w:trHeight w:val="218"/>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Treasury</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xml:space="preserve">stock </w:t>
            </w:r>
            <w:r>
              <w:rPr>
                <w:rFonts w:ascii="Times New Roman" w:cs="Times New Roman" w:eastAsia="Times New Roman" w:hAnsi="Times New Roman"/>
                <w:sz w:val="16"/>
                <w:szCs w:val="16"/>
                <w:color w:val="auto"/>
                <w:w w:val="98"/>
                <w:shd w:val="clear" w:color="auto" w:fill="CCEEFF"/>
              </w:rPr>
              <w:t>at cost, 4,165,839 and 4,081,806 shares, respectively</w:t>
            </w:r>
          </w:p>
        </w:tc>
        <w:tc>
          <w:tcPr>
            <w:tcW w:w="3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(77,571)</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(75,518)</w:t>
            </w:r>
          </w:p>
        </w:tc>
      </w:tr>
      <w:tr>
        <w:trPr>
          <w:trHeight w:val="206"/>
        </w:trPr>
        <w:tc>
          <w:tcPr>
            <w:tcW w:w="8360" w:type="dxa"/>
            <w:vAlign w:val="bottom"/>
            <w:tcBorders>
              <w:bottom w:val="single" w:sz="8" w:color="CCEEFF"/>
            </w:tcBorders>
            <w:gridSpan w:val="5"/>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545,554</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464,835</w:t>
            </w:r>
          </w:p>
        </w:tc>
      </w:tr>
      <w:tr>
        <w:trPr>
          <w:trHeight w:val="233"/>
        </w:trPr>
        <w:tc>
          <w:tcPr>
            <w:tcW w:w="8360" w:type="dxa"/>
            <w:vAlign w:val="bottom"/>
            <w:tcBorders>
              <w:bottom w:val="single" w:sz="8" w:color="CCEEFF"/>
            </w:tcBorders>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831,143</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724,617</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2023,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8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1,130,583</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1,221,502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1,072,149</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and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853,059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953,004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831,541</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117,108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115,967</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42,866</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40,109</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42,732</w:t>
            </w:r>
          </w:p>
        </w:tc>
      </w:tr>
      <w:tr>
        <w:trPr>
          <w:trHeight w:val="21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110,701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81,870</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12"/>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1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109,763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80,094</w:t>
            </w:r>
          </w:p>
        </w:tc>
      </w:tr>
      <w:tr>
        <w:trPr>
          <w:trHeight w:val="21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(21,427)</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(23,114)</w:t>
            </w: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69"/>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69"/>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33,193</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33,495</w:t>
            </w:r>
          </w:p>
        </w:tc>
      </w:tr>
      <w:tr>
        <w:trPr>
          <w:trHeight w:val="269"/>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per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2023,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6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82,501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gain (loss)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12"/>
        </w:trPr>
        <w:tc>
          <w:tcPr>
            <w:tcW w:w="6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(pretax)</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tax expense</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06"/>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11,281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(27,652)</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11,254</w:t>
            </w: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93,782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60,684</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October 31, 2023, 2022 and 2021</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Other</w:t>
            </w: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37,296,166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253,458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4,102</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of tax benefit of $1,375)</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2021</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37,273,510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254,162</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259,718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(3,998,725)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419,782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tax of expense of $215)</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37,211,056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251,947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337,456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(4,081,806)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464,835</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of tax expense of $819)</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37,176,958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251,576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409,318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(38,141)</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(4,165,839)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545,554</w:t>
            </w:r>
          </w:p>
        </w:tc>
        <w:tc>
          <w:tcPr>
            <w:tcW w:w="0" w:type="dxa"/>
            <w:vAlign w:val="bottom"/>
          </w:tcPr>
          <w:p>
            <w:pPr>
              <w:spacing w:after="0"/>
              <w:rPr>
                <w:sz w:val="1"/>
                <w:szCs w:val="1"/>
                <w:color w:val="auto"/>
              </w:rPr>
            </w:pPr>
          </w:p>
        </w:tc>
      </w:tr>
      <w:tr>
        <w:trPr>
          <w:trHeight w:val="23"/>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6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Years Ended October 31, 2023, 2022 and 2021</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2"/>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56,980</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42,732</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disposition of capital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accounts receivable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(19,017)</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inventory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(31,382)</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other current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accrued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16,212</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income taxes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deferred pension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other long-term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78,588</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(24,008)</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capital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0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(18,708)</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other long-term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16,272</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 paid to settle shares forfeited upon vesting of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w:t>
            </w:r>
          </w:p>
        </w:tc>
      </w:tr>
      <w:tr>
        <w:trPr>
          <w:trHeight w:val="20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(45,879)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(71,861)</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0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40,061</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51,621</w:t>
            </w:r>
          </w:p>
        </w:tc>
      </w:tr>
      <w:tr>
        <w:trPr>
          <w:trHeight w:val="208"/>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58,474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40,061</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left="340" w:right="5000" w:hanging="333"/>
        <w:spacing w:after="0" w:line="438" w:lineRule="auto"/>
        <w:tabs>
          <w:tab w:leader="none" w:pos="19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Operations, Basis of Presentation and Significant Accounting Policies </w:t>
      </w:r>
      <w:r>
        <w:rPr>
          <w:rFonts w:ascii="Times New Roman" w:cs="Times New Roman" w:eastAsia="Times New Roman" w:hAnsi="Times New Roman"/>
          <w:sz w:val="18"/>
          <w:szCs w:val="18"/>
          <w:b w:val="1"/>
          <w:bCs w:val="1"/>
          <w:i w:val="1"/>
          <w:iCs w:val="1"/>
          <w:color w:val="auto"/>
        </w:rPr>
        <w:t>Nature of Operations</w:t>
      </w:r>
    </w:p>
    <w:p>
      <w:pPr>
        <w:spacing w:after="0" w:line="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fencing, water retention barriers, and conservatory roof components. We have organized our business into three reportable business segments: (1) North American Fenestration (NA Fenestration), (2) European Fenestration (EU Fenestration) and (3) North American Cabinet Components (NA Cabinet Components). For additional discussion of our reportable business segments, see Note 17, “Segment Information.”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1"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In our opinion, these audited financial statements contain all adjustments necessary to fairly present our financial position, results of operations and cash flows for the periods presented.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 summary of our significant accounting policies consistently applied in the preparation of the accompanying consolidated financial statements follows: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5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Shipping and handling cost</w:t>
      </w:r>
      <w:r>
        <w:rPr>
          <w:rFonts w:ascii="Times New Roman" w:cs="Times New Roman" w:eastAsia="Times New Roman" w:hAnsi="Times New Roman"/>
          <w:sz w:val="18"/>
          <w:szCs w:val="18"/>
          <w:b w:val="1"/>
          <w:bCs w:val="1"/>
          <w:i w:val="1"/>
          <w:iCs w:val="1"/>
          <w:color w:val="auto"/>
        </w:rPr>
        <w: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insulating glass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years ended October 31, 2023, 2022, and 2021 into groupings by segment which we believe depicts how the nature, amount, timing and uncertainty of our revenues and cash flows are affected by economic factors. For further details regarding our results by segment, refer to Note 17, “Segment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Fenestration:</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609,572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507,634</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34,610</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24,534</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667,482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687,458</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578,332</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199,511</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52,088</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262,058</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251,599</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Cabinet Components: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230,559</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246,075</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22"/>
        </w:trPr>
        <w:tc>
          <w:tcPr>
            <w:tcW w:w="7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4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1,072,149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 for Credit Losses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years ended October 31, 2023 and 2022, one customer provided more than 10% of our consolidated net sales. For the year ended October 31, 2021, no customer provided more than 10% of our consolidated net sales.</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2023. Different assumptions or changes in economic circumstances could result in changes to the allowance.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are evaluated and expensed in the period, to ensure that inventory is properly capitalized. Inventory quantities are regularly reviewed and provisions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3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to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136"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the year ended October 31, 2022, our North American vinyl extrusion operations in our NA Fenestration segment experienced lower-than-expected operating results due to the continued impact of inflation and historical customer contracts which prevent us from passing on the full impact of higher costs to our customers. We determined that this condition was an indicator of a triggering event which necessitated an evaluation of certain long-term assets used in this business for potential impairment. We compared the projected undiscounted cash flows we expected to realize associated with these assets over the remaining useful lives of the primary operating assets to the net book value of the long-term assets and determined that these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assets were not impaired. Should we be unable to successfully increase prices to offset inflation, it is possible that we could incur an impairment in the future.</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There were no other indicators of triggering events noted for any period in the years ended October 31, 2023 and 2022. Therefore, we did not record an impairment charge related to property, plant and equipment or intangible assets with defined lives during the years ended October 31, 2023, 2022 and 2021.</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 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Property, plant and equipment is stated at cost and is depreciated using the straight-line method over the estimated useful lives of the assets. We capitalize betterments which extend the useful lives or significantly improve the operational efficiency of assets. We expense repair and maintenance costs as incurred.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useful lives of our primary asset categories at October 31, 2023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0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5"/>
        </w:trPr>
        <w:tc>
          <w:tcPr>
            <w:tcW w:w="9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shd w:val="clear" w:color="auto" w:fill="CCEEFF"/>
              </w:rPr>
              <w:t>7</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25</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 to 40</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 to 20</w:t>
            </w:r>
          </w:p>
        </w:tc>
      </w:tr>
      <w:tr>
        <w:trPr>
          <w:trHeight w:val="234"/>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 to 15</w:t>
            </w:r>
          </w:p>
        </w:tc>
      </w:tr>
    </w:tbl>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lives or the term of the lease.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At our annual testing date, August 31, 2023, we had six reporting units with goodwill balances: three reporting units included in our NA Fenestration operating segment, two reporting units included in our EU Fenestration operating segment, and one reporting unit included in our NA Cabinet Components operating segment. We performed a qualitative assessment of three of the reporting units in the NA Fenestration segment and two of the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these five reporting units. Also, at our annual testing date, we performed a quantitative assessment of the reporting unit in our NA Cabinet Components segment primarily due to the impairment of goodwill during the second and fourth quarters of 2019 and the history of a narrow margin of fair value above carrying value in quantitative assessments performed in prior years. We determined that the fair value of this reporting unit exceeded the carrying value and concluded that no impairment was necessary.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historically sponsored a defined benefit pension plan. To measure our liabilities associated with these plans, we made assumptions related to future events, including expected return on plan assets, and rate of compensation increases. The discount rate reflected the rate at which benefits could be effectively settled on the measurement date. We determined our discount rate using a FTSE Above Median pension discount curve whereby target yields were developed from bonds across a range of maturity points, and a curve was fitted to those targets. Spot rates (zero coupon bond yields) were developed from the curve and used to discount benefit payments associated with each future year. During the year ended October 31, 2023, the defined benefit pension plan as terminated and the pension obligation was settled.</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w:t>
      </w:r>
    </w:p>
    <w:p>
      <w:pPr>
        <w:spacing w:after="0" w:line="13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We have recorded a liability for uncertain tax positions which stem from certain state tax items related to the interpretation of tax laws and regulations. We continue to evaluate our positions regarding various state tax interpretations at each reporting date, until the applicable statute of limitations lapse.</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into U.S. law. This Act did not have a material impact to our consolidated financial statements.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historically used financial and commodity-based derivative contracts to manage our exposure to fluctuations in foreign currency exchange rates and aluminum prices. All derivatives are measured at fair value on a recurring basis. We have not designated the derivative instruments we use as cash flow hedges under ASC Topic 815 “Derivatives and Hedging”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presented in our reporting currency, the United States Dollar. Our German and U.K.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Occasionally, we enter into transactions that are denominated in currencies other than our functional currency.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income under the caption, “Other,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have issued stock-based compensation in the form of stock options to directors, employees and officers, and non-vested restricted stock awards to certain key employees and officers. We apply the provisions of ASC Topic 718 “Compensation - Stock Compensation”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3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2023 and 2022. See Note 14, “Stock-based Compensation.”</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we have granted performance share awards which use return on net assets as the vesting condition and the awards settle in cash. We use a Monte Carlo simulation model to value the market condition and our stock price on the date of grant to value the internal performance condition and recognize expense ratably over the vesting period of three years. We estimate that the performance measures will be met and shares will vest at target until the year of settlement (third year of cliff vesting). As of October 31, 2023, we have deemed 122,400 performance share awards related to the December 2020 grants as probable to vest.</w:t>
      </w:r>
    </w:p>
    <w:p>
      <w:pPr>
        <w:spacing w:after="0" w:line="13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also granted performance restricted stock units which settle in shares upon vesting. These awards cliff vest upon a three-year service period with the absolute performance of our common stock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use a Monte Carlo simulation model to 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October 31, 2023, we have deemed 49,228 shares related to the December 2020 grants of performance restricted stock units as probable to vest.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Data</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supplemental cash flow information for the years ended October 31, 2023, 2022 and 2021 (in thousands):</w:t>
      </w:r>
    </w:p>
    <w:p>
      <w:pPr>
        <w:spacing w:after="0" w:line="206"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19050</wp:posOffset>
            </wp:positionV>
            <wp:extent cx="1971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activities: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8"/>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capitalized expenditures in 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Net sales for the year ended October 31, 2023, 2022, and 2021 included approximately $1.2 million, $1.9 million and zero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73" w:lineRule="exact"/>
        <w:rPr>
          <w:sz w:val="20"/>
          <w:szCs w:val="20"/>
          <w:color w:val="auto"/>
        </w:rPr>
      </w:pPr>
    </w:p>
    <w:p>
      <w:pPr>
        <w:ind w:right="2160" w:firstLine="403"/>
        <w:spacing w:after="0" w:line="280" w:lineRule="auto"/>
        <w:rPr>
          <w:sz w:val="20"/>
          <w:szCs w:val="20"/>
          <w:color w:val="auto"/>
        </w:rPr>
      </w:pPr>
      <w:r>
        <w:rPr>
          <w:rFonts w:ascii="Times New Roman" w:cs="Times New Roman" w:eastAsia="Times New Roman" w:hAnsi="Times New Roman"/>
          <w:sz w:val="18"/>
          <w:szCs w:val="18"/>
          <w:color w:val="auto"/>
        </w:rPr>
        <w:t>We have evaluated events occurring after the balance sheet date for possible disclosure as a subsequent event through the date the financial statements were issued.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paid $91.3 million in cash utilizing funds borrowed under our Credit Facility. Subsequent to the Acquisition, we had approximately $215 million available for use under the Credit Facility. For the twelve months ended October 31, 2023, our consolidated operating results included net sales of $75.6 million and operating income of $8.3 million associated with LMI.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purchase price has been allocated to the fair value of the assets acquired and liabilities assumed, as indicated in the table below.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8"/>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debt (finance leases)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net of cash and cash equivalents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87" w:lineRule="auto"/>
        <w:rPr>
          <w:sz w:val="20"/>
          <w:szCs w:val="20"/>
          <w:color w:val="auto"/>
        </w:rPr>
      </w:pPr>
      <w:r>
        <w:rPr>
          <w:rFonts w:ascii="Times New Roman" w:cs="Times New Roman" w:eastAsia="Times New Roman" w:hAnsi="Times New Roman"/>
          <w:sz w:val="17"/>
          <w:szCs w:val="17"/>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The goodwill balance is deductible for tax purposes. LMI is allocated entirely to our North American Fenestration reportable operating segment.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calculated the pro forma impact of the LMI acquisitions and the associated debt financing on our operating results for the twelve months ended October 31, 2022 and 2021. The following pro forma results give effect to these acquisitions, assuming the transaction occurred on November 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gridSpan w:val="3"/>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480" w:type="dxa"/>
            <w:vAlign w:val="bottom"/>
          </w:tcPr>
          <w:p>
            <w:pPr>
              <w:spacing w:after="0"/>
              <w:rPr>
                <w:sz w:val="17"/>
                <w:szCs w:val="17"/>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gridSpan w:val="3"/>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2"/>
          </w:tcPr>
          <w:p>
            <w:pPr>
              <w:jc w:val="center"/>
              <w:ind w:left="11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1,291,620</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94,235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2.85</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derived the pro forma results for the LMI acquisition based on historical financial information obtained from the sellers and certain management assumptions. Our pro forma adjustments relate to the elimination of LMI intercompany sales to our North American Fenestration reportable segment and related cost of sales, incremental depreciation and amortization expense associated with property, plant and equipment and intangible assets to affect the transactions, assuming a November 1, 2021 effective date. In addition, we calculated the tax impact of these adjustments at a 25% effective tax rate.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and Allowance for Credit Losses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 as of October 31, 2023 and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95,851</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96,307</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7"/>
        </w:trPr>
        <w:tc>
          <w:tcPr>
            <w:tcW w:w="6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changes in our allowance for credit losses were as follows (in thousands):</w:t>
            </w: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2022, 2021 and 2020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83"/>
        </w:trPr>
        <w:tc>
          <w:tcPr>
            <w:tcW w:w="64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Current period provision for expected credit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 2022 and 2021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Inventories consisted of the following at October 31, 2023 and 2022 (in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68,455</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54,013</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22"/>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124,019</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Inventory reserves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22"/>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The changes in our inventory reserve accounts were as follows (in thousands):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2022, 2021 and 2020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cost of sales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 2022 and 2021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3,114</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October 31, 2023 and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r>
      <w:tr>
        <w:trPr>
          <w:trHeight w:val="25"/>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105,696</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384,023</w:t>
            </w:r>
          </w:p>
        </w:tc>
      </w:tr>
      <w:tr>
        <w:trPr>
          <w:trHeight w:val="22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w:t>
            </w:r>
          </w:p>
        </w:tc>
      </w:tr>
      <w:tr>
        <w:trPr>
          <w:trHeight w:val="222"/>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619,427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528,928</w:t>
            </w:r>
          </w:p>
        </w:tc>
      </w:tr>
      <w:tr>
        <w:trPr>
          <w:trHeight w:val="22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368,763</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348,528</w:t>
            </w:r>
          </w:p>
        </w:tc>
      </w:tr>
      <w:tr>
        <w:trPr>
          <w:trHeight w:val="247"/>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250,664</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the years ended October 31, 2023, 2022, and 2021 was $27.6 million, $26.9 million and $28.8 million, respectively.</w:t>
      </w:r>
    </w:p>
    <w:p>
      <w:pPr>
        <w:spacing w:after="0" w:line="16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 October 31, 2023, 2022, and 2021. See further discussion at Note 1, “Nature of Operations, Basis of Presentation and Significant Accounting Policies - Long-Lived Assets - Property, Plant and Equipment and Intangible Assets with Defined Lives.”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(calculated as the present value of lease payments over the term of the lease)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and we determined there have been no triggering events for impairment.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 at October 31, 2023 and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480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40"/>
              <w:spacing w:after="0" w:line="201" w:lineRule="exact"/>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46,620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240"/>
              <w:spacing w:after="0" w:line="154" w:lineRule="exact"/>
              <w:rPr>
                <w:sz w:val="20"/>
                <w:szCs w:val="20"/>
                <w:color w:val="auto"/>
              </w:rPr>
            </w:pPr>
            <w:r>
              <w:rPr>
                <w:rFonts w:ascii="Times New Roman" w:cs="Times New Roman" w:eastAsia="Times New Roman" w:hAnsi="Times New Roman"/>
                <w:sz w:val="17"/>
                <w:szCs w:val="17"/>
                <w:color w:val="auto"/>
              </w:rPr>
              <w:t>Finance lease assets</w:t>
            </w:r>
          </w:p>
        </w:tc>
        <w:tc>
          <w:tcPr>
            <w:tcW w:w="5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w w:val="79"/>
              </w:rPr>
              <w:t>Property,</w:t>
            </w:r>
          </w:p>
        </w:tc>
        <w:tc>
          <w:tcPr>
            <w:tcW w:w="4260" w:type="dxa"/>
            <w:vAlign w:val="bottom"/>
            <w:gridSpan w:val="3"/>
            <w:shd w:val="clear" w:color="auto" w:fill="CCEEFF"/>
          </w:tcPr>
          <w:p>
            <w:pPr>
              <w:ind w:left="160"/>
              <w:spacing w:after="0" w:line="154" w:lineRule="exact"/>
              <w:rPr>
                <w:sz w:val="20"/>
                <w:szCs w:val="20"/>
                <w:color w:val="auto"/>
              </w:rPr>
            </w:pPr>
            <w:r>
              <w:rPr>
                <w:rFonts w:ascii="Times New Roman" w:cs="Times New Roman" w:eastAsia="Times New Roman" w:hAnsi="Times New Roman"/>
                <w:sz w:val="17"/>
                <w:szCs w:val="17"/>
                <w:color w:val="auto"/>
              </w:rPr>
              <w:t>plant and equipment (less accumulated depreciation of</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58,496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22,003</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$6,691</w:t>
            </w:r>
          </w:p>
        </w:tc>
        <w:tc>
          <w:tcPr>
            <w:tcW w:w="42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and $3,726)</w:t>
            </w: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5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78,003</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Current</w:t>
            </w:r>
          </w:p>
        </w:tc>
        <w:tc>
          <w:tcPr>
            <w:tcW w:w="5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7,224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7,727</w:t>
            </w: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Noncurrent</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52,309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17,816</w:t>
            </w:r>
          </w:p>
        </w:tc>
        <w:tc>
          <w:tcPr>
            <w:tcW w:w="0" w:type="dxa"/>
            <w:vAlign w:val="bottom"/>
          </w:tcPr>
          <w:p>
            <w:pPr>
              <w:spacing w:after="0"/>
              <w:rPr>
                <w:sz w:val="1"/>
                <w:szCs w:val="1"/>
                <w:color w:val="auto"/>
              </w:rPr>
            </w:pPr>
          </w:p>
        </w:tc>
      </w:tr>
      <w:tr>
        <w:trPr>
          <w:trHeight w:val="247"/>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8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year ended October 31, 2023 and 2022 (in thousands):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Operating lease cost</w:t>
            </w:r>
          </w:p>
        </w:tc>
        <w:tc>
          <w:tcPr>
            <w:tcW w:w="5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9,145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Finance lease cost</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gridSpan w:val="6"/>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3,285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Variable lease costs</w:t>
            </w:r>
          </w:p>
        </w:tc>
        <w:tc>
          <w:tcPr>
            <w:tcW w:w="5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1,663</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5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16,518</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12,826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year ended October 31, 2023 and 2022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20" w:type="dxa"/>
            <w:vAlign w:val="bottom"/>
            <w:tcBorders>
              <w:bottom w:val="single" w:sz="8" w:color="auto"/>
            </w:tcBorders>
          </w:tcPr>
          <w:p>
            <w:pPr>
              <w:spacing w:after="0"/>
              <w:rPr>
                <w:sz w:val="16"/>
                <w:szCs w:val="16"/>
                <w:color w:val="auto"/>
              </w:rPr>
            </w:pPr>
          </w:p>
        </w:tc>
      </w:tr>
      <w:tr>
        <w:trPr>
          <w:trHeight w:val="194"/>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8"/>
        </w:trPr>
        <w:tc>
          <w:tcPr>
            <w:tcW w:w="7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financing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1,162</w:t>
            </w: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operating cash flows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2,425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583</w:t>
            </w: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 - operating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9,179</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9,955</w:t>
            </w:r>
          </w:p>
        </w:tc>
      </w:tr>
      <w:tr>
        <w:trPr>
          <w:trHeight w:val="269"/>
        </w:trPr>
        <w:tc>
          <w:tcPr>
            <w:tcW w:w="7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13,872</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2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The table below presents the weighted average remaining lease terms and weighted average discount rates for the Company's leases as of October 31,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20" w:type="dxa"/>
            <w:vAlign w:val="bottom"/>
          </w:tcPr>
          <w:p>
            <w:pPr>
              <w:spacing w:after="0"/>
              <w:rPr>
                <w:sz w:val="16"/>
                <w:szCs w:val="16"/>
                <w:color w:val="auto"/>
              </w:rPr>
            </w:pPr>
          </w:p>
        </w:tc>
      </w:tr>
      <w:tr>
        <w:trPr>
          <w:trHeight w:val="25"/>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8"/>
        </w:trPr>
        <w:tc>
          <w:tcPr>
            <w:tcW w:w="6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69"/>
        </w:trPr>
        <w:tc>
          <w:tcPr>
            <w:tcW w:w="6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4.09 %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3.84 %</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3.78 %</w:t>
            </w:r>
          </w:p>
        </w:tc>
      </w:tr>
      <w:tr>
        <w:trPr>
          <w:trHeight w:val="444"/>
        </w:trPr>
        <w:tc>
          <w:tcPr>
            <w:tcW w:w="7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October 31, 2023 (in thousands):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3"/>
        </w:trPr>
        <w:tc>
          <w:tcPr>
            <w:tcW w:w="69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1"/>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5,061</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7,597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4,979</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4,812</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4,671</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4,312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4,534</w:t>
            </w:r>
          </w:p>
        </w:tc>
      </w:tr>
      <w:tr>
        <w:trPr>
          <w:trHeight w:val="202"/>
        </w:trPr>
        <w:tc>
          <w:tcPr>
            <w:tcW w:w="698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28,097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57,936</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60,313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81,993</w:t>
            </w:r>
          </w:p>
        </w:tc>
      </w:tr>
      <w:tr>
        <w:trPr>
          <w:trHeight w:val="202"/>
        </w:trPr>
        <w:tc>
          <w:tcPr>
            <w:tcW w:w="6980" w:type="dxa"/>
            <w:vAlign w:val="bottom"/>
            <w:tcBorders>
              <w:bottom w:val="single" w:sz="8" w:color="CCEEFF"/>
            </w:tcBorders>
          </w:tcPr>
          <w:p>
            <w:pPr>
              <w:ind w:left="140"/>
              <w:spacing w:after="0" w:line="201" w:lineRule="exact"/>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12,728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27,008</w:t>
            </w:r>
          </w:p>
        </w:tc>
      </w:tr>
      <w:tr>
        <w:trPr>
          <w:trHeight w:val="220"/>
        </w:trPr>
        <w:tc>
          <w:tcPr>
            <w:tcW w:w="69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47,585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54,985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years ended October 31, 2023 and 2022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06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2022 and 2021</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149,205</w:t>
            </w:r>
          </w:p>
        </w:tc>
      </w:tr>
      <w:tr>
        <w:trPr>
          <w:trHeight w:val="22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LMI acquisition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 and 2022</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137,855</w:t>
            </w:r>
          </w:p>
        </w:tc>
      </w:tr>
      <w:tr>
        <w:trPr>
          <w:trHeight w:val="20"/>
        </w:trPr>
        <w:tc>
          <w:tcPr>
            <w:tcW w:w="7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At our annual testing date, August 31, 2023, we had six reporting units with goodwill balances. Three of these units were included in our NA Fenestration segment and had goodwill balances of $41.4 million, $35.9 million and $2.8 million, two units were included in our EU Fenestration segment with goodwill balances of $47.8 million and $15.9 million, and our NA Cabinet Components segment had one unit with a goodwill balance of $39.2 million. The details of the results of our goodwill assessments during the year ended October 31, 2023 are more fully described at Note 1, “Nature of Operations, Basis of Presentation and Significant Accounting Policies - Long-Lived Assets - Goodwill.” For a summary of the change in the carrying amount of goodwill by segment, see Note 17, “Segment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October 31, 2023 and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6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60" w:type="dxa"/>
            <w:vAlign w:val="bottom"/>
          </w:tcPr>
          <w:p>
            <w:pPr>
              <w:spacing w:after="0"/>
              <w:rPr>
                <w:sz w:val="16"/>
                <w:szCs w:val="16"/>
                <w:color w:val="auto"/>
              </w:rPr>
            </w:pPr>
          </w:p>
        </w:tc>
        <w:tc>
          <w:tcPr>
            <w:tcW w:w="2580" w:type="dxa"/>
            <w:vAlign w:val="bottom"/>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5"/>
        </w:trPr>
        <w:tc>
          <w:tcPr>
            <w:tcW w:w="39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8"/>
        </w:trPr>
        <w:tc>
          <w:tcPr>
            <w:tcW w:w="3940" w:type="dxa"/>
            <w:vAlign w:val="bottom"/>
          </w:tcPr>
          <w:p>
            <w:pPr>
              <w:spacing w:after="0"/>
              <w:rPr>
                <w:sz w:val="11"/>
                <w:szCs w:val="11"/>
                <w:color w:val="auto"/>
              </w:rPr>
            </w:pPr>
          </w:p>
        </w:tc>
        <w:tc>
          <w:tcPr>
            <w:tcW w:w="1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Remaining Weighted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83"/>
        </w:trPr>
        <w:tc>
          <w:tcPr>
            <w:tcW w:w="394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 Useful Life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22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88,646</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 years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40,610</w:t>
            </w: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r>
      <w:tr>
        <w:trPr>
          <w:trHeight w:val="222"/>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151,351</w:t>
            </w:r>
          </w:p>
        </w:tc>
      </w:tr>
      <w:tr>
        <w:trPr>
          <w:trHeight w:val="20"/>
        </w:trPr>
        <w:tc>
          <w:tcPr>
            <w:tcW w:w="3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do not estimate a residual value associated with these intangible assets. See additional disclosure at Note 1, "Nature of Operations, Basis of Presentation and Significant Accounting Policies - Restructuring."</w:t>
      </w:r>
    </w:p>
    <w:p>
      <w:pPr>
        <w:spacing w:after="0" w:line="10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aggregate amortization expense associated with identifiable intangible assets for the years ended October 31, 2023, 2022, and 2021 was $12.1 million, $11.9 million and $12.8 million, respectively.</w:t>
      </w:r>
    </w:p>
    <w:p>
      <w:pPr>
        <w:spacing w:after="0" w:line="108" w:lineRule="exact"/>
        <w:rPr>
          <w:sz w:val="20"/>
          <w:szCs w:val="20"/>
          <w:color w:val="auto"/>
        </w:rPr>
      </w:pPr>
    </w:p>
    <w:p>
      <w:pPr>
        <w:ind w:right="360" w:firstLine="403"/>
        <w:spacing w:after="0" w:line="268"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October 31, 2023 (in thousands):</w:t>
      </w: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right"/>
              <w:ind w:right="59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3"/>
        </w:trPr>
        <w:tc>
          <w:tcPr>
            <w:tcW w:w="9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28"/>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28,090</w:t>
            </w:r>
          </w:p>
        </w:tc>
      </w:tr>
      <w:tr>
        <w:trPr>
          <w:trHeight w:val="247"/>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74,115</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incur impairment losses related to our identifiable intangible assets during the years ended October 31, 2023, 2022, and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at October 31, 2023 and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4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payroll taxes and employee benefits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insurance and workers compensation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(current portion)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247"/>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at October 31, 2023 and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4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22"/>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30,674</w:t>
            </w:r>
          </w:p>
        </w:tc>
      </w:tr>
      <w:tr>
        <w:trPr>
          <w:trHeight w:val="228"/>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2"/>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29,628</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during the year ended October 31, 2022. This $325.0 million revolving credit facility has a five-year term, maturing on July 6, 2027, and replaced our previous credit facility we entered into on October 18, 2018. Our previous credit facility is more fully described in our Annual Report on Form 10-K for the fiscal year ended October 31, 2021.</w:t>
      </w:r>
    </w:p>
    <w:p>
      <w:pPr>
        <w:spacing w:after="0" w:line="11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Interest payments for the Credit Facility are calculated, at our election and depending upon the Consolidated Net Leverage Ratio, at a Base Rate plus an applicable margin or at the same rate as Risk-Free Rate (“RFR”) Loans for domestic borrowings or Eurocurrency Rate Loans plus an applicable margin. In addition, we are subject to commitment fees for the unused portion of the Credit Facility. As of October 31, 2023, the applicable rate was RFR + 1.25%.</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Eurocurrency Rate</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530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1900" w:type="dxa"/>
            <w:vAlign w:val="bottom"/>
            <w:vMerge w:val="restart"/>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Loans and RFR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06"/>
        </w:trPr>
        <w:tc>
          <w:tcPr>
            <w:tcW w:w="1180" w:type="dxa"/>
            <w:vAlign w:val="bottom"/>
            <w:tcBorders>
              <w:bottom w:val="single" w:sz="8" w:color="auto"/>
            </w:tcBorders>
            <w:vMerge w:val="continue"/>
          </w:tcPr>
          <w:p>
            <w:pPr>
              <w:spacing w:after="0"/>
              <w:rPr>
                <w:sz w:val="17"/>
                <w:szCs w:val="17"/>
                <w:color w:val="auto"/>
              </w:rPr>
            </w:pPr>
          </w:p>
        </w:tc>
        <w:tc>
          <w:tcPr>
            <w:tcW w:w="530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than or equal to 1.50 to 1.00</w:t>
            </w:r>
          </w:p>
        </w:tc>
        <w:tc>
          <w:tcPr>
            <w:tcW w:w="19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0.150%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2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Greater than 1.50 to 1.00, but less than or equal to 2.25 to 1.00</w:t>
            </w:r>
          </w:p>
        </w:tc>
        <w:tc>
          <w:tcPr>
            <w:tcW w:w="190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0.175%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0" w:type="dxa"/>
            <w:vAlign w:val="bottom"/>
          </w:tcPr>
          <w:p>
            <w:pPr>
              <w:spacing w:after="0"/>
              <w:rPr>
                <w:sz w:val="1"/>
                <w:szCs w:val="1"/>
                <w:color w:val="auto"/>
              </w:rPr>
            </w:pPr>
          </w:p>
        </w:tc>
      </w:tr>
      <w:tr>
        <w:trPr>
          <w:trHeight w:val="228"/>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Greater than 2.25 to 1.00, but less than or equal to 3.00 to 1.00</w:t>
            </w:r>
          </w:p>
        </w:tc>
        <w:tc>
          <w:tcPr>
            <w:tcW w:w="19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0.200%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0" w:type="dxa"/>
            <w:vAlign w:val="bottom"/>
          </w:tcPr>
          <w:p>
            <w:pPr>
              <w:spacing w:after="0"/>
              <w:rPr>
                <w:sz w:val="1"/>
                <w:szCs w:val="1"/>
                <w:color w:val="auto"/>
              </w:rPr>
            </w:pPr>
          </w:p>
        </w:tc>
      </w:tr>
      <w:tr>
        <w:trPr>
          <w:trHeight w:val="23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Greater than 3.00 to 1.00</w:t>
            </w:r>
          </w:p>
        </w:tc>
        <w:tc>
          <w:tcPr>
            <w:tcW w:w="190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0.250%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Agreement.</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the Consolidated Net Leverage Ratio, as defined, must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As of October 31, 2023, we had $15.0 million of borrowings outstanding under the Credit Facility (reduced by unamortized debt issuance costs of $1.2 million), $5.0 million of outstanding letters of credit and $55.0 million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primarily under finance leases and other debt. We had $305.0 million available for use under the Credit Facility at October 31, 2023. The borrowings outstanding as of October 31, 2023 under the Credit Facility accrue interest at 6.67% per annum, and our weighted average borrowing rate for borrowings outstanding during the years ended October 31, 2023 and 2022 was 6.01% and 2.16%, respectively. We were in compliance with our debt covenants as of October 31, 2023.</w:t>
      </w:r>
    </w:p>
    <w:p>
      <w:pPr>
        <w:spacing w:after="0" w:line="128" w:lineRule="exact"/>
        <w:rPr>
          <w:sz w:val="20"/>
          <w:szCs w:val="20"/>
          <w:color w:val="auto"/>
        </w:rPr>
      </w:pPr>
    </w:p>
    <w:p>
      <w:pPr>
        <w:ind w:right="360" w:firstLine="403"/>
        <w:spacing w:after="0" w:line="280" w:lineRule="auto"/>
        <w:rPr>
          <w:sz w:val="20"/>
          <w:szCs w:val="20"/>
          <w:color w:val="auto"/>
        </w:rPr>
      </w:pPr>
      <w:r>
        <w:rPr>
          <w:rFonts w:ascii="Times New Roman" w:cs="Times New Roman" w:eastAsia="Times New Roman" w:hAnsi="Times New Roman"/>
          <w:sz w:val="18"/>
          <w:szCs w:val="18"/>
          <w:color w:val="auto"/>
        </w:rPr>
        <w:t>We maintain certain finance lease obligations related to equipment purchases, vehicles, and warehouse space. Refer to Note 6 “Leases” for further information regarding our finance leases.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scheduled maturity dates of our long-term debt outstanding (excluding deferred financing fees of $1.2 million)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2023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Finance Leases and Other</w:t>
            </w:r>
          </w:p>
        </w:tc>
        <w:tc>
          <w:tcPr>
            <w:tcW w:w="160" w:type="dxa"/>
            <w:vAlign w:val="bottom"/>
          </w:tcPr>
          <w:p>
            <w:pPr>
              <w:spacing w:after="0"/>
              <w:rPr>
                <w:sz w:val="13"/>
                <w:szCs w:val="13"/>
                <w:color w:val="auto"/>
              </w:rPr>
            </w:pP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Maturities</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0" w:type="dxa"/>
            <w:vAlign w:val="bottom"/>
          </w:tcPr>
          <w:p>
            <w:pPr>
              <w:spacing w:after="0"/>
              <w:rPr>
                <w:sz w:val="1"/>
                <w:szCs w:val="1"/>
                <w:color w:val="auto"/>
              </w:rPr>
            </w:pPr>
          </w:p>
        </w:tc>
      </w:tr>
      <w:tr>
        <w:trPr>
          <w:trHeight w:val="22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payments</w:t>
            </w:r>
          </w:p>
        </w:tc>
        <w:tc>
          <w:tcPr>
            <w:tcW w:w="1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97,008</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 of finance leases</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0" w:type="dxa"/>
            <w:vAlign w:val="bottom"/>
          </w:tcPr>
          <w:p>
            <w:pPr>
              <w:spacing w:after="0"/>
              <w:rPr>
                <w:sz w:val="1"/>
                <w:szCs w:val="1"/>
                <w:color w:val="auto"/>
              </w:rPr>
            </w:pPr>
          </w:p>
        </w:tc>
      </w:tr>
      <w:tr>
        <w:trPr>
          <w:trHeight w:val="24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 number of retirement plans covering substantially all employees. We provide both defined benefit and defined contribution plans. In general, an employee’s coverage for retirement benefits depends on the location of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covered certain of our employees in the U.S. On January 1, 2020 we enacted changes to our pension plan whereby the benefits for all participants were frozen and thereafter those participants will receive increased benefits in the Company sponsored defined benefit plan in lieu of participation in a defined benefit plan. As a result of freezing the plan on January 1, 2020, we remeasured the pension assets and obligations for the pension plan, which resulted in a decrease to our projected benefit obligation and a corresponding net actuarial gain that was recorded in accumulated other comprehensive income.</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the year ended October 31. 2023, we terminated our defined contribution plan and settled the obligation during the three months ended October 31, 2023. Until such time that the termination was complete, the participants received an interest related credit on their respective balance equivalent to the prevailing 30-year Treasury rate. The majority of our pension plan participants had their benefit determined pursuant to the cash balance formula. For the remaining participants, the benefit formula was a traditional formula for retirement benefits, whereby the plan payed benefits to employees using a formula which considered years of service and pensionable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Funded Status and Net periodic Benefit Cost</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changes in benefit obligation and plan assets, and our funded status (reported in deferred pension and postretirement benefits on the consolidated balance sheets)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2022 and 2021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42,379</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Actuarial loss (gain)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22"/>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October 31, 2023 and 2022</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2022 and 2021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22"/>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October 31, 2023 and 2022</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 - Funded Status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31, 2023 and 2022, included in our accumulated comprehensive loss was a net actuarial loss of zero and $3.6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net prior service costs or transition obligations for the years ended October 31, 2023 and 2022.</w:t>
      </w:r>
    </w:p>
    <w:p>
      <w:pPr>
        <w:spacing w:after="0" w:line="15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2023 and 2022, the accumulated benefit obligation was zero and $32.5 million, respectively. The accumulated benefit obligation is the present value of pension benefits (whether vested or unvested) attributed to employee service rendered before the measurement date, and based on employee service and compensation prior to that date. The accumulated benefit obligation differs from the projected benefit obligation in that it includes no assumption about future compensation levels.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periodic benefit cost for the years ended October 31, 2023, 2022 and 2021,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changes in plan assets and projected benefit obligations which were recognized in our other comprehensive loss for the years ended October 31, 2023, 2022 and 2021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arising during the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28"/>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Amortization of 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Settlements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Date and Assumptions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generally determine our actuarial assumptions on an annual basis, with a measurement date of October 31. The following table presents our assumptions for pension benefit calculations for the years ended October 31, 2023,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October 31,</w:t>
            </w:r>
          </w:p>
        </w:tc>
        <w:tc>
          <w:tcPr>
            <w:tcW w:w="800" w:type="dxa"/>
            <w:vAlign w:val="bottom"/>
          </w:tcPr>
          <w:p>
            <w:pPr>
              <w:spacing w:after="0"/>
              <w:rPr>
                <w:sz w:val="16"/>
                <w:szCs w:val="16"/>
                <w:color w:val="auto"/>
              </w:rPr>
            </w:pPr>
          </w:p>
        </w:tc>
      </w:tr>
      <w:tr>
        <w:trPr>
          <w:trHeight w:val="25"/>
        </w:trPr>
        <w:tc>
          <w:tcPr>
            <w:tcW w:w="4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8"/>
        </w:trPr>
        <w:tc>
          <w:tcPr>
            <w:tcW w:w="4640" w:type="dxa"/>
            <w:vAlign w:val="bottom"/>
          </w:tcPr>
          <w:p>
            <w:pPr>
              <w:spacing w:after="0"/>
              <w:rPr>
                <w:sz w:val="16"/>
                <w:szCs w:val="16"/>
                <w:color w:val="auto"/>
              </w:rPr>
            </w:pPr>
          </w:p>
        </w:tc>
        <w:tc>
          <w:tcPr>
            <w:tcW w:w="86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5"/>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rPr>
              <w:t>Benefit Obligation</w:t>
            </w: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Net Periodic Benefit Cost</w:t>
            </w:r>
          </w:p>
        </w:tc>
        <w:tc>
          <w:tcPr>
            <w:tcW w:w="800" w:type="dxa"/>
            <w:vAlign w:val="bottom"/>
            <w:tcBorders>
              <w:bottom w:val="single" w:sz="8" w:color="auto"/>
            </w:tcBorders>
          </w:tcPr>
          <w:p>
            <w:pPr>
              <w:spacing w:after="0"/>
              <w:rPr>
                <w:sz w:val="18"/>
                <w:szCs w:val="18"/>
                <w:color w:val="auto"/>
              </w:rPr>
            </w:pPr>
          </w:p>
        </w:tc>
      </w:tr>
      <w:tr>
        <w:trPr>
          <w:trHeight w:val="22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8"/>
              </w:rPr>
              <w:t>5.36%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5.36%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c>
          <w:tcPr>
            <w:tcW w:w="8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2.60%</w:t>
            </w: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6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96"/>
              </w:rPr>
              <w:t>—%</w:t>
            </w: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n/a</w:t>
            </w: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5.50%</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8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6.00%</w:t>
            </w:r>
          </w:p>
        </w:tc>
      </w:tr>
    </w:tbl>
    <w:p>
      <w:pPr>
        <w:spacing w:after="0" w:line="23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discount rate was used to calculate the present value of the projected benefit obligation for pension benefits. The rate reflected the amount at which benefits could be effectively settled on the measurement date. We used the FTSE Above Median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expected return on plan assets was used to determine net periodic pension expense. The rate of return assumptions were based on projected long-term market returns for the various asset classes in which the plans were invested, weighted by the target asset allocations. We review the return assumption at least annually. The rate of compensation increase represents the long-term assumption for expected increases in 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1"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tables provides our asset allocation by asset category and fair value measurements as of October 31, 2022. Our asset balance as of October 31, 2023 was zero as all funds were used during the settlement process.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Actual Allocation</w:t>
            </w:r>
          </w:p>
        </w:tc>
      </w:tr>
      <w:tr>
        <w:trPr>
          <w:trHeight w:val="25"/>
        </w:trPr>
        <w:tc>
          <w:tcPr>
            <w:tcW w:w="4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9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28"/>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r>
      <w:tr>
        <w:trPr>
          <w:trHeight w:val="292"/>
        </w:trPr>
        <w:tc>
          <w:tcPr>
            <w:tcW w:w="4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r>
      <w:tr>
        <w:trPr>
          <w:trHeight w:val="25"/>
        </w:trPr>
        <w:tc>
          <w:tcPr>
            <w:tcW w:w="4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188"/>
        </w:trPr>
        <w:tc>
          <w:tcPr>
            <w:tcW w:w="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 w:type="dxa"/>
            <w:vAlign w:val="bottom"/>
          </w:tcPr>
          <w:p>
            <w:pPr>
              <w:spacing w:after="0"/>
              <w:rPr>
                <w:sz w:val="14"/>
                <w:szCs w:val="14"/>
                <w:color w:val="auto"/>
              </w:rPr>
            </w:pPr>
          </w:p>
        </w:tc>
      </w:tr>
      <w:tr>
        <w:trPr>
          <w:trHeight w:val="233"/>
        </w:trPr>
        <w:tc>
          <w:tcPr>
            <w:tcW w:w="40" w:type="dxa"/>
            <w:vAlign w:val="bottom"/>
          </w:tcPr>
          <w:p>
            <w:pPr>
              <w:spacing w:after="0"/>
              <w:rPr>
                <w:sz w:val="20"/>
                <w:szCs w:val="20"/>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2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High-quality core bond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High-quality government bond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High-yield bond</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9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0" w:type="dxa"/>
            <w:vAlign w:val="bottom"/>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9220" w:type="dxa"/>
            <w:vAlign w:val="bottom"/>
            <w:tcBorders>
              <w:bottom w:val="single" w:sz="8" w:color="CCEEFF"/>
            </w:tcBorders>
            <w:shd w:val="clear" w:color="auto" w:fill="CCEEFF"/>
          </w:tcPr>
          <w:p>
            <w:pPr>
              <w:ind w:left="360"/>
              <w:spacing w:after="0" w:line="222" w:lineRule="exact"/>
              <w:rPr>
                <w:sz w:val="20"/>
                <w:szCs w:val="20"/>
                <w:color w:val="auto"/>
              </w:rPr>
            </w:pPr>
            <w:r>
              <w:rPr>
                <w:rFonts w:ascii="Times New Roman" w:cs="Times New Roman" w:eastAsia="Times New Roman" w:hAnsi="Times New Roman"/>
                <w:sz w:val="18"/>
                <w:szCs w:val="18"/>
                <w:color w:val="auto"/>
              </w:rPr>
              <w:t>Total securities</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left="320" w:hanging="151"/>
        <w:spacing w:after="0"/>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Quoted prices in active markets for identical assets (Level 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Payments and Funding</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fiscal years ended October 31, 2023, 2022 and 2021, we made total pension contributions of $6.3 million, zero and $0.5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2023, no more contributions are expected to be made to the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also sponsor two defined contribution plans into which we and our employees make contributions. As of January 1, 2020, we match 100% up to the first 5% of employee annual salary deferrals under our plan for all employees excluding NA Cabinet Components participants, who receive a 100% match up to 4% of employee annual salary deferrals. Between January 1, 2018 and January 1, 2020, we matched 50% up to the first 5% of employee salary deferrals. We do not offer our common stock as a direct investment option under these plans. For the years ended October 31, 2023, 2022 and 2021, we contributed approximately $6.5 million, $6.8 million and $6.3 million for these plans,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have supplemental benefit plans covering certain executive officers and a non-qualified deferred compensation plan covering members of the Board of Directors and certain key employees. As of October 31, 2023 and 2022, our liability under the supplemental benefit plan was approximately $2.0 million and $1.9 million, respectively. During the year ended October 31, 2023, the supplemental benefit plan was terminated. Benefits associated with this plan will be distributed in June 2024 in accordance with Internal Revenue Service regulations. As of October 31, 2023 and 2022 our liability under the deferred compensation plan was approximately $3.9 million and $3.3 million, respectively. As of October 31, 2023 and 2022, the current portion of these liabilities was recorded under the caption “Accrued Liabilities,” and the long-term portion was included under the caption “Other Liabilities” in the accompanying balance sheets.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60" w:lineRule="exact"/>
        <w:rPr>
          <w:sz w:val="20"/>
          <w:szCs w:val="20"/>
          <w:color w:val="auto"/>
        </w:rPr>
      </w:pPr>
    </w:p>
    <w:p>
      <w:pPr>
        <w:jc w:val="both"/>
        <w:ind w:right="280" w:firstLine="403"/>
        <w:spacing w:after="0" w:line="249" w:lineRule="auto"/>
        <w:rPr>
          <w:sz w:val="20"/>
          <w:szCs w:val="20"/>
          <w:color w:val="auto"/>
        </w:rPr>
      </w:pPr>
      <w:r>
        <w:rPr>
          <w:rFonts w:ascii="Times New Roman" w:cs="Times New Roman" w:eastAsia="Times New Roman" w:hAnsi="Times New Roman"/>
          <w:sz w:val="18"/>
          <w:szCs w:val="18"/>
          <w:color w:val="auto"/>
        </w:rPr>
        <w:t>The provision or benefit for income taxes includes U.S. federal income taxes (determined on a consolidated return basis), foreign income taxes and state income taxes. We provide for income taxes on taxable income at the applicable statutory rates. The following table summarizes the components of income tax expense for the years ended October 31, 2023, 2022 and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28"/>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22"/>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21,329</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22"/>
        </w:trPr>
        <w:tc>
          <w:tcPr>
            <w:tcW w:w="6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47"/>
        </w:trPr>
        <w:tc>
          <w:tcPr>
            <w:tcW w:w="6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14,545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For financial reporting purposes, income before income taxes for the years ended October 31, 2023, 2022 and 2021 includes the following components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36,879</w:t>
            </w:r>
          </w:p>
        </w:tc>
      </w:tr>
      <w:tr>
        <w:trPr>
          <w:trHeight w:val="22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w:t>
            </w:r>
          </w:p>
        </w:tc>
      </w:tr>
      <w:tr>
        <w:trPr>
          <w:trHeight w:val="247"/>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effective income tax rate to the federal statutory rate for the years ended October 31, 2023, 2022 and 2021:</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tax at statutory rate</w:t>
            </w: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patent box benefit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tax credits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inclusions (including global intangible low-taxed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return to accrual adjustments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tax rate</w:t>
            </w:r>
          </w:p>
        </w:tc>
        <w:tc>
          <w:tcPr>
            <w:tcW w:w="176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2"/>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Effective tax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0"/>
        </w:trPr>
        <w:tc>
          <w:tcPr>
            <w:tcW w:w="6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earnings from our foreign subsidiaries qualifies for Dividend Received Deduction and are not subject to withholding taxes upon remittances to the U.S. As a result, we do not anticipate any significant future tax impacts from any potential repatriation of previously unremitted foreign earnings. The amount of undistributed foreign earnings from international operations as of the years ended October 31, 2023 and 2022, respectively, was $21.3 million and $19.8 million.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components of our net deferred tax liabilities and assets were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r>
      <w:tr>
        <w:trPr>
          <w:trHeight w:val="25"/>
        </w:trPr>
        <w:tc>
          <w:tcPr>
            <w:tcW w:w="7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other benefit obligations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and tax credit carry forwards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8"/>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228"/>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2"/>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w:t>
            </w: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2"/>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24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35,643</w:t>
            </w:r>
          </w:p>
        </w:tc>
      </w:tr>
      <w:tr>
        <w:trPr>
          <w:trHeight w:val="247"/>
        </w:trPr>
        <w:tc>
          <w:tcPr>
            <w:tcW w:w="7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As of October 31, 2023, gross state operating loss carry forwards totaled $24.9 million. The majority of these losses begin to expire in 2033. We evaluate tax benefits of operating losses and tax credit carry forwards on an ongoing basis, including a review of historical and projected future operating results, the eligible carry forward period and other circumstances. We have recorded a valuation allowance for certain state net operating losses as of October 31, 2023 and 2022, totaling $0.6 million and $0.5 million, respectively. During the year ended October 31, 2023, we recorded a net $0.1 million increase in our state valuation allowance. The valuation allowance can be affected in future periods by changes to tax laws, changes to statutory tax rates, and changes in estimates of future taxable income. To fully realize these net deferred tax assets, we will need to generate sufficient future taxable income in the jurisdictions where these tax attributes exist during the periods in which the attributes can be utilized. As of each reporting date, management considers the weight of all evidence, both positive and negative, to determine if a valuation allowance is necessary for each jurisdiction’s net deferred tax assets. We place greater weight on historical evidence over future predictions of our ability to utilize net deferred tax assets. We consider future reversals of existing taxable temporary differences, future taxable income exclusive of reversing temporary differences, and taxable income in prior carryback year(s) if carryback is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shows the change in the unrecognized income tax benefit associated with uncertain tax positions for the years ended October 31, 2023, 2022 and 2021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95"/>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Income Tax Benefits</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8"/>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8"/>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8"/>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8"/>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account for uncertain tax benefits in accordance with guidance in ASC 740, which prescribes the minimum recognition threshold a tax position taken or expected to be taken in a tax return is required to meet before being recognized in the financial statements. During the year ended October 31, 2023, we reversed $1.1 million of unrecognized tax benefits due to expiration of the statute of limitations. The remaining liability for unrecognized tax benefits of $0.2 million related to certain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along with our subsidiaries, file income tax returns in the U.S. and various state jurisdictions as well as in the U.K., Germany and Canada. In certain jurisdictions, the statute of limitations has not yet expired. We generally remain subject to examination of our U.S. income tax returns for 2020 and subsequent years. We generally remain subject to examination of our various state and foreign income tax returns for a period of four to five years from the date the return was filed. The state impact of a reported federal adjustment or change remains subject to examination by various states within the longer of one year or the expiration date of the otherwise applicable statute of limitations.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71"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are a party to non-cancelable purchase obligations primarily for door hardware, primary and secondary steel and primary and secondary aluminum used in our manufacturing processes, as well as expenditures related to capital projects in progress. We paid $10.1 million and $11.0 million pursuant to these arrangements for the years ended October 31, 2023 and 2022, respectively. These obligations total $7.9 million and $7.6 million at October 31, 2023 and 2022, respectively, and extend through fiscal 2024. Future amounts paid pursuant to these arrangements will depend, to some extent, on our usage.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maintain an asset retirement obligation associated with a leased facility in Kent, Washington. We have estimated our future cash flows associated with this asset retirement obligation and recorded an asset and corresponding liability. We are depreciating the asset and accreting the liability over a seven-year term, to culminate in an asset retirement obligation of $2.3 million as of February 2025, which is located in Other Liabilities on the Consolidated Balance Sheets.</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and do not expect to incur a material amount of such costs in fiscal 2024.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 of Assets and Liabilities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9" w:lineRule="exact"/>
        <w:rPr>
          <w:sz w:val="20"/>
          <w:szCs w:val="20"/>
          <w:color w:val="auto"/>
        </w:rPr>
      </w:pPr>
    </w:p>
    <w:p>
      <w:pPr>
        <w:ind w:left="480" w:hanging="15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5" w:lineRule="exact"/>
        <w:rPr>
          <w:rFonts w:ascii="Times New Roman" w:cs="Times New Roman" w:eastAsia="Times New Roman" w:hAnsi="Times New Roman"/>
          <w:sz w:val="18"/>
          <w:szCs w:val="18"/>
          <w:color w:val="auto"/>
        </w:rPr>
      </w:pPr>
    </w:p>
    <w:p>
      <w:pPr>
        <w:jc w:val="both"/>
        <w:ind w:left="500" w:hanging="170"/>
        <w:spacing w:after="0" w:line="259"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3" w:lineRule="exact"/>
        <w:rPr>
          <w:rFonts w:ascii="Times New Roman" w:cs="Times New Roman" w:eastAsia="Times New Roman" w:hAnsi="Times New Roman"/>
          <w:sz w:val="18"/>
          <w:szCs w:val="18"/>
          <w:color w:val="auto"/>
        </w:rPr>
      </w:pPr>
    </w:p>
    <w:p>
      <w:pPr>
        <w:ind w:left="480" w:hanging="15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6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Carrying amounts reported on the balance sheets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2023 and 2022 (Level 2 measurement).</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restricted stock units and performance share awards are marked-to-market on a quarterly basis during a three-year vesting period based on market data (Level 2 measurement). For further information refer to Note 14, “Stock-Based Compensation - Performance Share Awards.”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a restricted stock award is entitled to all of the rights of a shareholder, except that the awards are nontransferable during the vesting period and dividends are not paid until vesting.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years ended October 31, 2023, 2022 and 2021,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760" w:type="dxa"/>
            <w:vAlign w:val="bottom"/>
            <w:vMerge w:val="restart"/>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35"/>
              <w:spacing w:after="0" w:line="134" w:lineRule="exact"/>
              <w:rPr>
                <w:sz w:val="20"/>
                <w:szCs w:val="20"/>
                <w:color w:val="auto"/>
              </w:rPr>
            </w:pPr>
            <w:r>
              <w:rPr>
                <w:rFonts w:ascii="Times New Roman" w:cs="Times New Roman" w:eastAsia="Times New Roman" w:hAnsi="Times New Roman"/>
                <w:sz w:val="13"/>
                <w:szCs w:val="13"/>
                <w:b w:val="1"/>
                <w:bCs w:val="1"/>
                <w:color w:val="auto"/>
              </w:rPr>
              <w:t>Grant Date Fair Value per</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the years ended October 31, 2023, 2022 and 2021 was $1.0 million, $1.2 million and $0.9 million, respectively. As of October 31, 2023, total unrecognized compensation cost related to unamortized restricted stock awards totaled $2.2 million. We expect to recognize this expense over the remaining weighted average period of 1.8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2023, 2022 and 2021. Stock options typically vested ratably over a three-year period with service and continued employment as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vesting conditions. Our stock options may be exercised up to a maximum of ten years from the date of grant. The fair value of the stock options was determined on the grant date and expensed over the vesting period resulting in an increase in additional paid-in-capital. We used the Black-Scholes pricing model to estimate the grant date fair value. The inputs to this model included expected volatility, expected term, a risk-free rate and expected dividend rate at the time of grant. For employees who were nearing retirement-eligibility, we recognized stock option expense ratably over the shorter of the vesting period or the period from the grant-date to the retirement-eligibility date.</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years ended October 31, 2023,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20" w:type="dxa"/>
            <w:vAlign w:val="bottom"/>
          </w:tcPr>
          <w:p>
            <w:pPr>
              <w:spacing w:after="0"/>
              <w:rPr>
                <w:sz w:val="12"/>
                <w:szCs w:val="12"/>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52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220" w:type="dxa"/>
            <w:vAlign w:val="bottom"/>
          </w:tcPr>
          <w:p>
            <w:pPr>
              <w:spacing w:after="0"/>
              <w:rPr>
                <w:sz w:val="11"/>
                <w:szCs w:val="11"/>
                <w:color w:val="auto"/>
              </w:rPr>
            </w:pPr>
          </w:p>
        </w:tc>
        <w:tc>
          <w:tcPr>
            <w:tcW w:w="110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 (in years)</w:t>
            </w:r>
          </w:p>
        </w:tc>
        <w:tc>
          <w:tcPr>
            <w:tcW w:w="22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Value (000s)</w:t>
            </w:r>
          </w:p>
        </w:tc>
        <w:tc>
          <w:tcPr>
            <w:tcW w:w="0" w:type="dxa"/>
            <w:vAlign w:val="bottom"/>
          </w:tcPr>
          <w:p>
            <w:pPr>
              <w:spacing w:after="0"/>
              <w:rPr>
                <w:sz w:val="1"/>
                <w:szCs w:val="1"/>
                <w:color w:val="auto"/>
              </w:rPr>
            </w:pPr>
          </w:p>
        </w:tc>
      </w:tr>
      <w:tr>
        <w:trPr>
          <w:trHeight w:val="22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1,095,329</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October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107,530</w:t>
            </w:r>
          </w:p>
        </w:tc>
        <w:tc>
          <w:tcPr>
            <w:tcW w:w="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19.48</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For the years ended October 31, 2023, 2022 and 2021, the total intrinsic value of our stock options that were exercised totaled $0.5 million, $0.2 million and $4.2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years ended October 31, 2023, 2022 and 2021, 38,704, 36,669 and 28,826 restricted stock units, respectively, were granted with corresponding weighted average grant date fair value of $20.67, $22.52, and $18.79, respectively. During the fiscal year ended October 31, 2023, 21,774 restricted stock units, which were awarded to key employees, vested. During the years ended October 31, 2023, 2022 and 2021, we paid $0.4 million, $1.0 million and $0.8 million to settle restricted stock units.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w:t>
      </w:r>
      <w:r>
        <w:rPr>
          <w:rFonts w:ascii="Times New Roman" w:cs="Times New Roman" w:eastAsia="Times New Roman" w:hAnsi="Times New Roman"/>
          <w:sz w:val="18"/>
          <w:szCs w:val="18"/>
          <w:color w:val="auto"/>
        </w:rPr>
        <w:t>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Beginning with the fiscal year ended October 31, 2019, performance share awards vest with return on net assets (RONA) as the vesting condition, pay out 100% in cash, and are accounted for as liability.</w:t>
      </w:r>
    </w:p>
    <w:p>
      <w:pPr>
        <w:spacing w:after="0" w:line="108"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could fluctuate depending on the number of shares ultimately expected to vest. Depending on the achievement of the performance conditions, 0% to 200% of the awarded performance shares may ultimately vest.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2"/>
        </w:trPr>
        <w:tc>
          <w:tcPr>
            <w:tcW w:w="75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December 2022, 101,200 shares vested pursuant to the December 2019 grant, which were settled with a cash payment of $2.2 million. In December 2021, 183,000 shares vested pursuant to the December 2018 grant, which were settled with a cash payment of $3.8 million.</w:t>
      </w:r>
    </w:p>
    <w:p>
      <w:pPr>
        <w:spacing w:after="0" w:line="10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4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0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280" w:type="dxa"/>
            <w:vAlign w:val="bottom"/>
          </w:tcPr>
          <w:p>
            <w:pPr>
              <w:spacing w:after="0"/>
              <w:rPr>
                <w:sz w:val="13"/>
                <w:szCs w:val="13"/>
                <w:color w:val="auto"/>
              </w:rPr>
            </w:pPr>
          </w:p>
        </w:tc>
        <w:tc>
          <w:tcPr>
            <w:tcW w:w="13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4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9"/>
        </w:trPr>
        <w:tc>
          <w:tcPr>
            <w:tcW w:w="4160" w:type="dxa"/>
            <w:vAlign w:val="bottom"/>
            <w:vMerge w:val="continue"/>
          </w:tcPr>
          <w:p>
            <w:pPr>
              <w:spacing w:after="0"/>
              <w:rPr>
                <w:sz w:val="17"/>
                <w:szCs w:val="17"/>
                <w:color w:val="auto"/>
              </w:rPr>
            </w:pPr>
          </w:p>
        </w:tc>
        <w:tc>
          <w:tcPr>
            <w:tcW w:w="4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 2020</w:t>
            </w:r>
          </w:p>
        </w:tc>
        <w:tc>
          <w:tcPr>
            <w:tcW w:w="4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38,400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20.68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4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50,900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21.06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4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51,500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23.22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108" w:lineRule="exact"/>
        <w:rPr>
          <w:sz w:val="20"/>
          <w:szCs w:val="20"/>
          <w:color w:val="auto"/>
        </w:rPr>
      </w:pPr>
    </w:p>
    <w:p>
      <w:pPr>
        <w:jc w:val="both"/>
        <w:ind w:firstLine="444"/>
        <w:spacing w:after="0" w:line="310" w:lineRule="auto"/>
        <w:rPr>
          <w:sz w:val="20"/>
          <w:szCs w:val="20"/>
          <w:color w:val="auto"/>
        </w:rPr>
      </w:pPr>
      <w:r>
        <w:rPr>
          <w:rFonts w:ascii="Times New Roman" w:cs="Times New Roman" w:eastAsia="Times New Roman" w:hAnsi="Times New Roman"/>
          <w:sz w:val="17"/>
          <w:szCs w:val="17"/>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2023, 2022 and 2021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1,712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1,396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47"/>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7,917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2023, our authorized capital stock consists of 125,000,000 shares of common stock, at par value of $0.01 per share, and 1,000,000 shares of preferred stock, with no par value. As of October 31, 2023 and 2022, we had 37,176,958 and 37,211,056 shares of common stock issued, respectively, and 33,011,119 and 33,129,250 shares of common stock outstanding, respectively. There were no shares of preferred stock issued or outstanding at October 31, 2023 and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and Treasury Stock</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are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2023 and 2022, we purchased 275,000 shares and 291,000 shares, respectively, at a cost of $5.6 million and $6.6 million respectively, under these programs.</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paid-in-capital. A deficiency of such proceeds relative to costs would be applied to reduce paid-in-capital associated with prior issuances to the extent available, with the remainder recorded as a charge to retained earnings.</w:t>
      </w:r>
    </w:p>
    <w:p>
      <w:pPr>
        <w:spacing w:after="0" w:line="130"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treasury stock activity for the years ended October 31, 2023, 2022 and 2021, refer to the </w:t>
      </w:r>
      <w:r>
        <w:rPr>
          <w:rFonts w:ascii="Times New Roman" w:cs="Times New Roman" w:eastAsia="Times New Roman" w:hAnsi="Times New Roman"/>
          <w:sz w:val="18"/>
          <w:szCs w:val="18"/>
          <w:i w:val="1"/>
          <w:iCs w:val="1"/>
          <w:color w:val="auto"/>
        </w:rPr>
        <w:t>Consolidated Statement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located elsewhere herein.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net</w:t>
      </w:r>
    </w:p>
    <w:p>
      <w:pPr>
        <w:spacing w:after="0" w:line="173" w:lineRule="exact"/>
        <w:rPr>
          <w:sz w:val="20"/>
          <w:szCs w:val="20"/>
          <w:color w:val="auto"/>
        </w:rPr>
      </w:pPr>
    </w:p>
    <w:p>
      <w:pPr>
        <w:ind w:right="260" w:firstLine="403"/>
        <w:spacing w:after="0" w:line="268" w:lineRule="auto"/>
        <w:rPr>
          <w:sz w:val="20"/>
          <w:szCs w:val="20"/>
          <w:color w:val="auto"/>
        </w:rPr>
      </w:pPr>
      <w:r>
        <w:rPr>
          <w:rFonts w:ascii="Times New Roman" w:cs="Times New Roman" w:eastAsia="Times New Roman" w:hAnsi="Times New Roman"/>
          <w:sz w:val="18"/>
          <w:szCs w:val="18"/>
          <w:color w:val="auto"/>
        </w:rPr>
        <w:t>Other income included under the caption “Other, net” on the accompanying consolidated statements of income (loss),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derivative gains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(expense) 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2"/>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(loss)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and (3) NA Cabinet Components, comprising our cabinet door and components segment.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consolidated financial statements. Corporate general and administrative expenses allocated during the years ended October 31, 2023, 2022 and 2021 were $23.5 million, $24.5 million and $21.6 million, respectively.</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information for the years ended October 31, 2023, 2022 and 2021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2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424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667,482</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250,774</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215,445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20,539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72,159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18,265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379,286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158,824</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831,143</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687,458</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262,058</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275,704</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16,253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74,570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18,758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279,139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223,729</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176,154</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45,595</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724,617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2021</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578,332</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246,075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1,072,149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18,730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56,248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segment for the years ended October 31, 2023 and 2022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71,346</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149,205</w:t>
            </w:r>
          </w:p>
        </w:tc>
        <w:tc>
          <w:tcPr>
            <w:tcW w:w="0" w:type="dxa"/>
            <w:vAlign w:val="bottom"/>
          </w:tcPr>
          <w:p>
            <w:pPr>
              <w:spacing w:after="0"/>
              <w:rPr>
                <w:sz w:val="1"/>
                <w:szCs w:val="1"/>
                <w:color w:val="auto"/>
              </w:rPr>
            </w:pP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2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137,855</w:t>
            </w:r>
          </w:p>
        </w:tc>
        <w:tc>
          <w:tcPr>
            <w:tcW w:w="0" w:type="dxa"/>
            <w:vAlign w:val="bottom"/>
          </w:tcPr>
          <w:p>
            <w:pPr>
              <w:spacing w:after="0"/>
              <w:rPr>
                <w:sz w:val="1"/>
                <w:szCs w:val="1"/>
                <w:color w:val="auto"/>
              </w:rPr>
            </w:pP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LMI acquisition</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2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63,704</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7, “Goodwill and Intangible Assets”, located herewith.</w:t>
      </w:r>
    </w:p>
    <w:p>
      <w:pPr>
        <w:spacing w:after="0" w:line="16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did not allocate non-operating expense or income tax expense to the reportable segments. The following table reconciles operating income as reported above to net income for the years ended October 31, 2023, 2022 and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w:t>
            </w:r>
          </w:p>
        </w:tc>
      </w:tr>
      <w:tr>
        <w:trPr>
          <w:trHeight w:val="22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8"/>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(23,114)</w:t>
            </w:r>
          </w:p>
        </w:tc>
      </w:tr>
      <w:tr>
        <w:trPr>
          <w:trHeight w:val="247"/>
        </w:trPr>
        <w:tc>
          <w:tcPr>
            <w:tcW w:w="7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manufacturing facilities and all long-lived assets are located in the U.S., U.K. and Germany. We attribute our net sales to a geographic region based on the location of the customer. The following tables provide information concerning our net sales for the years ended October 31, 2023, 2022 and 2021, and our long-lived assets as of October 31, 2023 and 2022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911,180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778,486</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244,308</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1,072,149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0"/>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net</w:t>
            </w: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279,616</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41,669</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125,939</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118,005</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554,355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439,290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Long-lived assets, net includes: property, plant and equipment, net; goodwill, intangible assets, net,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the years ended October 31, 2023, 2022 and 2021 follows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22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80" w:type="dxa"/>
            <w:vAlign w:val="bottom"/>
          </w:tcPr>
          <w:p>
            <w:pPr>
              <w:spacing w:after="0"/>
              <w:rPr>
                <w:sz w:val="13"/>
                <w:szCs w:val="13"/>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2"/>
        </w:trPr>
        <w:tc>
          <w:tcPr>
            <w:tcW w:w="6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33,026</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33,048</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New Accounting Guidance</w:t>
      </w:r>
    </w:p>
    <w:p>
      <w:pPr>
        <w:spacing w:after="0" w:line="173"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twelve months ended October 31, 2023. As of October 31, 2023,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 Controls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6"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 13a-15(e) under the Securities Exchange Act of 1934 (1934 Act) as of October 31, 2023. Based on that evaluation, the Chief Executive Officer and Chief Financial Officer concluded that, as of October 31, 2023, the disclosure controls and procedures are effective.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color w:val="auto"/>
        </w:rPr>
        <w:t>Refer to Management’s Annual Report on Internal Control over Financial Reporting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of this Annual Report on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7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color w:val="auto"/>
        </w:rPr>
        <w:t>Refer to the Report of Independent Registered Public Accounting Firm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 Other Information.</w:t>
      </w:r>
    </w:p>
    <w:p>
      <w:pPr>
        <w:spacing w:after="0" w:line="106" w:lineRule="exact"/>
        <w:rPr>
          <w:sz w:val="20"/>
          <w:szCs w:val="20"/>
          <w:color w:val="auto"/>
        </w:rPr>
      </w:pPr>
    </w:p>
    <w:p>
      <w:pPr>
        <w:jc w:val="both"/>
        <w:ind w:firstLine="403"/>
        <w:spacing w:after="0" w:line="310" w:lineRule="auto"/>
        <w:rPr>
          <w:sz w:val="20"/>
          <w:szCs w:val="20"/>
          <w:color w:val="auto"/>
        </w:rPr>
      </w:pPr>
      <w:r>
        <w:rPr>
          <w:rFonts w:ascii="Times New Roman" w:cs="Times New Roman" w:eastAsia="Times New Roman" w:hAnsi="Times New Roman"/>
          <w:sz w:val="17"/>
          <w:szCs w:val="17"/>
          <w:color w:val="auto"/>
        </w:rPr>
        <w:t>During the three months ended October 31, 2023,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 Directors, Executive Officers and Corporate Governance.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2024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 Executive Compensation.</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is incorporated herein by reference from the Registrant's Definitive Proxy Statement relating to the 2024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 Security Ownership of Certain Beneficial Owners and Management and Related Stockholder Matters.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Security Ownership of Certain Beneficial Owners and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Stockholder Matters” </w:t>
      </w:r>
      <w:r>
        <w:rPr>
          <w:rFonts w:ascii="Times New Roman" w:cs="Times New Roman" w:eastAsia="Times New Roman" w:hAnsi="Times New Roman"/>
          <w:sz w:val="18"/>
          <w:szCs w:val="18"/>
          <w:color w:val="auto"/>
        </w:rPr>
        <w:t>is incorporated herein by reference from the Registrant's Definitive Proxy Statement relating to the 2024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 Certain Relationships and Related Transactions, and Director Independence.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2024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 Principal Accountant Fees and Services.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Principal Accountant Fees and Services”</w:t>
      </w:r>
      <w:r>
        <w:rPr>
          <w:rFonts w:ascii="Times New Roman" w:cs="Times New Roman" w:eastAsia="Times New Roman" w:hAnsi="Times New Roman"/>
          <w:sz w:val="18"/>
          <w:szCs w:val="18"/>
          <w:color w:val="auto"/>
        </w:rPr>
        <w:t xml:space="preserve"> is incorporated herein by reference from the Registrant's Definitive Proxy Statement relating to the 2024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 Exhibits and Financial Statement Schedules.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located elsewhere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exhibits required to be filed pursuant to Item 15(b) of Form 10-K are listed in the Exhibit Index filed herewith, which Exhibit Index is incorporated herein by reference. Certain of our exhibits as denoted with a † between exhibits 10.1 through 10.40 listed in the Exhibit Index filed herewith, are management or compensatory plans or arrangements required to be filed as exhibits to this Annual Report on Form 10-K pursuant to Item 15(b) thereof.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4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15, 2023</w:t>
            </w: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217"/>
        </w:trPr>
        <w:tc>
          <w:tcPr>
            <w:tcW w:w="43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 Zuehlke</w:t>
            </w:r>
          </w:p>
        </w:tc>
      </w:tr>
      <w:tr>
        <w:trPr>
          <w:trHeight w:val="188"/>
        </w:trPr>
        <w:tc>
          <w:tcPr>
            <w:tcW w:w="43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 Chief Financial Officer and Treasurer</w:t>
            </w:r>
          </w:p>
        </w:tc>
      </w:tr>
      <w:tr>
        <w:trPr>
          <w:trHeight w:val="234"/>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7" w:lineRule="exact"/>
        <w:rPr>
          <w:sz w:val="20"/>
          <w:szCs w:val="20"/>
          <w:color w:val="auto"/>
        </w:rPr>
      </w:pPr>
    </w:p>
    <w:p>
      <w:pPr>
        <w:ind w:right="440" w:firstLine="403"/>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0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C. Griffiths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C. Griffiths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F. Davis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F. Davis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M. Stevens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Curtis M. Stevens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R. Maier</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R. Maier</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E. Waltz</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E. Waltz</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D. Lippert</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D. Lippert</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Bradley E. Hughes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Bradley E. Hughes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 Wilson</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Senior Vice President - Chief Financial Officer and Treasurer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M. Zuehlke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L. Ettredge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Vice President, Corporate Controller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Karen L. Ettredge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0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560" w:type="dxa"/>
            <w:vAlign w:val="bottom"/>
          </w:tcPr>
          <w:p>
            <w:pPr>
              <w:spacing w:after="0"/>
              <w:rPr>
                <w:sz w:val="17"/>
                <w:szCs w:val="17"/>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Distribution Agreement among Quanex Corporation, Quanex Building Products LLC and Quanex Building Products Corporation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8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(incorporated by reference to Exhibit 10.1 to Quanex Corporation’s Current Report on Form 8-K (Reg. No. 001-05725) filed with</w:t>
              </w:r>
            </w:hyperlink>
          </w:p>
        </w:tc>
        <w:tc>
          <w:tcPr>
            <w:tcW w:w="1020" w:type="dxa"/>
            <w:vAlign w:val="bottom"/>
            <w:gridSpan w:val="28"/>
          </w:tcPr>
          <w:p>
            <w:pPr>
              <w:ind w:left="60"/>
              <w:spacing w:after="0" w:line="154"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56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Commission on December 24, 2007).</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Agreement and Plan of Merger, dated as of January 31, 2011, by and among Quanex Building Products Corporation, QSB Inc., Lauren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Holdco Inc., Lauren International, Inc. and Kevin E. Gray, as agent for the shareholders of Lauren Holdco Inc., filed as Exhibit 2.1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the Registrant’s Current Report on Form 8-K (Reg. No. 001-33913) as filed with the Securities and Exchange Commission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20" w:type="dxa"/>
            <w:vAlign w:val="bottom"/>
            <w:gridSpan w:val="28"/>
          </w:tcPr>
          <w:p>
            <w:pPr>
              <w:spacing w:after="0" w:line="154"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2,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Limited Liability Company Interest Purchase Agreement dated February 7, 2014, by and among Quanex Building Products Corporation,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Nichols Aluminum, LLC and Aleris International Inc., filed as Exhibit 2.1 of the Registrant’s Current Report on Form 8-K (Reg.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40" w:type="dxa"/>
            <w:vAlign w:val="bottom"/>
            <w:gridSpan w:val="39"/>
          </w:tcPr>
          <w:p>
            <w:pPr>
              <w:spacing w:after="0" w:line="168"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001-33913) as filed with the Securities and Exchange Commission on February 10, 2014,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4</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First Amendment to Limited Liability Company Interest Purchase Agreement dated April 1, 2014, by and among Quanex Building</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Products Corporation, Nichols Aluminum, LLC and Aleris International Inc., filed as Exhibit 10.1 of the Registrant’s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160" w:type="dxa"/>
            <w:vAlign w:val="bottom"/>
            <w:tcBorders>
              <w:bottom w:val="single" w:sz="8" w:color="0000FF"/>
            </w:tcBorders>
            <w:gridSpan w:val="35"/>
          </w:tcPr>
          <w:p>
            <w:pPr>
              <w:spacing w:after="0" w:line="168"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8-K (Reg. No. 001-33913) as filed with the Securities and Exchange Commission on April 7, 2014, and incorporated herein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reference.</w:t>
              </w:r>
            </w:hyperlink>
          </w:p>
        </w:tc>
        <w:tc>
          <w:tcPr>
            <w:tcW w:w="9500" w:type="dxa"/>
            <w:vAlign w:val="bottom"/>
            <w:gridSpan w:val="3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5</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Share Purchase Agreement dated June 15, 2015 by and among R.L. Hartshorn and others, and Quanex Building Products Corporation,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filed as Exhibit 2.1 to the Registrant’s Current Report on Form 8-K (Reg. No. 001-33913), as filed with the Securities and Exchange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960" w:type="dxa"/>
            <w:vAlign w:val="bottom"/>
            <w:tcBorders>
              <w:top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Commission on June 16, 2015,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6</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Agreement and Plan of Merger, dated as of August 30, 2015, by and among Quanex Building Products Corporation, QWMS, Inc., WII</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Holding, Inc., and Olympus Growth Fund IV, L.P, solely in its capacity as the representative of the stockholders of WII Holding, Inc,</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80" w:type="dxa"/>
            <w:vAlign w:val="bottom"/>
            <w:gridSpan w:val="41"/>
          </w:tcPr>
          <w:p>
            <w:pPr>
              <w:spacing w:after="0" w:line="168"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filed as Exhibit 2.1 to the Registrant's Current Report on Form 8-K (Reg. No. 001-33913), as filed with the Securities and Exchange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Commission on August 30, 2015, and incorporated herein by reference.</w:t>
              </w:r>
            </w:hyperlink>
          </w:p>
        </w:tc>
        <w:tc>
          <w:tcPr>
            <w:tcW w:w="47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320" w:type="dxa"/>
            <w:vAlign w:val="bottom"/>
            <w:gridSpan w:val="2"/>
          </w:tcPr>
          <w:p>
            <w:pPr>
              <w:jc w:val="center"/>
              <w:ind w:right="100"/>
              <w:spacing w:after="0"/>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7</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Asset Purchase Agreement, dated November 1, 2022, among Quanex IG Systems, Inc., LMI Custom Mixing, LLC, Lauren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00" w:type="dxa"/>
            <w:vAlign w:val="bottom"/>
            <w:gridSpan w:val="42"/>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International, Ltd. and Meteor-US-Beteiligungs GMBH, filed as Exhibit 2.1 to the Registrant's Current Report on Form 8-K (Reg. No.</w:t>
              </w:r>
            </w:hyperlink>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4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001-33913), as filed with the Securities and Exchange Commission on November 1, 2022 and incorporated herein by reference.</w:t>
              </w:r>
            </w:hyperlink>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Restated Certificate of Incorporation of the Registrant dated as of March 4, 2016, filed as Exhibit 3.1 of the Registrant’s Current Report</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on Form 8-K (Reg. No. 001-33913) as filed with the Securities and Exchange Commission on March 7, 2016, and incorporated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8"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by reference.</w:t>
              </w:r>
            </w:hyperlink>
          </w:p>
        </w:tc>
        <w:tc>
          <w:tcPr>
            <w:tcW w:w="900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Fourth Amended and Restated Bylaws of the Registrant dated as of February 27, 2020, filed as Exhibit 3.2 of the Registrant's Quarterly</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Report on Form 10-Q (Reg. No. 001-33913) for the quarter ended January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560" w:type="dxa"/>
            <w:vAlign w:val="bottom"/>
          </w:tcPr>
          <w:p>
            <w:pPr>
              <w:spacing w:after="0"/>
              <w:rPr>
                <w:sz w:val="24"/>
                <w:szCs w:val="24"/>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Registrant’s common stock certificate, filed as Exhibit 4.1 of Amendment No. 1 to the Registrant’s Registration Statement 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4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10 (Reg. No. 001-33913), as filed with the Securities and Exchange Commission on February 14, 2008, and incorporated herein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8" w:lineRule="exact"/>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by reference.</w:t>
              </w:r>
            </w:hyperlink>
          </w:p>
        </w:tc>
        <w:tc>
          <w:tcPr>
            <w:tcW w:w="9180" w:type="dxa"/>
            <w:vAlign w:val="bottom"/>
            <w:tcBorders>
              <w:top w:val="single" w:sz="8" w:color="0000FF"/>
            </w:tcBorders>
            <w:gridSpan w:val="31"/>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560" w:type="dxa"/>
            <w:vAlign w:val="bottom"/>
          </w:tcPr>
          <w:p>
            <w:pPr>
              <w:spacing w:after="0"/>
              <w:rPr>
                <w:sz w:val="22"/>
                <w:szCs w:val="22"/>
                <w:color w:val="auto"/>
              </w:rPr>
            </w:pPr>
          </w:p>
        </w:tc>
        <w:tc>
          <w:tcPr>
            <w:tcW w:w="10300" w:type="dxa"/>
            <w:vAlign w:val="bottom"/>
            <w:gridSpan w:val="42"/>
            <w:vMerge w:val="restart"/>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Second Amended and Restated Credit Agreement dated as of July 6, 2022, by and among the Company; the lenders party thereto; and</w:t>
              </w:r>
            </w:hyperlink>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300" w:type="dxa"/>
            <w:vAlign w:val="bottom"/>
            <w:gridSpan w:val="4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Wells Fargo Bank, National Association, as Agent; filed as Exhibit 10.1 of the Registrant's Current Report on Form 8-K (Reg. No. 001-</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380" w:type="dxa"/>
            <w:vAlign w:val="bottom"/>
            <w:tcBorders>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33913) as filed with the Securities and Exchange Commission on July 6, 2022, and incorporated herein by reference.</w:t>
              </w:r>
            </w:hyperlink>
          </w:p>
        </w:tc>
        <w:tc>
          <w:tcPr>
            <w:tcW w:w="1620" w:type="dxa"/>
            <w:vAlign w:val="bottom"/>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960" w:type="dxa"/>
            <w:vAlign w:val="bottom"/>
            <w:gridSpan w:val="4"/>
          </w:tcPr>
          <w:p>
            <w:pPr>
              <w:jc w:val="center"/>
              <w:ind w:right="560"/>
              <w:spacing w:after="0"/>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†10.1</w:t>
              </w:r>
            </w:hyperlink>
          </w:p>
        </w:tc>
        <w:tc>
          <w:tcPr>
            <w:tcW w:w="10300" w:type="dxa"/>
            <w:vAlign w:val="bottom"/>
            <w:gridSpan w:val="4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Quanex Building Products Corporation Amended and Restated 2008 Omnibus Incentive Plan, filed as Exhibit 10.1 to the Registrant's</w:t>
              </w:r>
            </w:hyperlink>
          </w:p>
        </w:tc>
        <w:tc>
          <w:tcPr>
            <w:tcW w:w="0" w:type="dxa"/>
            <w:vAlign w:val="bottom"/>
          </w:tcPr>
          <w:p>
            <w:pPr>
              <w:spacing w:after="0"/>
              <w:rPr>
                <w:sz w:val="1"/>
                <w:szCs w:val="1"/>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Current Report on Form 8-K (Reg. No. 001-33913) as filed with the Securities and Exchange Commission on February 27, 2014, and</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incorporated herein by reference.</w:t>
              </w:r>
            </w:hyperlink>
          </w:p>
        </w:tc>
        <w:tc>
          <w:tcPr>
            <w:tcW w:w="7820" w:type="dxa"/>
            <w:vAlign w:val="bottom"/>
            <w:gridSpan w:val="3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960" w:type="dxa"/>
            <w:vAlign w:val="bottom"/>
            <w:gridSpan w:val="4"/>
          </w:tcPr>
          <w:p>
            <w:pPr>
              <w:jc w:val="center"/>
              <w:ind w:right="560"/>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†10.2</w:t>
              </w:r>
            </w:hyperlink>
          </w:p>
        </w:tc>
        <w:tc>
          <w:tcPr>
            <w:tcW w:w="10300" w:type="dxa"/>
            <w:vAlign w:val="bottom"/>
            <w:gridSpan w:val="4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Quanex Building Products Corporation Deferred Compensation Plan as amended, filed as Exhibit 10.2 to the Registrant's Quarterly</w:t>
              </w:r>
            </w:hyperlink>
          </w:p>
        </w:tc>
        <w:tc>
          <w:tcPr>
            <w:tcW w:w="0" w:type="dxa"/>
            <w:vAlign w:val="bottom"/>
          </w:tcPr>
          <w:p>
            <w:pPr>
              <w:spacing w:after="0"/>
              <w:rPr>
                <w:sz w:val="1"/>
                <w:szCs w:val="1"/>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Report on Form 10-Q (Reg. No. 001-33913) for the quarter ended January 31, 2014, as filed with the Securities and Exchange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7"/>
          </w:tcPr>
          <w:p>
            <w:pPr>
              <w:spacing w:after="0" w:line="168"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Commission on March 6, 2014, and incorporated herein by reference.</w:t>
              </w:r>
            </w:hyperlink>
          </w:p>
        </w:tc>
        <w:tc>
          <w:tcPr>
            <w:tcW w:w="4980" w:type="dxa"/>
            <w:vAlign w:val="bottom"/>
            <w:tcBorders>
              <w:top w:val="single" w:sz="8" w:color="0000FF"/>
            </w:tcBorders>
            <w:gridSpan w:val="19"/>
          </w:tcPr>
          <w:p>
            <w:pPr>
              <w:spacing w:after="0"/>
              <w:rPr>
                <w:sz w:val="14"/>
                <w:szCs w:val="14"/>
                <w:color w:val="auto"/>
              </w:rPr>
            </w:pPr>
          </w:p>
        </w:tc>
        <w:tc>
          <w:tcPr>
            <w:tcW w:w="120" w:type="dxa"/>
            <w:vAlign w:val="bottom"/>
            <w:gridSpan w:val="6"/>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960" w:type="dxa"/>
            <w:vAlign w:val="bottom"/>
            <w:gridSpan w:val="4"/>
          </w:tcPr>
          <w:p>
            <w:pPr>
              <w:jc w:val="center"/>
              <w:ind w:right="560"/>
              <w:spacing w:after="0"/>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†10.3</w:t>
              </w:r>
            </w:hyperlink>
          </w:p>
        </w:tc>
        <w:tc>
          <w:tcPr>
            <w:tcW w:w="10300" w:type="dxa"/>
            <w:vAlign w:val="bottom"/>
            <w:gridSpan w:val="4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Quanex Building Products Corporation Restoration Plan, filed as Exhibit 10.8 of Amendment No. 4 to the Registrant’s Registration</w:t>
              </w:r>
            </w:hyperlink>
          </w:p>
        </w:tc>
        <w:tc>
          <w:tcPr>
            <w:tcW w:w="0" w:type="dxa"/>
            <w:vAlign w:val="bottom"/>
          </w:tcPr>
          <w:p>
            <w:pPr>
              <w:spacing w:after="0"/>
              <w:rPr>
                <w:sz w:val="1"/>
                <w:szCs w:val="1"/>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10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Statement on Form 10 (Reg. No. 001-33913), as filed with the Securities and Exchange Commission on March 17, 2008, and</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incorporated herein by reference.</w:t>
              </w:r>
            </w:hyperlink>
          </w:p>
        </w:tc>
        <w:tc>
          <w:tcPr>
            <w:tcW w:w="7520" w:type="dxa"/>
            <w:vAlign w:val="bottom"/>
            <w:tcBorders>
              <w:top w:val="single" w:sz="8" w:color="0000FF"/>
            </w:tcBorders>
            <w:gridSpan w:val="19"/>
          </w:tcPr>
          <w:p>
            <w:pPr>
              <w:spacing w:after="0"/>
              <w:rPr>
                <w:sz w:val="14"/>
                <w:szCs w:val="14"/>
                <w:color w:val="auto"/>
              </w:rPr>
            </w:pPr>
          </w:p>
        </w:tc>
        <w:tc>
          <w:tcPr>
            <w:tcW w:w="4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60" w:type="dxa"/>
            <w:vAlign w:val="bottom"/>
            <w:gridSpan w:val="4"/>
          </w:tcPr>
          <w:p>
            <w:pPr>
              <w:jc w:val="center"/>
              <w:ind w:right="560"/>
              <w:spacing w:after="0"/>
              <w:rPr>
                <w:rFonts w:ascii="Times New Roman" w:cs="Times New Roman" w:eastAsia="Times New Roman" w:hAnsi="Times New Roman"/>
                <w:sz w:val="18"/>
                <w:szCs w:val="18"/>
                <w:u w:val="single" w:color="auto"/>
                <w:color w:val="0000FF"/>
                <w:w w:val="98"/>
              </w:rPr>
            </w:pPr>
            <w:hyperlink r:id="rId103">
              <w:r>
                <w:rPr>
                  <w:rFonts w:ascii="Times New Roman" w:cs="Times New Roman" w:eastAsia="Times New Roman" w:hAnsi="Times New Roman"/>
                  <w:sz w:val="18"/>
                  <w:szCs w:val="18"/>
                  <w:u w:val="single" w:color="auto"/>
                  <w:color w:val="0000FF"/>
                  <w:w w:val="98"/>
                </w:rPr>
                <w:t>†10.4</w:t>
              </w:r>
            </w:hyperlink>
          </w:p>
        </w:tc>
        <w:tc>
          <w:tcPr>
            <w:tcW w:w="10300" w:type="dxa"/>
            <w:vAlign w:val="bottom"/>
            <w:gridSpan w:val="42"/>
          </w:tcPr>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Quanex Building Products Corporation Supplemental Employees Retirement Plan, filed as Exhibit 10.9 of Amendment No. 4 to the</w:t>
              </w:r>
            </w:hyperlink>
          </w:p>
        </w:tc>
        <w:tc>
          <w:tcPr>
            <w:tcW w:w="0" w:type="dxa"/>
            <w:vAlign w:val="bottom"/>
          </w:tcPr>
          <w:p>
            <w:pPr>
              <w:spacing w:after="0"/>
              <w:rPr>
                <w:sz w:val="1"/>
                <w:szCs w:val="1"/>
                <w:color w:val="auto"/>
              </w:rPr>
            </w:pPr>
          </w:p>
        </w:tc>
      </w:tr>
    </w:tbl>
    <w:p>
      <w:pPr>
        <w:ind w:left="1420" w:right="20"/>
        <w:spacing w:after="0" w:line="232"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Registrant’s Registration Statement on Form 10 (Reg. No. 001-33913), as filed with the Securities and Exchange Commission on March</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17, 2008,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95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†10.5</w:t>
      </w:r>
      <w:r>
        <w:rPr>
          <w:sz w:val="20"/>
          <w:szCs w:val="20"/>
          <w:color w:val="auto"/>
        </w:rPr>
        <w:tab/>
      </w:r>
      <w:hyperlink r:id="rId105">
        <w:r>
          <w:rPr>
            <w:rFonts w:ascii="Times New Roman" w:cs="Times New Roman" w:eastAsia="Times New Roman" w:hAnsi="Times New Roman"/>
            <w:sz w:val="17"/>
            <w:szCs w:val="17"/>
            <w:u w:val="single" w:color="auto"/>
            <w:color w:val="0000FF"/>
          </w:rPr>
          <w:t>Form of Executive Severance Policy applicable to the Registrant and certain of its executive officers, filed as Exhibit 10.1 of the</w:t>
        </w:r>
      </w:hyperlink>
      <w:r>
        <w:rPr>
          <w:rFonts w:ascii="Times New Roman" w:cs="Times New Roman" w:eastAsia="Times New Roman" w:hAnsi="Times New Roman"/>
          <w:sz w:val="17"/>
          <w:szCs w:val="17"/>
          <w:u w:val="single" w:color="auto"/>
          <w:color w:val="0000FF"/>
        </w:rPr>
        <w:t xml:space="preserve"> </w:t>
      </w:r>
      <w:hyperlink r:id="rId105">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March 2, 2020</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†10.6</w:t>
      </w:r>
      <w:r>
        <w:rPr>
          <w:sz w:val="20"/>
          <w:szCs w:val="20"/>
          <w:color w:val="auto"/>
        </w:rPr>
        <w:tab/>
      </w:r>
      <w:hyperlink r:id="rId106">
        <w:r>
          <w:rPr>
            <w:rFonts w:ascii="Times New Roman" w:cs="Times New Roman" w:eastAsia="Times New Roman" w:hAnsi="Times New Roman"/>
            <w:sz w:val="18"/>
            <w:szCs w:val="18"/>
            <w:u w:val="single" w:color="auto"/>
            <w:color w:val="0000FF"/>
          </w:rPr>
          <w:t>Form of Indemnity Agreement between the Registrant and each of its independent directors, filed as Exhibit 10.1 of the Registrant’s</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Current Report on Form 8-K (Reg. No. 001-33913), as filed with the Securities and Exchange Commission on August 29, 2008,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†10.7</w:t>
      </w:r>
      <w:r>
        <w:rPr>
          <w:sz w:val="20"/>
          <w:szCs w:val="20"/>
          <w:color w:val="auto"/>
        </w:rPr>
        <w:tab/>
      </w:r>
      <w:hyperlink r:id="rId107">
        <w:r>
          <w:rPr>
            <w:rFonts w:ascii="Times New Roman" w:cs="Times New Roman" w:eastAsia="Times New Roman" w:hAnsi="Times New Roman"/>
            <w:sz w:val="18"/>
            <w:szCs w:val="18"/>
            <w:u w:val="single" w:color="auto"/>
            <w:color w:val="0000FF"/>
          </w:rPr>
          <w:t>Form of Indemnity Agreement between the Registrant and each of its officers, filed as Exhibit 10.2 of the Registrant’s Current Report</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on Form 8-K (Reg. No. 001-33913), as filed with the Securities and Exchange Commission on August 29, 2008, and incorporated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†10.8</w:t>
      </w:r>
      <w:r>
        <w:rPr>
          <w:sz w:val="20"/>
          <w:szCs w:val="20"/>
          <w:color w:val="auto"/>
        </w:rPr>
        <w:tab/>
      </w:r>
      <w:hyperlink r:id="rId108">
        <w:r>
          <w:rPr>
            <w:rFonts w:ascii="Times New Roman" w:cs="Times New Roman" w:eastAsia="Times New Roman" w:hAnsi="Times New Roman"/>
            <w:sz w:val="18"/>
            <w:szCs w:val="18"/>
            <w:u w:val="single" w:color="auto"/>
            <w:color w:val="0000FF"/>
          </w:rPr>
          <w:t>Form of Stock Option Agreement for Employees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amended, filed as Exhibit 10.1 to the Registrant’s Current Report on Form 8-K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†10.9</w:t>
      </w:r>
      <w:r>
        <w:rPr>
          <w:sz w:val="20"/>
          <w:szCs w:val="20"/>
          <w:color w:val="auto"/>
        </w:rPr>
        <w:tab/>
      </w:r>
      <w:hyperlink r:id="rId109">
        <w:r>
          <w:rPr>
            <w:rFonts w:ascii="Times New Roman" w:cs="Times New Roman" w:eastAsia="Times New Roman" w:hAnsi="Times New Roman"/>
            <w:sz w:val="18"/>
            <w:szCs w:val="18"/>
            <w:u w:val="single" w:color="auto"/>
            <w:color w:val="0000FF"/>
          </w:rPr>
          <w:t>Form of Stock Option Agreement for Section 16 Officers under the Quanex Building Products Corporation 2008 Omnibus Incentive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Plan, as amended, filed as Exhibit 10.2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†10.10</w:t>
      </w:r>
      <w:r>
        <w:rPr>
          <w:sz w:val="20"/>
          <w:szCs w:val="20"/>
          <w:color w:val="auto"/>
        </w:rPr>
        <w:tab/>
      </w:r>
      <w:hyperlink r:id="rId110">
        <w:r>
          <w:rPr>
            <w:rFonts w:ascii="Times New Roman" w:cs="Times New Roman" w:eastAsia="Times New Roman" w:hAnsi="Times New Roman"/>
            <w:sz w:val="18"/>
            <w:szCs w:val="18"/>
            <w:u w:val="single" w:color="auto"/>
            <w:color w:val="0000FF"/>
          </w:rPr>
          <w:t>Form of Stock Option Agreement for Key Leaders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amended, filed as Exhibit 10.3 to the Registrant’s Current Report on Form 8-K (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†10.11</w:t>
      </w:r>
      <w:r>
        <w:rPr>
          <w:sz w:val="20"/>
          <w:szCs w:val="20"/>
          <w:color w:val="auto"/>
        </w:rPr>
        <w:tab/>
      </w:r>
      <w:hyperlink r:id="rId111">
        <w:r>
          <w:rPr>
            <w:rFonts w:ascii="Times New Roman" w:cs="Times New Roman" w:eastAsia="Times New Roman" w:hAnsi="Times New Roman"/>
            <w:sz w:val="18"/>
            <w:szCs w:val="18"/>
            <w:u w:val="single" w:color="auto"/>
            <w:color w:val="0000FF"/>
          </w:rPr>
          <w:t>Form of Stock Option Agreement for Non-Employee Directors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Incentive Plan, as amended, filed as Exhibit 10.4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†10.12</w:t>
      </w:r>
      <w:r>
        <w:rPr>
          <w:sz w:val="20"/>
          <w:szCs w:val="20"/>
          <w:color w:val="auto"/>
        </w:rPr>
        <w:tab/>
      </w:r>
      <w:hyperlink r:id="rId112">
        <w:r>
          <w:rPr>
            <w:rFonts w:ascii="Times New Roman" w:cs="Times New Roman" w:eastAsia="Times New Roman" w:hAnsi="Times New Roman"/>
            <w:sz w:val="18"/>
            <w:szCs w:val="18"/>
            <w:u w:val="single" w:color="auto"/>
            <w:color w:val="0000FF"/>
          </w:rPr>
          <w:t>Form of Restricted Stock Award Agreement for Section 16 Officers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Incentive Plan, as amended, filed as Exhibit 10.6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†10.13</w:t>
      </w:r>
      <w:r>
        <w:rPr>
          <w:sz w:val="20"/>
          <w:szCs w:val="20"/>
          <w:color w:val="auto"/>
        </w:rPr>
        <w:tab/>
      </w:r>
      <w:hyperlink r:id="rId113">
        <w:r>
          <w:rPr>
            <w:rFonts w:ascii="Times New Roman" w:cs="Times New Roman" w:eastAsia="Times New Roman" w:hAnsi="Times New Roman"/>
            <w:sz w:val="17"/>
            <w:szCs w:val="17"/>
            <w:u w:val="single" w:color="auto"/>
            <w:color w:val="0000FF"/>
          </w:rPr>
          <w:t>Form of Restricted Stock Award Agreement for Key Leaders under the Quanex Building Products Corporation 2008 Omnibus Incentive</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Plan, as amended, filed as Exhibit 10.7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†10.14</w:t>
      </w:r>
      <w:r>
        <w:rPr>
          <w:sz w:val="20"/>
          <w:szCs w:val="20"/>
          <w:color w:val="auto"/>
        </w:rPr>
        <w:tab/>
      </w:r>
      <w:hyperlink r:id="rId114">
        <w:r>
          <w:rPr>
            <w:rFonts w:ascii="Times New Roman" w:cs="Times New Roman" w:eastAsia="Times New Roman" w:hAnsi="Times New Roman"/>
            <w:sz w:val="18"/>
            <w:szCs w:val="18"/>
            <w:u w:val="single" w:color="auto"/>
            <w:color w:val="0000FF"/>
          </w:rPr>
          <w:t>Form of Restricted Stock Unit Award Agreement for Section 16 Officers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Omnibus Incentive Plan, as amended, filed as Exhibit 10.10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†10.15</w:t>
      </w:r>
      <w:r>
        <w:rPr>
          <w:sz w:val="20"/>
          <w:szCs w:val="20"/>
          <w:color w:val="auto"/>
        </w:rPr>
        <w:tab/>
      </w:r>
      <w:hyperlink r:id="rId115">
        <w:r>
          <w:rPr>
            <w:rFonts w:ascii="Times New Roman" w:cs="Times New Roman" w:eastAsia="Times New Roman" w:hAnsi="Times New Roman"/>
            <w:sz w:val="18"/>
            <w:szCs w:val="18"/>
            <w:u w:val="single" w:color="auto"/>
            <w:color w:val="0000FF"/>
          </w:rPr>
          <w:t>Form of Restricted Stock Unit Award Agreement for Key Leaders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Incentive Plan, as amended, filed as Exhibit 10.11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†10.16</w:t>
      </w:r>
      <w:r>
        <w:rPr>
          <w:sz w:val="20"/>
          <w:szCs w:val="20"/>
          <w:color w:val="auto"/>
        </w:rPr>
        <w:tab/>
      </w:r>
      <w:hyperlink r:id="rId116">
        <w:r>
          <w:rPr>
            <w:rFonts w:ascii="Times New Roman" w:cs="Times New Roman" w:eastAsia="Times New Roman" w:hAnsi="Times New Roman"/>
            <w:sz w:val="18"/>
            <w:szCs w:val="18"/>
            <w:u w:val="single" w:color="auto"/>
            <w:color w:val="0000FF"/>
          </w:rPr>
          <w:t>Form of Restricted Stock Unit Award Agreement for Non-Employee Directors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Omnibus Incentive Plan, as amended, filed as Exhibit 10.12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†10.17</w:t>
      </w:r>
      <w:r>
        <w:rPr>
          <w:sz w:val="20"/>
          <w:szCs w:val="20"/>
          <w:color w:val="auto"/>
        </w:rPr>
        <w:tab/>
      </w:r>
      <w:hyperlink r:id="rId117">
        <w:r>
          <w:rPr>
            <w:rFonts w:ascii="Times New Roman" w:cs="Times New Roman" w:eastAsia="Times New Roman" w:hAnsi="Times New Roman"/>
            <w:sz w:val="17"/>
            <w:szCs w:val="17"/>
            <w:u w:val="single" w:color="auto"/>
            <w:color w:val="0000FF"/>
          </w:rPr>
          <w:t>Amended Form of Performance Share Award Agreement for Section 16 Officers under the Quanex Building Products Corporation 2008</w:t>
        </w:r>
      </w:hyperlink>
      <w:r>
        <w:rPr>
          <w:rFonts w:ascii="Times New Roman" w:cs="Times New Roman" w:eastAsia="Times New Roman" w:hAnsi="Times New Roman"/>
          <w:sz w:val="17"/>
          <w:szCs w:val="17"/>
          <w:u w:val="single" w:color="auto"/>
          <w:color w:val="0000FF"/>
        </w:rPr>
        <w:t xml:space="preserve"> </w:t>
      </w:r>
      <w:hyperlink r:id="rId117">
        <w:r>
          <w:rPr>
            <w:rFonts w:ascii="Times New Roman" w:cs="Times New Roman" w:eastAsia="Times New Roman" w:hAnsi="Times New Roman"/>
            <w:sz w:val="17"/>
            <w:szCs w:val="17"/>
            <w:u w:val="single" w:color="auto"/>
            <w:color w:val="0000FF"/>
          </w:rPr>
          <w:t>Omnibus Incentive Plan, as amended, filed as Exhibit 10.2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†10.18</w:t>
      </w:r>
      <w:r>
        <w:rPr>
          <w:sz w:val="20"/>
          <w:szCs w:val="20"/>
          <w:color w:val="auto"/>
        </w:rPr>
        <w:tab/>
      </w:r>
      <w:hyperlink r:id="rId118">
        <w:r>
          <w:rPr>
            <w:rFonts w:ascii="Times New Roman" w:cs="Times New Roman" w:eastAsia="Times New Roman" w:hAnsi="Times New Roman"/>
            <w:sz w:val="18"/>
            <w:szCs w:val="18"/>
            <w:u w:val="single" w:color="auto"/>
            <w:color w:val="0000FF"/>
          </w:rPr>
          <w:t>Amended Form of Performance Share Award Agreement for Key Leaders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Omnibus Incentive Plan, as amended, filed as Exhibit 10.3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†10.19</w:t>
      </w:r>
      <w:r>
        <w:rPr>
          <w:sz w:val="20"/>
          <w:szCs w:val="20"/>
          <w:color w:val="auto"/>
        </w:rPr>
        <w:tab/>
      </w:r>
      <w:hyperlink r:id="rId120">
        <w:r>
          <w:rPr>
            <w:rFonts w:ascii="Times New Roman" w:cs="Times New Roman" w:eastAsia="Times New Roman" w:hAnsi="Times New Roman"/>
            <w:sz w:val="17"/>
            <w:szCs w:val="17"/>
            <w:u w:val="single" w:color="auto"/>
            <w:color w:val="0000FF"/>
          </w:rPr>
          <w:t>Agreement between Quanex Building Products Corporation and Scott Zuehlke, effective November 1, 2019, filed as Exhibit 10.1 to the</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2019,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10.20      Lease dated February 9, 2016, between Garner Properties Ltd. and HL Plastics Limited, filed as Exhibit 10.44 to the Registrant's Annual</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Report on Form 10-K (Reg. No. 001-33913) for the year ended October 31, 2016,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Commission on December 16, 2016,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10.21      Amended and Completely Restated Lease Agreement dated August 25, 2016, between Lauren Real Estate Holding LLC and Quanex IG</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Systems, Inc., filed as Exhibit 10.1 to the Registrant’s Current Report on Form 8-K (Reg. No. 001-33913), as filed with the Securities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and Exchange Commission on August 26, 2016,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†10.22</w:t>
      </w:r>
      <w:r>
        <w:rPr>
          <w:sz w:val="20"/>
          <w:szCs w:val="20"/>
          <w:color w:val="auto"/>
        </w:rPr>
        <w:tab/>
      </w:r>
      <w:hyperlink r:id="rId123">
        <w:r>
          <w:rPr>
            <w:rFonts w:ascii="Times New Roman" w:cs="Times New Roman" w:eastAsia="Times New Roman" w:hAnsi="Times New Roman"/>
            <w:sz w:val="18"/>
            <w:szCs w:val="18"/>
            <w:u w:val="single" w:color="auto"/>
            <w:color w:val="0000FF"/>
          </w:rPr>
          <w:t>Amended and Restated Employee Stock Purchase Plan, as amended and restated effective April 1, 2017, filed as Annex A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Registrant’s Definitive Proxy Statement on Schedule 14A for its 2017 Annual Meeting of Stockholders (Reg. No 001-33919), as filed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with the Securities and Exchange Commission on January 31, 2017,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†10.23</w:t>
      </w:r>
      <w:r>
        <w:rPr>
          <w:sz w:val="20"/>
          <w:szCs w:val="20"/>
          <w:color w:val="auto"/>
        </w:rPr>
        <w:tab/>
      </w:r>
      <w:hyperlink r:id="rId124">
        <w:r>
          <w:rPr>
            <w:rFonts w:ascii="Times New Roman" w:cs="Times New Roman" w:eastAsia="Times New Roman" w:hAnsi="Times New Roman"/>
            <w:sz w:val="18"/>
            <w:szCs w:val="18"/>
            <w:u w:val="single" w:color="auto"/>
            <w:color w:val="0000FF"/>
          </w:rPr>
          <w:t>Agreement between Quanex Building Products Corporation and George Wilson, effective August 1, 2017, filed as Exhibit 10.1 of the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Registrant’s Current Report on Form 8-K (Reg. No. 001-33919) as filed with the Securities and Exchange Commission on July 27,</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2017, and herein incorporated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†10.24</w:t>
      </w:r>
      <w:r>
        <w:rPr>
          <w:sz w:val="20"/>
          <w:szCs w:val="20"/>
          <w:color w:val="auto"/>
        </w:rPr>
        <w:tab/>
      </w:r>
      <w:hyperlink r:id="rId125">
        <w:r>
          <w:rPr>
            <w:rFonts w:ascii="Times New Roman" w:cs="Times New Roman" w:eastAsia="Times New Roman" w:hAnsi="Times New Roman"/>
            <w:sz w:val="18"/>
            <w:szCs w:val="18"/>
            <w:u w:val="single" w:color="auto"/>
            <w:color w:val="0000FF"/>
          </w:rPr>
          <w:t>Form of Key Leader Stock Settled Performance Restricted Stock Units Award Agreement filed as Exhibit 10.50 to the Registrant's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Annual Report on Form 10-K (Reg. No. 001-33913) for the year ended October 31, 2017,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Commission on December 12, 2017,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†10.25</w:t>
      </w:r>
      <w:r>
        <w:rPr>
          <w:sz w:val="20"/>
          <w:szCs w:val="20"/>
          <w:color w:val="auto"/>
        </w:rPr>
        <w:tab/>
      </w:r>
      <w:hyperlink r:id="rId126">
        <w:r>
          <w:rPr>
            <w:rFonts w:ascii="Times New Roman" w:cs="Times New Roman" w:eastAsia="Times New Roman" w:hAnsi="Times New Roman"/>
            <w:sz w:val="18"/>
            <w:szCs w:val="18"/>
            <w:u w:val="single" w:color="auto"/>
            <w:color w:val="0000FF"/>
          </w:rPr>
          <w:t>Form of Section 16 Officer Stock Settled Performance Restricted Stock Units Award Agreement filed as Exhibit 10.51 to the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Registrant's Annual Report on Form 10-K (Reg. No. 001-33913) for the year ended October 31, 2017,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Exchange Commission on December 12, 2017, and incorporated herein by reference.</w:t>
        </w:r>
      </w:hyperlink>
    </w:p>
    <w:p>
      <w:pPr>
        <w:spacing w:after="0" w:line="10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 xml:space="preserve">10.26      </w:t>
        </w:r>
      </w:hyperlink>
      <w:hyperlink r:id="rId128">
        <w:r>
          <w:rPr>
            <w:rFonts w:ascii="Times New Roman" w:cs="Times New Roman" w:eastAsia="Times New Roman" w:hAnsi="Times New Roman"/>
            <w:sz w:val="18"/>
            <w:szCs w:val="18"/>
            <w:u w:val="single" w:color="auto"/>
            <w:color w:val="0000FF"/>
          </w:rPr>
          <w:t>First Amendment to the Amended and Completely Restated Lease Agreement by and among Quanex IG Systems, Inc. and Lauren Real</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Estate Holding LLC, dated November 1, 2022 as filed as Exhibit 10.1 of the Registrant's Current Report on Form 8-K (Reg. No. 001-</w:t>
        </w:r>
      </w:hyperlink>
    </w:p>
    <w:p>
      <w:pPr>
        <w:spacing w:after="0" w:line="2" w:lineRule="exact"/>
        <w:rPr>
          <w:rFonts w:ascii="Times New Roman" w:cs="Times New Roman" w:eastAsia="Times New Roman" w:hAnsi="Times New Roman"/>
          <w:sz w:val="18"/>
          <w:szCs w:val="18"/>
          <w:u w:val="single" w:color="auto"/>
          <w:color w:val="0000FF"/>
        </w:rPr>
      </w:pPr>
    </w:p>
    <w:p>
      <w:pPr>
        <w:jc w:val="center"/>
        <w:ind w:left="4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33913) as filed with the Securities and Exchange Commission on November 1, 2022, and incorporated herein by reference.</w:t>
        </w:r>
      </w:hyperlink>
    </w:p>
    <w:p>
      <w:pPr>
        <w:spacing w:after="0" w:line="109" w:lineRule="exact"/>
        <w:rPr>
          <w:rFonts w:ascii="Times New Roman" w:cs="Times New Roman" w:eastAsia="Times New Roman" w:hAnsi="Times New Roman"/>
          <w:sz w:val="18"/>
          <w:szCs w:val="18"/>
          <w:u w:val="single" w:color="auto"/>
          <w:color w:val="0000FF"/>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†10.27</w:t>
      </w:r>
      <w:r>
        <w:rPr>
          <w:sz w:val="20"/>
          <w:szCs w:val="20"/>
          <w:color w:val="auto"/>
        </w:rPr>
        <w:tab/>
      </w:r>
      <w:hyperlink r:id="rId129">
        <w:r>
          <w:rPr>
            <w:rFonts w:ascii="Times New Roman" w:cs="Times New Roman" w:eastAsia="Times New Roman" w:hAnsi="Times New Roman"/>
            <w:sz w:val="17"/>
            <w:szCs w:val="17"/>
            <w:u w:val="single" w:color="auto"/>
            <w:color w:val="0000FF"/>
          </w:rPr>
          <w:t>Agreement between Quanex Building Products Corporation and Paul Cornett, effective November 1, 2019, filed as Exhibit 10.4 to the</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2019,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†10.28</w:t>
      </w:r>
      <w:r>
        <w:rPr>
          <w:sz w:val="20"/>
          <w:szCs w:val="20"/>
          <w:color w:val="auto"/>
        </w:rPr>
        <w:tab/>
      </w:r>
      <w:hyperlink r:id="rId130">
        <w:r>
          <w:rPr>
            <w:rFonts w:ascii="Times New Roman" w:cs="Times New Roman" w:eastAsia="Times New Roman" w:hAnsi="Times New Roman"/>
            <w:sz w:val="18"/>
            <w:szCs w:val="18"/>
            <w:u w:val="single" w:color="auto"/>
            <w:color w:val="0000FF"/>
          </w:rPr>
          <w:t>Quanex Building Products Corporation 2020 Omnibus Incentive Plan filed as Exhibit 10.2 to the Registrant's Current Report on Form 8-</w:t>
        </w:r>
      </w:hyperlink>
      <w:hyperlink r:id="rId130">
        <w:r>
          <w:rPr>
            <w:rFonts w:ascii="Times New Roman" w:cs="Times New Roman" w:eastAsia="Times New Roman" w:hAnsi="Times New Roman"/>
            <w:sz w:val="18"/>
            <w:szCs w:val="18"/>
            <w:u w:val="single" w:color="auto"/>
            <w:color w:val="0000FF"/>
          </w:rPr>
          <w:t>K (Reg. No. 001-33913), as filed with the Securities and Exchange Commission on March 2, 2020, and incorporated herein by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†10.29</w:t>
      </w:r>
      <w:r>
        <w:rPr>
          <w:sz w:val="20"/>
          <w:szCs w:val="20"/>
          <w:color w:val="auto"/>
        </w:rPr>
        <w:tab/>
      </w:r>
      <w:hyperlink r:id="rId131">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Exchange Commission on March 6, 2020,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†10.30</w:t>
      </w:r>
      <w:r>
        <w:rPr>
          <w:sz w:val="20"/>
          <w:szCs w:val="20"/>
          <w:color w:val="auto"/>
        </w:rPr>
        <w:tab/>
      </w:r>
      <w:hyperlink r:id="rId132">
        <w:r>
          <w:rPr>
            <w:rFonts w:ascii="Times New Roman" w:cs="Times New Roman" w:eastAsia="Times New Roman" w:hAnsi="Times New Roman"/>
            <w:sz w:val="18"/>
            <w:szCs w:val="18"/>
            <w:u w:val="single" w:color="auto"/>
            <w:color w:val="0000FF"/>
          </w:rPr>
          <w:t>Form of Annual Incentive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351"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†10.31</w:t>
      </w:r>
      <w:r>
        <w:rPr>
          <w:sz w:val="20"/>
          <w:szCs w:val="20"/>
          <w:color w:val="auto"/>
        </w:rPr>
        <w:tab/>
      </w:r>
      <w:hyperlink r:id="rId133">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Plan, filed as Exhibit 10.2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297"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†10.32</w:t>
      </w:r>
      <w:r>
        <w:rPr>
          <w:sz w:val="20"/>
          <w:szCs w:val="20"/>
          <w:color w:val="auto"/>
        </w:rPr>
        <w:tab/>
      </w:r>
      <w:hyperlink r:id="rId134">
        <w:r>
          <w:rPr>
            <w:rFonts w:ascii="Times New Roman" w:cs="Times New Roman" w:eastAsia="Times New Roman" w:hAnsi="Times New Roman"/>
            <w:sz w:val="18"/>
            <w:szCs w:val="18"/>
            <w:u w:val="single" w:color="auto"/>
            <w:color w:val="0000FF"/>
          </w:rPr>
          <w:t>Form of Restricted Stock Unit Award Agreement for Employees under the Quanex Building Products Corporation 2020 Omnibus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Incentive Plan, filed as Exhibit 10.3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020" w:type="dxa"/>
            <w:vAlign w:val="bottom"/>
            <w:gridSpan w:val="5"/>
          </w:tcPr>
          <w:p>
            <w:pPr>
              <w:jc w:val="center"/>
              <w:ind w:right="5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†10.33</w:t>
              </w:r>
            </w:hyperlink>
          </w:p>
        </w:tc>
        <w:tc>
          <w:tcPr>
            <w:tcW w:w="10100" w:type="dxa"/>
            <w:vAlign w:val="bottom"/>
            <w:gridSpan w:val="3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Performance Share Award Agreement for Employees under the Quanex Building Products Corporation 2020 Omnibus</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Incentive Plan, filed as Exhibit 10.4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80" w:type="dxa"/>
            <w:vAlign w:val="bottom"/>
            <w:gridSpan w:val="20"/>
          </w:tcPr>
          <w:p>
            <w:pPr>
              <w:spacing w:after="0" w:line="16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8"/>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†10.34</w:t>
              </w:r>
            </w:hyperlink>
          </w:p>
        </w:tc>
        <w:tc>
          <w:tcPr>
            <w:tcW w:w="10100" w:type="dxa"/>
            <w:vAlign w:val="bottom"/>
            <w:gridSpan w:val="3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Performance Restricted Stock Unit Award Agreement for Employees under the Quanex Building Products Corporation 2020</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Omnibus Incentive Plan, filed as Exhibit 10.5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60" w:type="dxa"/>
            <w:vAlign w:val="bottom"/>
            <w:gridSpan w:val="24"/>
          </w:tcPr>
          <w:p>
            <w:pPr>
              <w:spacing w:after="0" w:line="16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†10.35</w:t>
              </w:r>
            </w:hyperlink>
          </w:p>
        </w:tc>
        <w:tc>
          <w:tcPr>
            <w:tcW w:w="10100" w:type="dxa"/>
            <w:vAlign w:val="bottom"/>
            <w:gridSpan w:val="3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Unit Award Agreement for independent Directors under the Quanex Building Products Corporation 2020</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Omnibus Incentive Plan, filed as Exhibit 10.39 of the Registrant’s Annual Report on Form 10-K (Reg. No. 001-33913) as filed with the</w:t>
              </w:r>
            </w:hyperlink>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12"/>
          </w:tcPr>
          <w:p>
            <w:pPr>
              <w:spacing w:after="0" w:line="168"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Securities and Exchange Commission on December 11, 2020, and incorporated herein by reference.</w:t>
              </w:r>
            </w:hyperlink>
          </w:p>
        </w:tc>
        <w:tc>
          <w:tcPr>
            <w:tcW w:w="27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6"/>
        </w:trPr>
        <w:tc>
          <w:tcPr>
            <w:tcW w:w="580" w:type="dxa"/>
            <w:vAlign w:val="bottom"/>
            <w:gridSpan w:val="4"/>
          </w:tcPr>
          <w:p>
            <w:pPr>
              <w:jc w:val="center"/>
              <w:ind w:left="90"/>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00" w:type="dxa"/>
            <w:vAlign w:val="bottom"/>
            <w:gridSpan w:val="3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Lease Relating to Land and Buildings at Denby Hall Business Park, Denby, Ripley, Derbyshire, DE5 8JX, dated as of October 21, 2022,</w:t>
              </w:r>
            </w:hyperlink>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by and among Garner Holdings Limited, Liniar Limited, and Ryfields Close Management Company Limited, filed as Exhibit 10.1 of the</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60" w:type="dxa"/>
            <w:vAlign w:val="bottom"/>
            <w:gridSpan w:val="29"/>
          </w:tcPr>
          <w:p>
            <w:pPr>
              <w:spacing w:after="0" w:line="16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Registrant’s Current Report on Form 8-K (Reg. No. 001-33913) as filed with the Securities and Exchange Commission on October 26,</w:t>
              </w:r>
            </w:hyperlink>
          </w:p>
        </w:tc>
        <w:tc>
          <w:tcPr>
            <w:tcW w:w="40" w:type="dxa"/>
            <w:vAlign w:val="bottom"/>
            <w:gridSpan w:val="2"/>
          </w:tcPr>
          <w:p>
            <w:pPr>
              <w:spacing w:after="0"/>
              <w:rPr>
                <w:sz w:val="14"/>
                <w:szCs w:val="14"/>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2022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37</w:t>
              </w:r>
            </w:hyperlink>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00" w:type="dxa"/>
            <w:vAlign w:val="bottom"/>
            <w:gridSpan w:val="3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First Amendment to the Amended and Completely Restated Lease Agreement by and among Quanex IG Systems, Inc. and Lauren Real</w:t>
              </w:r>
            </w:hyperlink>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Estate Holding LLC, dated November 1, 2022, filed as Exhibit 10.1 to the Registrant's Current Report on Form 8-K (Reg. No. 001-</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40" w:type="dxa"/>
            <w:vAlign w:val="bottom"/>
            <w:tcBorders>
              <w:bottom w:val="single" w:sz="8" w:color="0000FF"/>
            </w:tcBorders>
            <w:gridSpan w:val="13"/>
          </w:tcPr>
          <w:p>
            <w:pPr>
              <w:spacing w:after="0" w:line="168"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33913)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filed with the Securities and Exchange Commission on November 1, 2022 and incorporated herein by reference.</w:t>
              </w:r>
            </w:hyperlink>
          </w:p>
        </w:tc>
        <w:tc>
          <w:tcPr>
            <w:tcW w:w="11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16"/>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†10.38</w:t>
              </w:r>
            </w:hyperlink>
          </w:p>
        </w:tc>
        <w:tc>
          <w:tcPr>
            <w:tcW w:w="10100" w:type="dxa"/>
            <w:vAlign w:val="bottom"/>
            <w:gridSpan w:val="3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Form of Restricted Stock Award Agreement under the Quanex Building Products Corporation 2020 Omnibus Incentive Plan,</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 xml:space="preserve">as amended, filed as </w:t>
              </w:r>
              <w:r>
                <w:rPr>
                  <w:rFonts w:ascii="Times New Roman" w:cs="Times New Roman" w:eastAsia="Times New Roman" w:hAnsi="Times New Roman"/>
                  <w:sz w:val="17"/>
                  <w:szCs w:val="17"/>
                  <w:u w:val="single" w:color="auto"/>
                  <w:color w:val="0000FF"/>
                </w:rPr>
                <w:t>Ex</w:t>
              </w:r>
            </w:hyperlink>
          </w:p>
        </w:tc>
        <w:tc>
          <w:tcPr>
            <w:tcW w:w="1060" w:type="dxa"/>
            <w:vAlign w:val="bottom"/>
            <w:tcBorders>
              <w:bottom w:val="single" w:sz="8" w:color="0000FF"/>
            </w:tcBorders>
            <w:gridSpan w:val="4"/>
          </w:tcPr>
          <w:p>
            <w:pPr>
              <w:spacing w:after="0" w:line="154" w:lineRule="exact"/>
              <w:rPr>
                <w:rFonts w:ascii="Times New Roman" w:cs="Times New Roman" w:eastAsia="Times New Roman" w:hAnsi="Times New Roman"/>
                <w:sz w:val="17"/>
                <w:szCs w:val="17"/>
                <w:color w:val="0000FF"/>
                <w:highlight w:val="white"/>
              </w:rPr>
            </w:pPr>
            <w:hyperlink r:id="rId140">
              <w:r>
                <w:rPr>
                  <w:rFonts w:ascii="Times New Roman" w:cs="Times New Roman" w:eastAsia="Times New Roman" w:hAnsi="Times New Roman"/>
                  <w:sz w:val="17"/>
                  <w:szCs w:val="17"/>
                  <w:color w:val="0000FF"/>
                  <w:highlight w:val="white"/>
                </w:rPr>
                <w:t xml:space="preserve">hibit 10.1 of </w:t>
              </w:r>
              <w:r>
                <w:rPr>
                  <w:rFonts w:ascii="Times New Roman" w:cs="Times New Roman" w:eastAsia="Times New Roman" w:hAnsi="Times New Roman"/>
                  <w:sz w:val="17"/>
                  <w:szCs w:val="17"/>
                  <w:u w:val="single" w:color="auto"/>
                  <w:color w:val="0000FF"/>
                  <w:highlight w:val="white"/>
                </w:rPr>
                <w:t>th</w:t>
              </w:r>
            </w:hyperlink>
          </w:p>
        </w:tc>
        <w:tc>
          <w:tcPr>
            <w:tcW w:w="704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e Registrant’s Current Report on Form 8-K (Reg. No. 001-33913) as filed with the Securities and</w:t>
              </w:r>
            </w:hyperlink>
          </w:p>
        </w:tc>
        <w:tc>
          <w:tcPr>
            <w:tcW w:w="120" w:type="dxa"/>
            <w:vAlign w:val="bottom"/>
            <w:tcBorders>
              <w:bottom w:val="single" w:sz="8" w:color="0000FF"/>
            </w:tcBorders>
            <w:gridSpan w:val="6"/>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80" w:type="dxa"/>
            <w:vAlign w:val="bottom"/>
            <w:tcBorders>
              <w:bottom w:val="single" w:sz="8" w:color="0000FF"/>
            </w:tcBorders>
            <w:gridSpan w:val="10"/>
          </w:tcPr>
          <w:p>
            <w:pPr>
              <w:spacing w:after="0" w:line="168"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Exchange Commission on December 9, 2022 and incorporated herein by reference.</w:t>
              </w:r>
            </w:hyperlink>
          </w:p>
        </w:tc>
        <w:tc>
          <w:tcPr>
            <w:tcW w:w="404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02"/>
        </w:trPr>
        <w:tc>
          <w:tcPr>
            <w:tcW w:w="580" w:type="dxa"/>
            <w:vAlign w:val="bottom"/>
            <w:gridSpan w:val="4"/>
          </w:tcPr>
          <w:p>
            <w:pPr>
              <w:jc w:val="center"/>
              <w:ind w:left="90"/>
              <w:spacing w:after="0"/>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39</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00" w:type="dxa"/>
            <w:vAlign w:val="bottom"/>
            <w:gridSpan w:val="3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Quanex Building Products Corporation Restoration Plan, dated June 1, 2023, as filed as Exhibit 10.1 on Form 10-Q</w:t>
              </w:r>
            </w:hyperlink>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4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(Reg. No. 001-33913) as filed with the Securities and Exchange Commission on June 2, 2023, and incorporated herein by reference.</w:t>
              </w:r>
            </w:hyperlink>
          </w:p>
        </w:tc>
        <w:tc>
          <w:tcPr>
            <w:tcW w:w="60" w:type="dxa"/>
            <w:vAlign w:val="bottom"/>
            <w:gridSpan w:val="3"/>
          </w:tcPr>
          <w:p>
            <w:pPr>
              <w:spacing w:after="0"/>
              <w:rPr>
                <w:sz w:val="13"/>
                <w:szCs w:val="13"/>
                <w:color w:val="auto"/>
              </w:rPr>
            </w:pPr>
          </w:p>
        </w:tc>
      </w:tr>
      <w:tr>
        <w:trPr>
          <w:trHeight w:val="20"/>
        </w:trPr>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6"/>
        </w:trPr>
        <w:tc>
          <w:tcPr>
            <w:tcW w:w="580" w:type="dxa"/>
            <w:vAlign w:val="bottom"/>
            <w:gridSpan w:val="4"/>
          </w:tcPr>
          <w:p>
            <w:pPr>
              <w:jc w:val="center"/>
              <w:ind w:left="90"/>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40</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00" w:type="dxa"/>
            <w:vAlign w:val="bottom"/>
            <w:gridSpan w:val="3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to Quanex Building Products Corporation Supplemental Employees Retirement Plan, dated June 1, 2023, as filed as</w:t>
              </w:r>
            </w:hyperlink>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Exhibit 10.2 on Form 10-Q (Reg. No. 001-33913) as filed with the Securities and Exchange Commission on June 2, 2023, and</w:t>
              </w:r>
            </w:hyperlink>
          </w:p>
        </w:tc>
        <w:tc>
          <w:tcPr>
            <w:tcW w:w="160" w:type="dxa"/>
            <w:vAlign w:val="bottom"/>
            <w:tcBorders>
              <w:bottom w:val="single" w:sz="8" w:color="0000FF"/>
            </w:tcBorders>
            <w:gridSpan w:val="8"/>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tcBorders>
              <w:bottom w:val="single" w:sz="8" w:color="0000FF"/>
            </w:tcBorders>
            <w:gridSpan w:val="4"/>
          </w:tcPr>
          <w:p>
            <w:pPr>
              <w:spacing w:after="0" w:line="168"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incorporated herein by reference.</w:t>
              </w:r>
            </w:hyperlink>
          </w:p>
        </w:tc>
        <w:tc>
          <w:tcPr>
            <w:tcW w:w="7560" w:type="dxa"/>
            <w:vAlign w:val="bottom"/>
            <w:gridSpan w:val="19"/>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gridSpan w:val="22"/>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gridSpan w:val="22"/>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2"/>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r>
      <w:tr>
        <w:trPr>
          <w:trHeight w:val="262"/>
        </w:trPr>
        <w:tc>
          <w:tcPr>
            <w:tcW w:w="240" w:type="dxa"/>
            <w:vAlign w:val="bottom"/>
            <w:gridSpan w:val="2"/>
          </w:tcPr>
          <w:p>
            <w:pPr>
              <w:spacing w:after="0"/>
              <w:rPr>
                <w:sz w:val="22"/>
                <w:szCs w:val="22"/>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6"/>
              </w:rPr>
              <w:t>*32</w:t>
            </w:r>
          </w:p>
        </w:tc>
        <w:tc>
          <w:tcPr>
            <w:tcW w:w="8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320" w:type="dxa"/>
            <w:vAlign w:val="bottom"/>
            <w:tcBorders>
              <w:top w:val="single" w:sz="8" w:color="0000FF"/>
            </w:tcBorders>
          </w:tcPr>
          <w:p>
            <w:pPr>
              <w:spacing w:after="0"/>
              <w:rPr>
                <w:sz w:val="22"/>
                <w:szCs w:val="22"/>
                <w:color w:val="auto"/>
              </w:rPr>
            </w:pPr>
          </w:p>
        </w:tc>
        <w:tc>
          <w:tcPr>
            <w:tcW w:w="4540" w:type="dxa"/>
            <w:vAlign w:val="bottom"/>
            <w:gridSpan w:val="22"/>
          </w:tcPr>
          <w:p>
            <w:pPr>
              <w:spacing w:after="0"/>
              <w:rPr>
                <w:sz w:val="22"/>
                <w:szCs w:val="22"/>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*97.</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Quanex Building Products Corporation Clawback Policy.</w:t>
            </w:r>
          </w:p>
        </w:tc>
      </w:tr>
      <w:tr>
        <w:trPr>
          <w:trHeight w:val="20"/>
        </w:trPr>
        <w:tc>
          <w:tcPr>
            <w:tcW w:w="1140" w:type="dxa"/>
            <w:vAlign w:val="bottom"/>
            <w:gridSpan w:val="6"/>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6000" w:type="dxa"/>
            <w:vAlign w:val="bottom"/>
            <w:gridSpan w:val="24"/>
          </w:tcPr>
          <w:p>
            <w:pPr>
              <w:spacing w:after="0" w:line="20" w:lineRule="exact"/>
              <w:rPr>
                <w:sz w:val="1"/>
                <w:szCs w:val="1"/>
                <w:color w:val="auto"/>
              </w:rPr>
            </w:pPr>
          </w:p>
        </w:tc>
      </w:tr>
      <w:tr>
        <w:trPr>
          <w:trHeight w:val="249"/>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1"/>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*101.SCH</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2"/>
        </w:trPr>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*101.CAL</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2"/>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*101.DEF</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2"/>
        </w:trPr>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*101.LAB</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2"/>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or Incentive Plan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3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sectPr>
      </w:pPr>
    </w:p>
    <w:bookmarkStart w:id="79" w:name="page80"/>
    <w:bookmarkEnd w:id="79"/>
    <w:p>
      <w:pPr>
        <w:ind w:left="1010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883"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LOCATION OF INCORPORATION</w:t>
      </w:r>
    </w:p>
    <w:p>
      <w:pPr>
        <w:spacing w:after="0" w:line="47" w:lineRule="exact"/>
        <w:rPr>
          <w:sz w:val="20"/>
          <w:szCs w:val="20"/>
          <w:color w:val="auto"/>
        </w:rPr>
      </w:pPr>
    </w:p>
    <w:p>
      <w:pPr>
        <w:sectPr>
          <w:pgSz w:w="11900" w:h="16838" w:orient="portrait"/>
          <w:cols w:equalWidth="0" w:num="2">
            <w:col w:w="7140" w:space="720"/>
            <w:col w:w="336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Quanex North American Fenestration,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Quanex North American Cabinet Components,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Homeshield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Washington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IG Systems,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Europe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(UK)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Flamstead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Liniar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Woodcraft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Acquisition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Primewood,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Dakota</w:t>
      </w:r>
    </w:p>
    <w:p>
      <w:pPr>
        <w:sectPr>
          <w:pgSz w:w="11900" w:h="16838" w:orient="portrait"/>
          <w:cols w:equalWidth="0" w:num="2">
            <w:col w:w="7140" w:space="720"/>
            <w:col w:w="3360"/>
          </w:cols>
          <w:pgMar w:left="340" w:top="883"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issued our reports dated December 15, 2023, with respect to the consolidated financial statements and internal control over financial reporting included in the Annual Report of Quanex Building Products Corporation on Form 10-K for the year ended October 31, 2023. We hereby consent to the incorporation by reference of said reports in the Registration Statements of Quanex Building Products Corporation on Forms S-8 (File No. 333-150392, File No. 333-173245, File No. 333-194812, File No. 333-217118 and File No. 333-237032).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2023</w:t>
      </w:r>
    </w:p>
    <w:p>
      <w:pPr>
        <w:sectPr>
          <w:pgSz w:w="11900" w:h="16838" w:orient="portrait"/>
          <w:cols w:equalWidth="0" w:num="1">
            <w:col w:w="11240"/>
          </w:cols>
          <w:pgMar w:left="320" w:top="93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15" w:lineRule="exact"/>
        <w:rPr>
          <w:sz w:val="20"/>
          <w:szCs w:val="20"/>
          <w:color w:val="auto"/>
        </w:rPr>
      </w:pPr>
    </w:p>
    <w:p>
      <w:pPr>
        <w:ind w:left="980" w:hanging="650"/>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2023</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4863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4863465"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GEORGE L. WILSON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15" w:lineRule="exact"/>
        <w:rPr>
          <w:sz w:val="20"/>
          <w:szCs w:val="20"/>
          <w:color w:val="auto"/>
        </w:rPr>
      </w:pPr>
    </w:p>
    <w:p>
      <w:pPr>
        <w:ind w:left="980" w:hanging="650"/>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2023</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25400</wp:posOffset>
            </wp:positionV>
            <wp:extent cx="3694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Scott M. Zuehlke</w:t>
      </w:r>
    </w:p>
    <w:p>
      <w:pPr>
        <w:ind w:left="60"/>
        <w:spacing w:after="0" w:line="218"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 (Principal</w:t>
      </w:r>
    </w:p>
    <w:p>
      <w:pPr>
        <w:ind w:left="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1"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George L. Wilson,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23" w:lineRule="exact"/>
        <w:rPr>
          <w:sz w:val="20"/>
          <w:szCs w:val="20"/>
          <w:color w:val="auto"/>
        </w:rPr>
      </w:pPr>
    </w:p>
    <w:p>
      <w:pPr>
        <w:jc w:val="both"/>
        <w:ind w:left="660" w:hanging="330"/>
        <w:spacing w:after="0" w:line="264"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October 31, 2023 as filed with the Securities and Exchange Commission on the date hereof (the Report), fully complies with the requirements of Section 13(a) or 15(d), as applicable, of the Securities Exchange Act of 1934, as amended; and</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15, 2023</w:t>
            </w:r>
          </w:p>
        </w:tc>
        <w:tc>
          <w:tcPr>
            <w:tcW w:w="5460" w:type="dxa"/>
            <w:vAlign w:val="bottom"/>
          </w:tcPr>
          <w:p>
            <w:pPr>
              <w:spacing w:after="0"/>
              <w:rPr>
                <w:sz w:val="20"/>
                <w:szCs w:val="20"/>
                <w:color w:val="auto"/>
              </w:rPr>
            </w:pPr>
          </w:p>
        </w:tc>
      </w:tr>
      <w:tr>
        <w:trPr>
          <w:trHeight w:val="443"/>
        </w:trPr>
        <w:tc>
          <w:tcPr>
            <w:tcW w:w="20" w:type="dxa"/>
            <w:vAlign w:val="bottom"/>
          </w:tcPr>
          <w:p>
            <w:pPr>
              <w:spacing w:after="0"/>
              <w:rPr>
                <w:sz w:val="24"/>
                <w:szCs w:val="24"/>
                <w:color w:val="auto"/>
              </w:rPr>
            </w:pPr>
          </w:p>
        </w:tc>
        <w:tc>
          <w:tcPr>
            <w:tcW w:w="5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 GEORGE L. WILSON</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r>
      <w:tr>
        <w:trPr>
          <w:trHeight w:val="202"/>
        </w:trPr>
        <w:tc>
          <w:tcPr>
            <w:tcW w:w="20" w:type="dxa"/>
            <w:vAlign w:val="bottom"/>
          </w:tcPr>
          <w:p>
            <w:pPr>
              <w:spacing w:after="0"/>
              <w:rPr>
                <w:sz w:val="17"/>
                <w:szCs w:val="17"/>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GEORGE L. WILSON</w:t>
            </w:r>
          </w:p>
        </w:tc>
        <w:tc>
          <w:tcPr>
            <w:tcW w:w="36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 M. ZUEHLKE</w:t>
            </w:r>
          </w:p>
        </w:tc>
      </w:tr>
      <w:tr>
        <w:trPr>
          <w:trHeight w:val="236"/>
        </w:trPr>
        <w:tc>
          <w:tcPr>
            <w:tcW w:w="20" w:type="dxa"/>
            <w:vAlign w:val="bottom"/>
          </w:tcPr>
          <w:p>
            <w:pPr>
              <w:spacing w:after="0"/>
              <w:rPr>
                <w:sz w:val="20"/>
                <w:szCs w:val="20"/>
                <w:color w:val="auto"/>
              </w:rPr>
            </w:pPr>
          </w:p>
        </w:tc>
        <w:tc>
          <w:tcPr>
            <w:tcW w:w="5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bl>
    <w:p>
      <w:pPr>
        <w:spacing w:after="0" w:line="237" w:lineRule="exact"/>
        <w:rPr>
          <w:sz w:val="20"/>
          <w:szCs w:val="20"/>
          <w:color w:val="auto"/>
        </w:rPr>
      </w:pPr>
    </w:p>
    <w:p>
      <w:pPr>
        <w:ind w:right="160" w:firstLine="444"/>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p>
      <w:pPr>
        <w:sectPr>
          <w:pgSz w:w="11900" w:h="16838" w:orient="portrait"/>
          <w:cols w:equalWidth="0" w:num="1">
            <w:col w:w="11240"/>
          </w:cols>
          <w:pgMar w:left="320" w:top="883" w:right="339" w:bottom="1440" w:gutter="0" w:footer="0" w:header="0"/>
        </w:sectPr>
      </w:pPr>
    </w:p>
    <w:bookmarkStart w:id="84" w:name="page85"/>
    <w:bookmarkEnd w:id="84"/>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QUANEX BUILDING PRODUCTS CORPORATION</w:t>
      </w:r>
    </w:p>
    <w:p>
      <w:pPr>
        <w:jc w:val="center"/>
        <w:spacing w:after="0" w:line="220" w:lineRule="auto"/>
        <w:rPr>
          <w:sz w:val="20"/>
          <w:szCs w:val="20"/>
          <w:color w:val="auto"/>
        </w:rPr>
      </w:pPr>
      <w:r>
        <w:rPr>
          <w:rFonts w:ascii="Calibri" w:cs="Calibri" w:eastAsia="Calibri" w:hAnsi="Calibri"/>
          <w:sz w:val="18"/>
          <w:szCs w:val="18"/>
          <w:b w:val="1"/>
          <w:bCs w:val="1"/>
          <w:u w:val="single" w:color="auto"/>
          <w:color w:val="auto"/>
        </w:rPr>
        <w:t>CLAWBACK POLICY</w:t>
      </w:r>
    </w:p>
    <w:p>
      <w:pPr>
        <w:spacing w:after="0" w:line="229"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Quanex Building Products Corporaton (the “Company”) has adopted this clawback policy (the “Policy”) as a supplement to any other clawback policies in efect now or in the future at the Company. To the extent this Policy applies to compensaton payable to a person covered by this Policy, it shall be the only clawback policy applicable to such compensaton and no other clawback policy shall apply; provided that, if such other policy provides that a greater amount of such compensaton shall be subject to clawback, such other policy shall apply to the amount in excess of the amount subject to clawback under this policy. This Policy shall be interpreted to comply with the clawback rules found in 17 C.F.R. §240.10D and the related listng rules of the natonal securites exchange or natonal securites associaton (“Exchange”) on which the Company has listed securites, and, to the extent this Policy is in any manner deemed inconsistent with such rules, this Policy shall be treated as retroactvely amended to be compliant with such rules.</w:t>
      </w:r>
    </w:p>
    <w:p>
      <w:pPr>
        <w:spacing w:after="0" w:line="229" w:lineRule="exact"/>
        <w:rPr>
          <w:sz w:val="20"/>
          <w:szCs w:val="20"/>
          <w:color w:val="auto"/>
        </w:rPr>
      </w:pPr>
    </w:p>
    <w:p>
      <w:pPr>
        <w:ind w:firstLine="491"/>
        <w:spacing w:after="0" w:line="227" w:lineRule="auto"/>
        <w:tabs>
          <w:tab w:leader="none" w:pos="683"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auto"/>
        </w:rPr>
        <w:t>Defnitons</w:t>
      </w:r>
      <w:r>
        <w:rPr>
          <w:rFonts w:ascii="Calibri" w:cs="Calibri" w:eastAsia="Calibri" w:hAnsi="Calibri"/>
          <w:sz w:val="18"/>
          <w:szCs w:val="18"/>
          <w:color w:val="auto"/>
        </w:rPr>
        <w:t>. 17 C.F.R. §240.10D-1(d) defnes the terms “Executve Ofcer,” “Financial Reportng Measure,” “Incentve-Based Compensaton,” and “Received.” As used herein, these terms shall have the same meaning as in that regulaton.</w:t>
      </w:r>
    </w:p>
    <w:p>
      <w:pPr>
        <w:spacing w:after="0" w:line="229" w:lineRule="exact"/>
        <w:rPr>
          <w:rFonts w:ascii="Calibri" w:cs="Calibri" w:eastAsia="Calibri" w:hAnsi="Calibri"/>
          <w:sz w:val="18"/>
          <w:szCs w:val="18"/>
          <w:color w:val="auto"/>
        </w:rPr>
      </w:pPr>
    </w:p>
    <w:p>
      <w:pPr>
        <w:jc w:val="both"/>
        <w:ind w:firstLine="491"/>
        <w:spacing w:after="0" w:line="223"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auto"/>
        </w:rPr>
        <w:t>Applicaton of the Policy.</w:t>
      </w:r>
      <w:r>
        <w:rPr>
          <w:rFonts w:ascii="Calibri" w:cs="Calibri" w:eastAsia="Calibri" w:hAnsi="Calibri"/>
          <w:sz w:val="18"/>
          <w:szCs w:val="18"/>
          <w:color w:val="auto"/>
        </w:rPr>
        <w:t xml:space="preserve"> This Policy shall only apply in the event that the issuer is required to prepare an accountng restatement due to the material noncompliance of the issuer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w:t>
      </w:r>
    </w:p>
    <w:p>
      <w:pPr>
        <w:spacing w:after="0" w:line="231" w:lineRule="exact"/>
        <w:rPr>
          <w:rFonts w:ascii="Calibri" w:cs="Calibri" w:eastAsia="Calibri" w:hAnsi="Calibri"/>
          <w:sz w:val="18"/>
          <w:szCs w:val="18"/>
          <w:color w:val="auto"/>
        </w:rPr>
      </w:pPr>
    </w:p>
    <w:p>
      <w:pPr>
        <w:jc w:val="both"/>
        <w:ind w:firstLine="491"/>
        <w:spacing w:after="0" w:line="223"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auto"/>
        </w:rPr>
        <w:t>Recovery Period</w:t>
      </w:r>
      <w:r>
        <w:rPr>
          <w:rFonts w:ascii="Calibri" w:cs="Calibri" w:eastAsia="Calibri" w:hAnsi="Calibri"/>
          <w:sz w:val="18"/>
          <w:szCs w:val="18"/>
          <w:color w:val="auto"/>
        </w:rPr>
        <w:t>. The Incentve-Based Compensaton subject to clawback is the Incentve-Based Compensaton Received during the three completed fscal years immediately preceding the date that the issuer is required to prepare an accountng restatement as described in Secton 2, provided that the person served as an Executve Ofcer at any tme during the performance period applicable to the Incentve-Based Compensaton in queston. The date that the Company is required to prepare an accountng restatement shall be determined pursuant to 17 C.F.R. §240.10D-1(b)(1)(ii).</w:t>
      </w:r>
    </w:p>
    <w:p>
      <w:pPr>
        <w:spacing w:after="0" w:line="231" w:lineRule="exact"/>
        <w:rPr>
          <w:rFonts w:ascii="Calibri" w:cs="Calibri" w:eastAsia="Calibri" w:hAnsi="Calibri"/>
          <w:sz w:val="18"/>
          <w:szCs w:val="18"/>
          <w:color w:val="auto"/>
        </w:rPr>
      </w:pPr>
    </w:p>
    <w:p>
      <w:pPr>
        <w:ind w:firstLine="975"/>
        <w:spacing w:after="0" w:line="219" w:lineRule="auto"/>
        <w:tabs>
          <w:tab w:leader="none" w:pos="1197"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Notwithstanding the foregoing, the Policy shall only apply if the Incentve-Based Compensaton is Received (1) while the issuer has a class of securites listed on an Exchange and (2) on or afer October 2, 2023.</w:t>
      </w:r>
    </w:p>
    <w:p>
      <w:pPr>
        <w:spacing w:after="0" w:line="230" w:lineRule="exact"/>
        <w:rPr>
          <w:rFonts w:ascii="Calibri" w:cs="Calibri" w:eastAsia="Calibri" w:hAnsi="Calibri"/>
          <w:sz w:val="18"/>
          <w:szCs w:val="18"/>
          <w:color w:val="auto"/>
        </w:rPr>
      </w:pPr>
    </w:p>
    <w:p>
      <w:pPr>
        <w:ind w:firstLine="975"/>
        <w:spacing w:after="0" w:line="227" w:lineRule="auto"/>
        <w:tabs>
          <w:tab w:leader="none" w:pos="1231" w:val="left"/>
        </w:tabs>
        <w:numPr>
          <w:ilvl w:val="1"/>
          <w:numId w:val="15"/>
        </w:numPr>
        <w:rPr>
          <w:rFonts w:ascii="Calibri" w:cs="Calibri" w:eastAsia="Calibri" w:hAnsi="Calibri"/>
          <w:sz w:val="18"/>
          <w:szCs w:val="18"/>
          <w:color w:val="auto"/>
        </w:rPr>
      </w:pPr>
      <w:r>
        <w:rPr>
          <w:rFonts w:ascii="Calibri" w:cs="Calibri" w:eastAsia="Calibri" w:hAnsi="Calibri"/>
          <w:sz w:val="18"/>
          <w:szCs w:val="18"/>
          <w:color w:val="auto"/>
        </w:rPr>
        <w:t>See 17 C.F.R. §240.10D-1(b)(1)(i) for certain circumstances under which the Policy will apply to Incentve-Based Compensaton received during a transiton period arising due to a change in the Company’s fscal year.</w:t>
      </w:r>
    </w:p>
    <w:p>
      <w:pPr>
        <w:spacing w:after="0" w:line="229" w:lineRule="exact"/>
        <w:rPr>
          <w:rFonts w:ascii="Calibri" w:cs="Calibri" w:eastAsia="Calibri" w:hAnsi="Calibri"/>
          <w:sz w:val="18"/>
          <w:szCs w:val="18"/>
          <w:color w:val="auto"/>
        </w:rPr>
      </w:pPr>
    </w:p>
    <w:p>
      <w:pPr>
        <w:jc w:val="both"/>
        <w:ind w:firstLine="491"/>
        <w:spacing w:after="0" w:line="222"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auto"/>
        </w:rPr>
        <w:t>Erroneously Awarded Compensaton</w:t>
      </w:r>
      <w:r>
        <w:rPr>
          <w:rFonts w:ascii="Calibri" w:cs="Calibri" w:eastAsia="Calibri" w:hAnsi="Calibri"/>
          <w:sz w:val="18"/>
          <w:szCs w:val="18"/>
          <w:color w:val="auto"/>
        </w:rPr>
        <w:t>. The amount of Incentve-Based Compensaton subject to the Policy (“Erroneously Awarded Compensaton”) is the amount of Incentve-Based Compensaton Received that exceeds the amount of Incentve Based-Compensaton that otherwise would have been Received had it been determined based on the restated amounts and shall be computed without regard to any taxes paid. For Incentve-Based Compensaton based on stock price or total shareholder return, where the amount of Erroneously Awarded Compensaton is not subject to mathematcal recalculaton directly from the informaton in an accountng restatement: (1) the amount shall be based on a reasonable estmate of the efect of the accountng restatement on the stock price or total shareholder return upon which the Incentve-Based Compensaton was received; and (2) the Company must maintain documentaton of the determinaton of that reasonable estmate and provide such documentaton to the Exchange.</w:t>
      </w:r>
    </w:p>
    <w:p>
      <w:pPr>
        <w:spacing w:after="0" w:line="229" w:lineRule="exact"/>
        <w:rPr>
          <w:rFonts w:ascii="Calibri" w:cs="Calibri" w:eastAsia="Calibri" w:hAnsi="Calibri"/>
          <w:sz w:val="18"/>
          <w:szCs w:val="18"/>
          <w:color w:val="auto"/>
        </w:rPr>
      </w:pPr>
    </w:p>
    <w:p>
      <w:pPr>
        <w:jc w:val="both"/>
        <w:ind w:firstLine="491"/>
        <w:spacing w:after="0" w:line="220"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u w:val="single" w:color="auto"/>
          <w:color w:val="auto"/>
        </w:rPr>
        <w:t>Recovery of Erroneously Awarded Compensaton</w:t>
      </w:r>
      <w:r>
        <w:rPr>
          <w:rFonts w:ascii="Calibri" w:cs="Calibri" w:eastAsia="Calibri" w:hAnsi="Calibri"/>
          <w:sz w:val="18"/>
          <w:szCs w:val="18"/>
          <w:color w:val="auto"/>
        </w:rPr>
        <w:t>. The Company shall recover reasonably promptly any Erroneously Awarded Compensaton except to the extent that the conditons of paragraphs (a), (b), or (c) below apply. The Compensaton &amp; Management Development Commitee (the “Commitee”) shall determine the repayment schedule for each amount of Erroneously Awarded Compensaton in a manner that complies with this “reasonably promptly” requirement. Such determinaton shall be consistent with any applicable legal guidance, by the SEC, judicial opinion, or otherwise. The determinaton of “reasonably promptly” may vary from case to case and the Commitee is authorized to adopt additonal rules to further describe what repayment schedules satsfy this requirement.</w:t>
      </w:r>
    </w:p>
    <w:p>
      <w:pPr>
        <w:sectPr>
          <w:pgSz w:w="11900" w:h="16838" w:orient="portrait"/>
          <w:cols w:equalWidth="0" w:num="1">
            <w:col w:w="11240"/>
          </w:cols>
          <w:pgMar w:left="320" w:top="117" w:right="339" w:bottom="1440" w:gutter="0" w:footer="0" w:header="0"/>
        </w:sectPr>
      </w:pPr>
    </w:p>
    <w:bookmarkStart w:id="85" w:name="page86"/>
    <w:bookmarkEnd w:id="85"/>
    <w:p>
      <w:pPr>
        <w:ind w:left="9909"/>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411" w:firstLine="975"/>
        <w:spacing w:after="0" w:line="222" w:lineRule="auto"/>
        <w:tabs>
          <w:tab w:leader="none" w:pos="793"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Erroneously Awarded Compensaton need not be recovered if the direct expense paid to a third party to assist in enforcing the Policy would exceed the amount to be recovered and the Commitee has made a determinaton that recovery would be impractcable. Before concluding that it would be impractcable to recover any amount of Erroneously Awarded Compensaton based on expense of enforcement, the Company shall make a reasonable atempt to recover such Erroneously Awarded Compensaton, document such reasonable atempt(s) to recover, and provide that documentaton to the Exchange.</w:t>
      </w:r>
    </w:p>
    <w:p>
      <w:pPr>
        <w:spacing w:after="0" w:line="233" w:lineRule="exact"/>
        <w:rPr>
          <w:rFonts w:ascii="Calibri" w:cs="Calibri" w:eastAsia="Calibri" w:hAnsi="Calibri"/>
          <w:sz w:val="18"/>
          <w:szCs w:val="18"/>
          <w:color w:val="auto"/>
        </w:rPr>
      </w:pPr>
    </w:p>
    <w:p>
      <w:pPr>
        <w:jc w:val="both"/>
        <w:ind w:left="-411" w:firstLine="975"/>
        <w:spacing w:after="0" w:line="219" w:lineRule="auto"/>
        <w:tabs>
          <w:tab w:leader="none" w:pos="797"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Erroneously Awarded Compensaton need not be recovered if recovery would violate home country law where that law was adopted prior to November 28, 2022. Before concluding that it would be impractcable to recover any amount of Erroneously Awarded Compensaton based on violaton of home country law, the Company shall obtain an opinion of home country counsel, acceptable to the Exchange, that recovery would result in such a violaton and shall provide such opinion to the Exchange.</w:t>
      </w:r>
    </w:p>
    <w:p>
      <w:pPr>
        <w:spacing w:after="0" w:line="232" w:lineRule="exact"/>
        <w:rPr>
          <w:rFonts w:ascii="Calibri" w:cs="Calibri" w:eastAsia="Calibri" w:hAnsi="Calibri"/>
          <w:sz w:val="18"/>
          <w:szCs w:val="18"/>
          <w:color w:val="auto"/>
        </w:rPr>
      </w:pPr>
    </w:p>
    <w:p>
      <w:pPr>
        <w:jc w:val="both"/>
        <w:ind w:left="-411" w:firstLine="975"/>
        <w:spacing w:after="0" w:line="224" w:lineRule="auto"/>
        <w:tabs>
          <w:tab w:leader="none" w:pos="785" w:val="left"/>
        </w:tabs>
        <w:numPr>
          <w:ilvl w:val="1"/>
          <w:numId w:val="16"/>
        </w:numPr>
        <w:rPr>
          <w:rFonts w:ascii="Calibri" w:cs="Calibri" w:eastAsia="Calibri" w:hAnsi="Calibri"/>
          <w:sz w:val="18"/>
          <w:szCs w:val="18"/>
          <w:color w:val="auto"/>
        </w:rPr>
      </w:pPr>
      <w:r>
        <w:rPr>
          <w:rFonts w:ascii="Calibri" w:cs="Calibri" w:eastAsia="Calibri" w:hAnsi="Calibri"/>
          <w:sz w:val="18"/>
          <w:szCs w:val="18"/>
          <w:color w:val="auto"/>
        </w:rPr>
        <w:t>Erroneously Awarded Compensaton need not be recovered if recovery would likely cause an otherwise tax-qualifed retrement plan, under which benefts are broadly available to employees of the registrant, to fail to meet the requirements of 26 U.S.C. 401(a)(13) or 26 U.S.C. 411(a) and regulatons thereunder.</w:t>
      </w:r>
    </w:p>
    <w:p>
      <w:pPr>
        <w:spacing w:after="0" w:line="231" w:lineRule="exact"/>
        <w:rPr>
          <w:rFonts w:ascii="Calibri" w:cs="Calibri" w:eastAsia="Calibri" w:hAnsi="Calibri"/>
          <w:sz w:val="18"/>
          <w:szCs w:val="18"/>
          <w:color w:val="auto"/>
        </w:rPr>
      </w:pPr>
    </w:p>
    <w:p>
      <w:pPr>
        <w:ind w:left="-411" w:firstLine="411"/>
        <w:spacing w:after="0" w:line="227" w:lineRule="auto"/>
        <w:tabs>
          <w:tab w:leader="none" w:pos="165" w:val="left"/>
        </w:tabs>
        <w:numPr>
          <w:ilvl w:val="0"/>
          <w:numId w:val="17"/>
        </w:numPr>
        <w:rPr>
          <w:rFonts w:ascii="Calibri" w:cs="Calibri" w:eastAsia="Calibri" w:hAnsi="Calibri"/>
          <w:sz w:val="18"/>
          <w:szCs w:val="18"/>
          <w:color w:val="auto"/>
        </w:rPr>
      </w:pPr>
      <w:r>
        <w:rPr>
          <w:rFonts w:ascii="Calibri" w:cs="Calibri" w:eastAsia="Calibri" w:hAnsi="Calibri"/>
          <w:sz w:val="18"/>
          <w:szCs w:val="18"/>
          <w:u w:val="single" w:color="auto"/>
          <w:color w:val="auto"/>
        </w:rPr>
        <w:t>Commitee decisions</w:t>
      </w:r>
      <w:r>
        <w:rPr>
          <w:rFonts w:ascii="Calibri" w:cs="Calibri" w:eastAsia="Calibri" w:hAnsi="Calibri"/>
          <w:sz w:val="18"/>
          <w:szCs w:val="18"/>
          <w:color w:val="auto"/>
        </w:rPr>
        <w:t>. Decisions of the Commitee with respect to this Policy shall be fnal, conclusive and binding on all Executve Ofcers subject to this policy, unless determined to be an abuse of discreton.</w:t>
      </w:r>
    </w:p>
    <w:p>
      <w:pPr>
        <w:spacing w:after="0" w:line="229" w:lineRule="exact"/>
        <w:rPr>
          <w:rFonts w:ascii="Calibri" w:cs="Calibri" w:eastAsia="Calibri" w:hAnsi="Calibri"/>
          <w:sz w:val="18"/>
          <w:szCs w:val="18"/>
          <w:color w:val="auto"/>
        </w:rPr>
      </w:pPr>
    </w:p>
    <w:p>
      <w:pPr>
        <w:ind w:left="-411" w:right="20" w:firstLine="411"/>
        <w:spacing w:after="0" w:line="227" w:lineRule="auto"/>
        <w:tabs>
          <w:tab w:leader="none" w:pos="165" w:val="left"/>
        </w:tabs>
        <w:numPr>
          <w:ilvl w:val="0"/>
          <w:numId w:val="17"/>
        </w:numPr>
        <w:rPr>
          <w:rFonts w:ascii="Calibri" w:cs="Calibri" w:eastAsia="Calibri" w:hAnsi="Calibri"/>
          <w:sz w:val="18"/>
          <w:szCs w:val="18"/>
          <w:color w:val="auto"/>
        </w:rPr>
      </w:pPr>
      <w:r>
        <w:rPr>
          <w:rFonts w:ascii="Calibri" w:cs="Calibri" w:eastAsia="Calibri" w:hAnsi="Calibri"/>
          <w:sz w:val="18"/>
          <w:szCs w:val="18"/>
          <w:u w:val="single" w:color="auto"/>
          <w:color w:val="auto"/>
        </w:rPr>
        <w:t>No Indemnifcaton</w:t>
      </w:r>
      <w:r>
        <w:rPr>
          <w:rFonts w:ascii="Calibri" w:cs="Calibri" w:eastAsia="Calibri" w:hAnsi="Calibri"/>
          <w:sz w:val="18"/>
          <w:szCs w:val="18"/>
          <w:color w:val="auto"/>
        </w:rPr>
        <w:t>. Notwithstanding anything to the contrary in any other policy of the Company or any agreement between the Company and an Executve Ofcer, no Executve Ofcer shall be indemnifed by the Company against the loss of any Erroneously Awarded Compensaton.</w:t>
      </w:r>
    </w:p>
    <w:p>
      <w:pPr>
        <w:spacing w:after="0" w:line="229" w:lineRule="exact"/>
        <w:rPr>
          <w:rFonts w:ascii="Calibri" w:cs="Calibri" w:eastAsia="Calibri" w:hAnsi="Calibri"/>
          <w:sz w:val="18"/>
          <w:szCs w:val="18"/>
          <w:color w:val="auto"/>
        </w:rPr>
      </w:pPr>
    </w:p>
    <w:p>
      <w:pPr>
        <w:ind w:left="-411" w:right="20" w:firstLine="411"/>
        <w:spacing w:after="0" w:line="227" w:lineRule="auto"/>
        <w:tabs>
          <w:tab w:leader="none" w:pos="178" w:val="left"/>
        </w:tabs>
        <w:numPr>
          <w:ilvl w:val="0"/>
          <w:numId w:val="17"/>
        </w:numPr>
        <w:rPr>
          <w:rFonts w:ascii="Calibri" w:cs="Calibri" w:eastAsia="Calibri" w:hAnsi="Calibri"/>
          <w:sz w:val="18"/>
          <w:szCs w:val="18"/>
          <w:color w:val="auto"/>
        </w:rPr>
      </w:pPr>
      <w:r>
        <w:rPr>
          <w:rFonts w:ascii="Calibri" w:cs="Calibri" w:eastAsia="Calibri" w:hAnsi="Calibri"/>
          <w:sz w:val="18"/>
          <w:szCs w:val="18"/>
          <w:u w:val="single" w:color="auto"/>
          <w:color w:val="auto"/>
        </w:rPr>
        <w:t>Agreement to Policy by Executve Ofcers</w:t>
      </w:r>
      <w:r>
        <w:rPr>
          <w:rFonts w:ascii="Calibri" w:cs="Calibri" w:eastAsia="Calibri" w:hAnsi="Calibri"/>
          <w:sz w:val="18"/>
          <w:szCs w:val="18"/>
          <w:color w:val="auto"/>
        </w:rPr>
        <w:t>. The Commitee shall take reasonable steps to inform Executve Ofcers of this Policy and obtain their agreement to this Policy, which steps may consttute the inclusion of this Policy as an atachment to any award that is accepted by the Executve Ofcer.</w:t>
      </w:r>
    </w:p>
    <w:sectPr>
      <w:pgSz w:w="11900" w:h="16838" w:orient="portrait"/>
      <w:cols w:equalWidth="0" w:num="1">
        <w:col w:w="10829"/>
      </w:cols>
      <w:pgMar w:left="731"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4" Type="http://schemas.openxmlformats.org/officeDocument/2006/relationships/image" Target="media/image82.png"/><Relationship Id="rId119" Type="http://schemas.openxmlformats.org/officeDocument/2006/relationships/image" Target="media/image83.png"/><Relationship Id="rId135"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89" Type="http://schemas.openxmlformats.org/officeDocument/2006/relationships/hyperlink" Target="http://www.sec.gov/Archives/edgar/data/276889/000136231007003514/c71844exv10w1.htm" TargetMode="External"/><Relationship Id="rId90" Type="http://schemas.openxmlformats.org/officeDocument/2006/relationships/hyperlink" Target="http://www.sec.gov/Archives/edgar/data/1423221/000095012311008220/c11749exv2w1.htm" TargetMode="External"/><Relationship Id="rId91" Type="http://schemas.openxmlformats.org/officeDocument/2006/relationships/hyperlink" Target="http://www.sec.gov/Archives/edgar/data/1423221/000119312514042001/d673720dex21.htm" TargetMode="External"/><Relationship Id="rId92" Type="http://schemas.openxmlformats.org/officeDocument/2006/relationships/hyperlink" Target="http://www.sec.gov/Archives/edgar/data/1423221/000119312514133069/d705907dex101.htm" TargetMode="External"/><Relationship Id="rId93" Type="http://schemas.openxmlformats.org/officeDocument/2006/relationships/hyperlink" Target="http://www.sec.gov/Archives/edgar/data/1423221/000119312515223912/d942344dex21.htm" TargetMode="External"/><Relationship Id="rId94" Type="http://schemas.openxmlformats.org/officeDocument/2006/relationships/hyperlink" Target="http://www.sec.gov/Archives/edgar/data/1423221/000119312515307548/d61044dex21.htm" TargetMode="External"/><Relationship Id="rId95" Type="http://schemas.openxmlformats.org/officeDocument/2006/relationships/hyperlink" Target="http://www.sec.gov/Archives/edgar/data/1423221/000110465922113504/tm2228962d2_ex2-1.htm" TargetMode="External"/><Relationship Id="rId96" Type="http://schemas.openxmlformats.org/officeDocument/2006/relationships/hyperlink" Target="http://www.sec.gov/Archives/edgar/data/1423221/000119312516495257/d156158dex31.htm" TargetMode="External"/><Relationship Id="rId97" Type="http://schemas.openxmlformats.org/officeDocument/2006/relationships/hyperlink" Target="http://www.sec.gov/Archives/edgar/data/1423221/000142322120000005/nx01312020ex32.htm" TargetMode="External"/><Relationship Id="rId98" Type="http://schemas.openxmlformats.org/officeDocument/2006/relationships/hyperlink" Target="http://www.sec.gov/Archives/edgar/data/1423221/000095012908000988/h52992a1exv4w1.htm" TargetMode="External"/><Relationship Id="rId99" Type="http://schemas.openxmlformats.org/officeDocument/2006/relationships/hyperlink" Target="http://www.sec.gov/Archives/edgar/data/1423221/000110465922077705/tm2220473d1_ex10-1.htm" TargetMode="External"/><Relationship Id="rId100" Type="http://schemas.openxmlformats.org/officeDocument/2006/relationships/hyperlink" Target="http://www.sec.gov/Archives/edgar/data/1423221/000119312514077357/d687962d8k.htm" TargetMode="External"/><Relationship Id="rId101" Type="http://schemas.openxmlformats.org/officeDocument/2006/relationships/hyperlink" Target="http://www.sec.gov/Archives/edgar/data/1423221/000142322114000003/a102qbpdeferredcompplan.htm" TargetMode="External"/><Relationship Id="rId102" Type="http://schemas.openxmlformats.org/officeDocument/2006/relationships/hyperlink" Target="http://www.sec.gov/Archives/edgar/data/1423221/000095013408004851/h52992a4exv10w8.htm" TargetMode="External"/><Relationship Id="rId103" Type="http://schemas.openxmlformats.org/officeDocument/2006/relationships/hyperlink" Target="http://www.sec.gov/Archives/edgar/data/1423221/000095013408004851/h52992a4exv10w9.htm" TargetMode="External"/><Relationship Id="rId105" Type="http://schemas.openxmlformats.org/officeDocument/2006/relationships/hyperlink" Target="http://www.sec.gov/Archives/edgar/data/1423221/000110465920027879/tm2011414d1_ex10-1.htm" TargetMode="External"/><Relationship Id="rId106" Type="http://schemas.openxmlformats.org/officeDocument/2006/relationships/hyperlink" Target="http://www.sec.gov/Archives/edgar/data/1423221/000136231008004916/c75000exv10w1.htm" TargetMode="External"/><Relationship Id="rId107" Type="http://schemas.openxmlformats.org/officeDocument/2006/relationships/hyperlink" Target="http://www.sec.gov/Archives/edgar/data/1423221/000136231008004916/c75000exv10w2.htm" TargetMode="External"/><Relationship Id="rId108" Type="http://schemas.openxmlformats.org/officeDocument/2006/relationships/hyperlink" Target="http://www.sec.gov/Archives/edgar/data/1423221/000119312514167680/d716408dex101.htm" TargetMode="External"/><Relationship Id="rId109" Type="http://schemas.openxmlformats.org/officeDocument/2006/relationships/hyperlink" Target="http://www.sec.gov/Archives/edgar/data/1423221/000119312514167680/d716408dex102.htm" TargetMode="External"/><Relationship Id="rId110" Type="http://schemas.openxmlformats.org/officeDocument/2006/relationships/hyperlink" Target="http://www.sec.gov/Archives/edgar/data/1423221/000119312514167680/d716408dex103.htm" TargetMode="External"/><Relationship Id="rId111" Type="http://schemas.openxmlformats.org/officeDocument/2006/relationships/hyperlink" Target="http://www.sec.gov/Archives/edgar/data/1423221/000119312514167680/d716408dex104.htm" TargetMode="External"/><Relationship Id="rId112" Type="http://schemas.openxmlformats.org/officeDocument/2006/relationships/hyperlink" Target="http://www.sec.gov/Archives/edgar/data/1423221/000119312514167680/d716408dex106.htm" TargetMode="External"/><Relationship Id="rId113" Type="http://schemas.openxmlformats.org/officeDocument/2006/relationships/hyperlink" Target="http://www.sec.gov/Archives/edgar/data/1423221/000119312514167680/d716408dex107.htm" TargetMode="External"/><Relationship Id="rId114" Type="http://schemas.openxmlformats.org/officeDocument/2006/relationships/hyperlink" Target="http://www.sec.gov/Archives/edgar/data/1423221/000119312514167680/d716408dex1010.htm" TargetMode="External"/><Relationship Id="rId115" Type="http://schemas.openxmlformats.org/officeDocument/2006/relationships/hyperlink" Target="http://www.sec.gov/Archives/edgar/data/1423221/000119312514167680/d716408dex1011.htm" TargetMode="External"/><Relationship Id="rId116" Type="http://schemas.openxmlformats.org/officeDocument/2006/relationships/hyperlink" Target="http://www.sec.gov/Archives/edgar/data/1423221/000119312514167680/d716408dex1012.htm" TargetMode="External"/><Relationship Id="rId117" Type="http://schemas.openxmlformats.org/officeDocument/2006/relationships/hyperlink" Target="http://www.sec.gov/Archives/edgar/data/1423221/000119312515396048/d40657dex102.htm" TargetMode="External"/><Relationship Id="rId118" Type="http://schemas.openxmlformats.org/officeDocument/2006/relationships/hyperlink" Target="http://www.sec.gov/Archives/edgar/data/1423221/000119312515396048/d40657dex103.htm" TargetMode="External"/><Relationship Id="rId120" Type="http://schemas.openxmlformats.org/officeDocument/2006/relationships/hyperlink" Target="http://www.sec.gov/Archives/edgar/data/1423221/000110465919059039/tm1921707d1_ex10-1.htm" TargetMode="External"/><Relationship Id="rId121" Type="http://schemas.openxmlformats.org/officeDocument/2006/relationships/hyperlink" Target="http://www.sec.gov/Archives/edgar/data/1423221/000142322116000026/nxexhibit1044.htm" TargetMode="External"/><Relationship Id="rId122" Type="http://schemas.openxmlformats.org/officeDocument/2006/relationships/hyperlink" Target="http://www.sec.gov/Archives/edgar/data/1423221/000119312516693844/d233962dex101.htm" TargetMode="External"/><Relationship Id="rId123" Type="http://schemas.openxmlformats.org/officeDocument/2006/relationships/hyperlink" Target="http://www.sec.gov/Archives/edgar/data/1423221/000119312517024657/d333747ddef14a.htm" TargetMode="External"/><Relationship Id="rId124" Type="http://schemas.openxmlformats.org/officeDocument/2006/relationships/hyperlink" Target="http://www.sec.gov/Archives/edgar/data/1423221/000119312517238506/d417234dex101.htm" TargetMode="External"/><Relationship Id="rId125" Type="http://schemas.openxmlformats.org/officeDocument/2006/relationships/hyperlink" Target="http://www.sec.gov/Archives/edgar/data/1423221/000142322117000018/nx-exhibit1050201710xk.htm" TargetMode="External"/><Relationship Id="rId126" Type="http://schemas.openxmlformats.org/officeDocument/2006/relationships/hyperlink" Target="http://www.sec.gov/Archives/edgar/data/1423221/000142322117000018/nx-exhibit1051201710xk.htm" TargetMode="External"/><Relationship Id="rId127" Type="http://schemas.openxmlformats.org/officeDocument/2006/relationships/hyperlink" Target="https://www.sec.gov/Archives/edgar/data/1423221/000110465922113504/tm2228962d2_ex10-1.htm" TargetMode="External"/><Relationship Id="rId128" Type="http://schemas.openxmlformats.org/officeDocument/2006/relationships/hyperlink" Target="http://www.sec.gov/Archives/edgar/data/1423221/000110465922113504/tm2228962d2_ex10-1.htm" TargetMode="External"/><Relationship Id="rId129" Type="http://schemas.openxmlformats.org/officeDocument/2006/relationships/hyperlink" Target="http://www.sec.gov/Archives/edgar/data/1423221/000110465919059039/tm1921707d1_ex10-4.htm" TargetMode="External"/><Relationship Id="rId130" Type="http://schemas.openxmlformats.org/officeDocument/2006/relationships/hyperlink" Target="http://www.sec.gov/Archives/edgar/data/1423221/000110465920027879/tm2011414d1_ex10-2.htm" TargetMode="External"/><Relationship Id="rId131" Type="http://schemas.openxmlformats.org/officeDocument/2006/relationships/hyperlink" Target="http://www.sec.gov/Archives/edgar/data/1423221/000142322120000005/nx01312020ex101.htm" TargetMode="External"/><Relationship Id="rId132" Type="http://schemas.openxmlformats.org/officeDocument/2006/relationships/hyperlink" Target="http://www.sec.gov/Archives/edgar/data/1423221/000142322120000010/nx04302020ex101.htm" TargetMode="External"/><Relationship Id="rId133" Type="http://schemas.openxmlformats.org/officeDocument/2006/relationships/hyperlink" Target="http://www.sec.gov/Archives/edgar/data/1423221/000142322120000010/nx04302020ex102.htm" TargetMode="External"/><Relationship Id="rId134" Type="http://schemas.openxmlformats.org/officeDocument/2006/relationships/hyperlink" Target="http://www.sec.gov/Archives/edgar/data/1423221/000142322120000010/nx04302020ex103.htm" TargetMode="External"/><Relationship Id="rId136" Type="http://schemas.openxmlformats.org/officeDocument/2006/relationships/hyperlink" Target="http://www.sec.gov/Archives/edgar/data/1423221/000142322120000010/nx04302020ex104.htm" TargetMode="External"/><Relationship Id="rId137" Type="http://schemas.openxmlformats.org/officeDocument/2006/relationships/hyperlink" Target="http://www.sec.gov/Archives/edgar/data/1423221/000142322120000010/nx04302020ex105.htm" TargetMode="External"/><Relationship Id="rId138" Type="http://schemas.openxmlformats.org/officeDocument/2006/relationships/hyperlink" Target="http://www.sec.gov/Archives/edgar/data/1423221/000142322120000021/nx-exhibit1039.htm" TargetMode="External"/><Relationship Id="rId139" Type="http://schemas.openxmlformats.org/officeDocument/2006/relationships/hyperlink" Target="http://www.sec.gov/Archives/edgar/data/1423221/000110465922111577/tm2228962d1_ex10-1.htm" TargetMode="External"/><Relationship Id="rId140" Type="http://schemas.openxmlformats.org/officeDocument/2006/relationships/hyperlink" Target="http://www.sec.gov/Archives/edgar/data/1423221/000110465922125856/tm2232362d1_ex10-1.htm" TargetMode="External"/><Relationship Id="rId141" Type="http://schemas.openxmlformats.org/officeDocument/2006/relationships/hyperlink" Target="http://www.sec.gov/Archives/edgar/data/1423221/000142322123000007/nx04302023ex101.htm" TargetMode="External"/><Relationship Id="rId142" Type="http://schemas.openxmlformats.org/officeDocument/2006/relationships/hyperlink" Target="http://www.sec.gov/Archives/edgar/data/1423221/000142322123000007/nx0430202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2023-12-15T16:05:42Z</dcterms:created>
  <dcterms:modified xsi:type="dcterms:W3CDTF">2023-12-15T16:05:42Z</dcterms:modified>
</cp:coreProperties>
</file>