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413385</wp:posOffset>
            </wp:positionV>
            <wp:extent cx="6604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379095</wp:posOffset>
            </wp:positionV>
            <wp:extent cx="6604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 w:lineRule="exact"/>
        <w:rPr>
          <w:sz w:val="24"/>
          <w:szCs w:val="24"/>
          <w:color w:val="auto"/>
        </w:rPr>
      </w:pPr>
    </w:p>
    <w:p>
      <w:pPr>
        <w:spacing w:after="0" w:line="322" w:lineRule="exact"/>
        <w:tabs>
          <w:tab w:leader="none" w:pos="1000" w:val="left"/>
        </w:tabs>
        <w:rPr>
          <w:sz w:val="20"/>
          <w:szCs w:val="20"/>
          <w:color w:val="auto"/>
        </w:rPr>
      </w:pPr>
      <w:r>
        <w:rPr>
          <w:rFonts w:ascii="Times New Roman" w:cs="Times New Roman" w:eastAsia="Times New Roman" w:hAnsi="Times New Roman"/>
          <w:sz w:val="28"/>
          <w:szCs w:val="28"/>
          <w:color w:val="auto"/>
          <w:vertAlign w:val="subscript"/>
        </w:rPr>
        <w:t>(Mark One)</w:t>
      </w:r>
      <w:r>
        <w:rPr>
          <w:rFonts w:ascii="Times New Roman" w:cs="Times New Roman" w:eastAsia="Times New Roman" w:hAnsi="Times New Roman"/>
          <w:sz w:val="17"/>
          <w:szCs w:val="17"/>
          <w:b w:val="1"/>
          <w:bCs w:val="1"/>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Fiscal Year Ended October 31, 2025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32"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1-33913</w:t>
      </w:r>
    </w:p>
    <w:p>
      <w:pPr>
        <w:spacing w:after="0" w:line="3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QUANEX BUILDING PRODUCTS CORPORATION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 w:lineRule="exact"/>
        <w:rPr>
          <w:sz w:val="24"/>
          <w:szCs w:val="24"/>
          <w:color w:val="auto"/>
        </w:rPr>
      </w:pPr>
    </w:p>
    <w:p>
      <w:pPr>
        <w:ind w:left="2580"/>
        <w:spacing w:after="0"/>
        <w:tabs>
          <w:tab w:leader="none" w:pos="78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26-1561397</w:t>
      </w:r>
    </w:p>
    <w:p>
      <w:pPr>
        <w:spacing w:after="0" w:line="31" w:lineRule="exact"/>
        <w:rPr>
          <w:sz w:val="24"/>
          <w:szCs w:val="24"/>
          <w:color w:val="auto"/>
        </w:rPr>
      </w:pPr>
    </w:p>
    <w:p>
      <w:pPr>
        <w:ind w:left="110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b w:val="1"/>
          <w:bCs w:val="1"/>
          <w:color w:val="auto"/>
        </w:rPr>
        <w:t>(I.R.S. Employer Identification No.)</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2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6" w:lineRule="exact"/>
        <w:rPr>
          <w:sz w:val="24"/>
          <w:szCs w:val="24"/>
          <w:color w:val="auto"/>
        </w:rPr>
      </w:pPr>
    </w:p>
    <w:tbl>
      <w:tblPr>
        <w:tblLayout w:type="fixed"/>
        <w:tblInd w:w="160" w:type="dxa"/>
        <w:tblCellMar>
          <w:top w:w="0" w:type="dxa"/>
          <w:left w:w="0" w:type="dxa"/>
          <w:bottom w:w="0" w:type="dxa"/>
          <w:right w:w="0" w:type="dxa"/>
        </w:tblCellMar>
      </w:tblPr>
      <w:tr>
        <w:trPr>
          <w:trHeight w:val="188"/>
        </w:trPr>
        <w:tc>
          <w:tcPr>
            <w:tcW w:w="388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6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4"/>
        </w:trPr>
        <w:tc>
          <w:tcPr>
            <w:tcW w:w="388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3260" w:type="dxa"/>
            <w:vAlign w:val="bottom"/>
          </w:tcPr>
          <w:p>
            <w:pPr>
              <w:jc w:val="center"/>
              <w:ind w:left="436"/>
              <w:spacing w:after="0"/>
              <w:rPr>
                <w:sz w:val="20"/>
                <w:szCs w:val="20"/>
                <w:color w:val="auto"/>
              </w:rPr>
            </w:pPr>
            <w:r>
              <w:rPr>
                <w:rFonts w:ascii="Times New Roman" w:cs="Times New Roman" w:eastAsia="Times New Roman" w:hAnsi="Times New Roman"/>
                <w:sz w:val="18"/>
                <w:szCs w:val="18"/>
                <w:b w:val="1"/>
                <w:bCs w:val="1"/>
                <w:color w:val="auto"/>
                <w:w w:val="99"/>
              </w:rPr>
              <w:t>NX</w:t>
            </w:r>
          </w:p>
        </w:tc>
        <w:tc>
          <w:tcPr>
            <w:tcW w:w="600" w:type="dxa"/>
            <w:vAlign w:val="bottom"/>
          </w:tcPr>
          <w:p>
            <w:pPr>
              <w:spacing w:after="0"/>
              <w:rPr>
                <w:sz w:val="22"/>
                <w:szCs w:val="22"/>
                <w:color w:val="auto"/>
              </w:rPr>
            </w:pPr>
          </w:p>
        </w:tc>
        <w:tc>
          <w:tcPr>
            <w:tcW w:w="2360" w:type="dxa"/>
            <w:vAlign w:val="bottom"/>
            <w:gridSpan w:val="2"/>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77"/>
        </w:trPr>
        <w:tc>
          <w:tcPr>
            <w:tcW w:w="8400" w:type="dxa"/>
            <w:vAlign w:val="bottom"/>
            <w:gridSpan w:val="4"/>
          </w:tcPr>
          <w:p>
            <w:pPr>
              <w:jc w:val="center"/>
              <w:ind w:left="245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326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600" w:type="dxa"/>
            <w:vAlign w:val="bottom"/>
          </w:tcPr>
          <w:p>
            <w:pPr>
              <w:spacing w:after="0"/>
              <w:rPr>
                <w:sz w:val="20"/>
                <w:szCs w:val="20"/>
                <w:color w:val="auto"/>
              </w:rPr>
            </w:pPr>
          </w:p>
        </w:tc>
        <w:tc>
          <w:tcPr>
            <w:tcW w:w="6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p>
        </w:tc>
        <w:tc>
          <w:tcPr>
            <w:tcW w:w="170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63"/>
        </w:trPr>
        <w:tc>
          <w:tcPr>
            <w:tcW w:w="7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7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p>
        </w:tc>
        <w:tc>
          <w:tcPr>
            <w:tcW w:w="1700" w:type="dxa"/>
            <w:vAlign w:val="bottom"/>
          </w:tcPr>
          <w:p>
            <w:pPr>
              <w:jc w:val="center"/>
              <w:ind w:right="879"/>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ind w:firstLine="161"/>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19"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74"/>
        </w:trPr>
        <w:tc>
          <w:tcPr>
            <w:tcW w:w="30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62"/>
        </w:trPr>
        <w:tc>
          <w:tcPr>
            <w:tcW w:w="106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period for complying with any new or revised financial</w:t>
            </w:r>
          </w:p>
        </w:tc>
        <w:tc>
          <w:tcPr>
            <w:tcW w:w="3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standards provided pursuant to Section 7(a)(2)(B) of the Securities Act.</w:t>
            </w:r>
          </w:p>
        </w:tc>
        <w:tc>
          <w:tcPr>
            <w:tcW w:w="48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right="20" w:firstLine="161"/>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jc w:val="both"/>
        <w:ind w:right="20" w:firstLine="161"/>
        <w:spacing w:after="0" w:line="22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8" w:lineRule="exact"/>
        <w:rPr>
          <w:sz w:val="24"/>
          <w:szCs w:val="24"/>
          <w:color w:val="auto"/>
        </w:rPr>
      </w:pPr>
    </w:p>
    <w:p>
      <w:pPr>
        <w:ind w:left="160"/>
        <w:spacing w:after="0" w:line="196" w:lineRule="exact"/>
        <w:tabs>
          <w:tab w:leader="none" w:pos="6960" w:val="left"/>
          <w:tab w:leader="none" w:pos="75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18"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April 30, 2025, computed by reference to the closing price for the Common Stock on the New York Stock Exchange, Inc. on that date, was $748,107,510. Such calculation assumes only the registrant’s officers and directors at such date were affiliates of the registrant.</w:t>
      </w:r>
    </w:p>
    <w:p>
      <w:pPr>
        <w:spacing w:after="0" w:line="1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At December 3, 2025 there were outstanding 45,674,726 shares of the registrant’s Common Stock, $0.01 par value.</w:t>
      </w:r>
    </w:p>
    <w:p>
      <w:pPr>
        <w:spacing w:after="0" w:line="2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320" w:top="731" w:right="339" w:bottom="1440" w:gutter="0" w:footer="0" w:header="0"/>
        </w:sectPr>
      </w:pPr>
    </w:p>
    <w:p>
      <w:pPr>
        <w:spacing w:after="0" w:line="31" w:lineRule="exact"/>
        <w:rPr>
          <w:sz w:val="24"/>
          <w:szCs w:val="24"/>
          <w:color w:val="auto"/>
        </w:rPr>
      </w:pPr>
    </w:p>
    <w:p>
      <w:pPr>
        <w:ind w:right="80" w:firstLine="161"/>
        <w:spacing w:after="0" w:line="26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2026 Annual Meeting of Stockholders to be filed with the Commission within 120 days of October 31, 2025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518795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660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wp:posOffset>
            </wp:positionV>
            <wp:extent cx="6604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0" cy="8255"/>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7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968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1C.</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Cybersecurity</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17</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17</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18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21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35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37</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and Disagreements with Accountants on Accounting and Financial Disclosure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85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86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86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8"/>
        </w:trPr>
        <w:tc>
          <w:tcPr>
            <w:tcW w:w="84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40" w:type="dxa"/>
            <w:vAlign w:val="bottom"/>
            <w:tcBorders>
              <w:top w:val="single" w:sz="8" w:color="3051F2"/>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6"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In no particular order, factors that could cause actual results to differ materially from those expressed or implied by the forward-looking statements include, but are not limited to the following:</w:t>
      </w:r>
    </w:p>
    <w:p>
      <w:pPr>
        <w:spacing w:after="0" w:line="160" w:lineRule="exact"/>
        <w:rPr>
          <w:sz w:val="20"/>
          <w:szCs w:val="20"/>
          <w:color w:val="auto"/>
        </w:rPr>
      </w:pP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on the economy, demand for our products or our operations, including the responses of governmental authorities to contain such public health issues;</w:t>
      </w:r>
    </w:p>
    <w:p>
      <w:pPr>
        <w:spacing w:after="0" w:line="14" w:lineRule="exact"/>
        <w:rPr>
          <w:rFonts w:ascii="Times New Roman" w:cs="Times New Roman" w:eastAsia="Times New Roman" w:hAnsi="Times New Roman"/>
          <w:sz w:val="18"/>
          <w:szCs w:val="18"/>
          <w:color w:val="auto"/>
        </w:rPr>
      </w:pPr>
    </w:p>
    <w:p>
      <w:pPr>
        <w:ind w:left="660" w:right="20" w:hanging="169"/>
        <w:spacing w:after="0" w:line="27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implement our plans, forecasts, expectations, and realize anticipated synergies with respect to the Tyman business we purchased in August 2024;</w:t>
      </w:r>
    </w:p>
    <w:p>
      <w:pPr>
        <w:spacing w:after="0" w:line="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foreign trade relations and associated tariffs could result in a global trade war;</w:t>
      </w:r>
    </w:p>
    <w:p>
      <w:pPr>
        <w:spacing w:after="0" w:line="61" w:lineRule="exact"/>
        <w:rPr>
          <w:rFonts w:ascii="Times New Roman" w:cs="Times New Roman" w:eastAsia="Times New Roman" w:hAnsi="Times New Roman"/>
          <w:sz w:val="18"/>
          <w:szCs w:val="18"/>
          <w:b w:val="1"/>
          <w:bCs w:val="1"/>
          <w:color w:val="auto"/>
        </w:rPr>
      </w:pP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Italy and elsewhere;</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1"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1" w:lineRule="exact"/>
        <w:rPr>
          <w:rFonts w:ascii="Times New Roman" w:cs="Times New Roman" w:eastAsia="Times New Roman" w:hAnsi="Times New Roman"/>
          <w:sz w:val="18"/>
          <w:szCs w:val="18"/>
          <w:color w:val="auto"/>
        </w:rPr>
      </w:pPr>
    </w:p>
    <w:p>
      <w:pPr>
        <w:ind w:left="660" w:right="24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any material weakness that we have identified or may identify in the future that could result in material misstatements in our financial statements;</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impairments of goodwill or our long-lived assets; and</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720725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 w:name="page4"/>
    <w:bookmarkEnd w:id="3"/>
    <w:p>
      <w:pPr>
        <w:jc w:val="both"/>
        <w:ind w:firstLine="444"/>
        <w:spacing w:after="0" w:line="282"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are discussed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0"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United States government sources and other third parties. Although we believe this information is reliable, we cannot guarantee the accuracy or completeness of the information and have not independently verified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657225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Quanex was incorporated in Delaware on December 12, 2007, as Quanex Building Products Corporation. We currently manufacture and distribute components for original equipment manufacturers (OEM) in the building products industry, including window, door, solar, refrigeration, custom mixing, building access, and cabinetry markets. Examples of components include energy-efficient flexible insulating glass spacers, extruded vinyl profiles, window and door screens, precision-formed metal and wood products, window and door seals, and window and door hardware. In addition, we provide certain other components and products, which include solar panel sealants, trim moldings, vinyl decking, water retention barriers, conservatory roof components, and commercial access solutions. We use cost-effective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locations in the U.K., Germany, Mexico, Canada, and Italy, as well as through sales and marketing efforts in other countries.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predecessor company, Quanex Corporation, was organized in Michigan in 1927 as Michigan Seamless Tube Company, and was later reincorporated in Delaware in 1968. In 1977, Michigan Seamless Tube Company changed its name to Quanex Corporation. On December 12, 2007, Quanex Building Products Corporation was incorporated as a wholly-owned subsidiary in the state of Delaware, in order to facilitate the separation of Quanex Corporation's vehicular products and building products businesses. This separation became effective on April 23, 2008, through a spin-off of the building products business to Quanex Corporation's then-existing shareholders. Immediately following the spin-off, our former parent company, consisting principally of the vehicular products business and all non-building products related corporate accounts, merged with a wholly-owned subsidiary of Gerdau S.A.</w:t>
      </w:r>
    </w:p>
    <w:p>
      <w:pPr>
        <w:spacing w:after="0" w:line="13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Since the spin-off in 2008, we have evolved our business by making investments in organic growth initiatives and taking a disciplined approach to new business and strategic acquisition opportunities, while disposing of non-core businesses. Most recently, on August 1, 2024, we completed our acquisition of Tyman plc, a company incorporated in England and Wales (“Tyman”). This strategic acquisition creates an enlarged group with significant cross-selling opportunities amongst a highly complementary customer base, increases the Company’s global reach by adding Tyman’s international footprint, enhances scale, optimizes the Company’s asset portfolio, and moves Quanex closer to being a comprehensive solutions provider.</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 of October 31, 2025, we operated 34 manufacturing facilities located in 18 states in the U.S., 7 facilities in the U.K., 3 facilities in Mexico, 2 facilities in Italy, 1 facility in Germany, and 1 facility in Canada. These facilities feature efficient plant design and flexible manufacturing processes, enabling us to produce a wide variety of custom engineered products and components. We are able to maintain minimal levels of finished goods inventories at most locations because we typically manufacture products upon order to customer specifications. We believe the primary drivers of our operating results are residential remodeling and replacement activity and new home construction in the markets we serve.</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1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is largely based in North America and dependent upon the spending and growth activity levels of our customers which include national and regional residential window, door and cabinet manufacturers and distributors, and commercial construction contractors. Our international presence includes vinyl extruded lineals for large house systems to smaller individual customers, as well as window and door hardware, seals, and extrusions to OEMs, system houses, and distributors. Additionally, we also have insulating glass and window and door hardware businesses in the U.K., Germany and Italy.</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use data related to housing starts and window shipments in the U.S., as published by or derived from third-party sources, to evaluate the fenestration market. We also use data related to cabinet demand in the U.S. to evaluate the residential cabinet market, and commercial building starts to evaluate the commercial access market.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presents calendar-year annual housing starts information as of November 2025 from the National Association of Home Builders (NAHB) (units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Single-family Units</w:t>
            </w:r>
          </w:p>
        </w:tc>
        <w:tc>
          <w:tcPr>
            <w:tcW w:w="23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Multi-family Units</w:t>
            </w:r>
          </w:p>
        </w:tc>
        <w:tc>
          <w:tcPr>
            <w:tcW w:w="22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Manufactured Units</w:t>
            </w:r>
          </w:p>
        </w:tc>
        <w:tc>
          <w:tcPr>
            <w:tcW w:w="1260" w:type="dxa"/>
            <w:vAlign w:val="bottom"/>
          </w:tcPr>
          <w:p>
            <w:pPr>
              <w:spacing w:after="0"/>
              <w:rPr>
                <w:sz w:val="16"/>
                <w:szCs w:val="16"/>
                <w:color w:val="auto"/>
              </w:rPr>
            </w:pPr>
          </w:p>
        </w:tc>
      </w:tr>
      <w:tr>
        <w:trPr>
          <w:trHeight w:val="202"/>
        </w:trPr>
        <w:tc>
          <w:tcPr>
            <w:tcW w:w="312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Units</w:t>
            </w:r>
          </w:p>
        </w:tc>
      </w:tr>
      <w:tr>
        <w:trPr>
          <w:trHeight w:val="25"/>
        </w:trPr>
        <w:tc>
          <w:tcPr>
            <w:tcW w:w="2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8"/>
        </w:trPr>
        <w:tc>
          <w:tcPr>
            <w:tcW w:w="2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1,129</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13%</w:t>
            </w:r>
          </w:p>
        </w:tc>
        <w:tc>
          <w:tcPr>
            <w:tcW w:w="10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474</w:t>
            </w:r>
          </w:p>
        </w:tc>
        <w:tc>
          <w:tcPr>
            <w:tcW w:w="13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5"/>
              </w:rPr>
              <w:t>20%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1,709</w:t>
            </w: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1,005</w:t>
            </w:r>
          </w:p>
        </w:tc>
        <w:tc>
          <w:tcPr>
            <w:tcW w:w="13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4"/>
              </w:rPr>
              <w:t>(11)%</w:t>
            </w:r>
          </w:p>
        </w:tc>
        <w:tc>
          <w:tcPr>
            <w:tcW w:w="10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547</w:t>
            </w:r>
          </w:p>
        </w:tc>
        <w:tc>
          <w:tcPr>
            <w:tcW w:w="13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5"/>
              </w:rPr>
              <w:t>15%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1,665</w:t>
            </w: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947</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473</w:t>
            </w:r>
          </w:p>
        </w:tc>
        <w:tc>
          <w:tcPr>
            <w:tcW w:w="13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(14)%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89</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1,509</w:t>
            </w: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13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7%</w:t>
            </w:r>
          </w:p>
        </w:tc>
        <w:tc>
          <w:tcPr>
            <w:tcW w:w="10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355</w:t>
            </w:r>
          </w:p>
        </w:tc>
        <w:tc>
          <w:tcPr>
            <w:tcW w:w="13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(25)%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1,474</w:t>
            </w:r>
          </w:p>
        </w:tc>
      </w:tr>
      <w:tr>
        <w:trPr>
          <w:trHeight w:val="214"/>
        </w:trPr>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 - Forecast</w:t>
            </w: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947</w:t>
            </w:r>
          </w:p>
        </w:tc>
        <w:tc>
          <w:tcPr>
            <w:tcW w:w="13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(7)%</w:t>
            </w:r>
          </w:p>
        </w:tc>
        <w:tc>
          <w:tcPr>
            <w:tcW w:w="10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410</w:t>
            </w:r>
          </w:p>
        </w:tc>
        <w:tc>
          <w:tcPr>
            <w:tcW w:w="13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5"/>
              </w:rPr>
              <w:t>15%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1,463</w:t>
            </w: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951</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395</w:t>
            </w:r>
          </w:p>
        </w:tc>
        <w:tc>
          <w:tcPr>
            <w:tcW w:w="13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1,452</w:t>
            </w: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982</w:t>
            </w:r>
          </w:p>
        </w:tc>
        <w:tc>
          <w:tcPr>
            <w:tcW w:w="13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389</w:t>
            </w:r>
          </w:p>
        </w:tc>
        <w:tc>
          <w:tcPr>
            <w:tcW w:w="13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1,479</w:t>
            </w:r>
          </w:p>
        </w:tc>
      </w:tr>
    </w:tbl>
    <w:p>
      <w:pPr>
        <w:spacing w:after="0" w:line="23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Ducker Worldwide LLC, a consulting and research firm, indicated in November 2025 that window shipments in the residential remodeling and replacement (R&amp;R) market are expected to decrease approximately 5.2% and 1.9% in the calendar-years ended 2025 and 2026, respectively. Derived from reports published by Ducker, overall window shipments decreased 3.9%, new construction activity decreased 5.3%, and R&amp;R replacement decreased 2.6%, respectively, for the trailing twelve months ended September 30, 2025.</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noted the following trends which we believe affect our industry:</w:t>
      </w:r>
    </w:p>
    <w:p>
      <w:pPr>
        <w:spacing w:after="0" w:line="115" w:lineRule="exact"/>
        <w:rPr>
          <w:sz w:val="20"/>
          <w:szCs w:val="20"/>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in the housing market over the past several years has been predominately in new construction which has outpaced the growth in the residential remodeling and replacement sector;</w:t>
      </w:r>
    </w:p>
    <w:p>
      <w:pPr>
        <w:spacing w:after="0" w:line="54"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in the U.S. such as Energy Star have improved customer awareness of the technological advances in window and door energy-efficiency, but the government has been reluctant to enforce stricter energy standards;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several years, supply chain disruptions and inflationary pressures related to transportation, labor, and raw materials have increased and at times have caused delays in production and higher prices;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rates in the U.K. and other European nations have changed significantly relative to the United States Dollar due in part fluctuations in interest rates, economic indicators, political instability, as well as other international unrest or uncertainties;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uncertainty and turmoil related to U.S. and international tariff actions, including potential changes in tariff rates, retaliation by trading partners, and resulting volatility in material costs and supply chain planning;</w:t>
      </w:r>
    </w:p>
    <w:p>
      <w:pPr>
        <w:spacing w:after="0" w:line="54" w:lineRule="exact"/>
        <w:rPr>
          <w:rFonts w:ascii="Times New Roman" w:cs="Times New Roman" w:eastAsia="Times New Roman" w:hAnsi="Times New Roman"/>
          <w:sz w:val="18"/>
          <w:szCs w:val="18"/>
          <w:color w:val="auto"/>
        </w:rPr>
      </w:pPr>
    </w:p>
    <w:p>
      <w:pPr>
        <w:jc w:val="both"/>
        <w:ind w:left="660" w:hanging="169"/>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have fluctuated in recent years, and to the extent we cannot pass this cost to our customers, this impacts the cost of critical materials used in our manufacturing processes such as resin, which affects margins related to our vinyl extrusion products; oil products such as butyl, which affects our insulating glass products; and stainless steel, zinc, aluminum, wood, polypropylene and silicone products used by our other businesses; and</w:t>
      </w:r>
    </w:p>
    <w:p>
      <w:pPr>
        <w:spacing w:after="0" w:line="73"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energy efficiency standards in Europe should favorably impact sales of our insulating glass spacer and weather seal products in the short- to mid-term.</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3"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Our vision is to be the preferred supplier to our customers in each market we serve and exceed expectations of all stakeholders. Our strategy to achieve this vision includes the following:</w:t>
      </w:r>
    </w:p>
    <w:p>
      <w:pPr>
        <w:spacing w:after="0" w:line="55" w:lineRule="exact"/>
        <w:rPr>
          <w:sz w:val="20"/>
          <w:szCs w:val="20"/>
          <w:color w:val="auto"/>
        </w:rPr>
      </w:pPr>
    </w:p>
    <w:p>
      <w:pPr>
        <w:jc w:val="both"/>
        <w:ind w:left="660" w:hanging="169"/>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profitable growth and explore markets that are synergistic with existing manufacturing capabilities and expand our market share with our customers and collaborative partnerships by providing: (1) a quality product; (2) a high level of customer service; (3) product choices at different price points; and (4) an expanded product portfolio or enhancements to existing product offerings. These enhancements may include higher thermal efficiency, enhanced functionality, improved weatherability, better appearance and best-in-class quality for our fenestration and cabinet door products;</w:t>
      </w:r>
    </w:p>
    <w:p>
      <w:pPr>
        <w:spacing w:after="0" w:line="78"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improved profitability in our manufacturing processes through: (1) ongoing preventive maintenance programs; (2) better utilization of our capacity by focusing on operational efficiencies and reducing scrap; (3) marketing our value added products; and (4) focusing on employee safety;</w:t>
      </w:r>
    </w:p>
    <w:p>
      <w:pPr>
        <w:sectPr>
          <w:pgSz w:w="11900" w:h="16838" w:orient="portrait"/>
          <w:cols w:equalWidth="0" w:num="1">
            <w:col w:w="11240"/>
          </w:cols>
          <w:pgMar w:left="320" w:top="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14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logistics solutions that provide our customers with just-in-time service which can reduce their processing costs;</w:t>
      </w:r>
    </w:p>
    <w:p>
      <w:pPr>
        <w:spacing w:after="0" w:line="115"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sustainability by continually looking for ways to reduce our environmental impact and carbon footprint, protect the health and safety of our employees and communities, engage diverse workers and leaders, and remain committed to doing good in our community;</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targeted business acquisitions that allow us to expand our existing footprint, enhance our existing product offerings, acquire complementary technology, enhance our leadership position within the markets we serve, and expand into adjacent markets or service lines; and</w:t>
      </w:r>
    </w:p>
    <w:p>
      <w:pPr>
        <w:spacing w:after="0" w:line="5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unprofitable or non-core service lines or customer relationships.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3"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We believe our strengths include design expertise, new technology development capability, high quality manufacturing, just-in-time delivery systems, customer service and the ability to generate unique patented products.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purchase a diverse range of raw materials, which include PVC resin, epoxy resin, butyl, titanium dioxide (TiO2) desiccant powder, silicone and EPDM rubber compounds, polypropylene, coated and uncoated aluminum sheet, steel, stainless steel, zinc and wood (both hardwood and softwood). These raw materials are generally available from several suppliers at market prices.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products are sold under highly competitive conditions. We believe the primary competitive factors in the markets we serve include price, product quality, delivery performance, and the ability to manufacture to customer specifications. The volume of engineered building products that we sell in the U.S. represents a small percentage of annual domestic consumption. Similarly, our subsidiaries in the U.K. compete against some larger vinyl producers and smaller window manufacturers. The U.K. and International market is highly fragmented and we compete with a large number of other component suppliers. For our wood business, we believe we are the largest supplier to OEMs in the U.S., but we compete with other national and regional businesses, including OEMs who are vertically integrated.</w:t>
      </w:r>
    </w:p>
    <w:p>
      <w:pPr>
        <w:spacing w:after="0" w:line="13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compete against a range of small and mid-size metal, vinyl and wood products suppliers, wood molding companies, and the in-house operations of customers who have vertically integrated fenestration operations. We also compete against insulating glass (IG) spacer manufacturing firms. IG systems are used in numerous end markets including residential housing, commercial construction, appliances and transportation, but we primarily serve the residential housing market. Competition is largely based on regional presence, custom engineering, product development, quality, service and price. Primary competitors in North America include, but are not limited to, Assa Abloy, FlexScreen, Hoppe, Interlock, Radisson Industries, RiteScreen, Roto, Screenco, ScreenFab, and Vision Hardware. Competitors in the vinyl extrusion business in the U.K. include Epwin, Eurocell, Profine U.K. Extrusions Ltd., Veka, and others. Primary competitors in the wood business in the U.S. include Appalachian Wood, Conestoga, Northern Contours, Olon, and others. Primary competitors in the U.K. and European hardware and seals businesses include Assa Abloy, GU, Hoppe, Maco, Roto, Siegenia, and Tecseal.</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sell our products to customers in various countries. We have sales representatives whose territories essentially cover the U.S., Canada, Europe, and to a lesser extent, the Middle East, Latin and South America, Australia, New Zealand and Asia. Our sales force is tasked with selling and marketing our complete range of components, products and systems to national and regional OEMs through a direct sales force in North America and Europe, supplemented with the use of distributors and independent sales agents.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See Note 1, “Nature of Operations, Basis of Presentation and Significant Accounting Policies - Concentration of Credit Risk and Allowance for Credit Losses,” of the accompanying financial statements in this Annual Report on Form 10-K for related disclosure.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Backlog</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Given the short lead times involved in our business, we have a backlog of approximately $54.1 million as of October 31, 2025. As the criteria for revenue recognition has not been met with regard to sales backlog, we have not recorded revenue or deferred revenue pursuant to these sales orders. If these sales orders result in a sale, we will record revenue in fiscal 2026 in accordance with our revenue recognition accounting policy.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is impacted by seasonality. We have historically experienced lower sales for our products during the first half of our fiscal year as winter weather reduces homebuilding and home improvement activity. Our operating income tends to decline during this period of lower sales because a higher percentage of our operating expenses are fixed overhead. Our business activity generally increases in the third and fourth quarters of the fiscal year as weather conditions improve, resulting in higher relative volumes compared to the first half of the year. Expenses for labor and other costs are generally semi-variable throughout the year.</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fund operations through a combination of available cash and cash equivalents, cash flow generated from our operations, and borrowings from our revolving credit facility. We extend credit to our domestic customers in the ordinary course of business generally for a term of 30 days, while the terms for our international customers vary from cash advances to 90 days. Inventories of raw materials are carried in quantities deemed necessary to ensure a smooth production process, some of which are governed by consignment agreements with suppliers. We strive to maintain minimal finished goods inventories, while ensuring an adequate supply on hand to service customer needs.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Service Marks, Trademarks, Trade Names, and Patents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Our federally registered trademarks or service marks include QUANEX, QUANEX and design, “Q” design, TRUSEAL TECHNOLOGIES, DURASEAL, DURALITE, SOLARGAIN, ENVIROSEALED WINDOWS, EDGETHERM, EDGETECH, ECOBLEND, SUPER SPACER, TSS, TRUE WARM, E &amp; Design, QUIET EDGE, HEALTH SMART WINDOWS, ENERGY WISE WINDOWS, DESI-ROPE, 360 and design, INTELLICLIP, SUSTAINAVIEW, MIKRON, MIKRONWOOD, MIKRONBLEND, MIKRON BLEND and design, ENERGYCORE, FUSION INSULATED SYSTEM, AIRCELL, SUPERCOAT, SUPERCAP, STYLELOCK, STYLELOCK and design, MIKRON and design, HOMESHIELD, HOMESHIELD and design, STORM SEAL, and TENON. We consider the following marks, design marks and associated trade names to be valuable in the conduct of our business:</w:t>
      </w:r>
    </w:p>
    <w:p>
      <w:pPr>
        <w:spacing w:after="0" w:line="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AMESBURYTRUTH, ASHLAND,BILCO, EDGETECH, ERA, GIESSE, HOMESHIELD, HOWE GREEN, LAWRENCE, MIKRON, REGUITTI, SAFEGAURD, SECUREGAURD, SCHLEGEL, TRUSEAL TECHNOLOGIES, TRUTH HARDWARE, TYMAN, QUANEX, and ZOO. Through Liniar, we hold a number of registered designs, patents and trademarks registered in the U.K., which include: MODLOK, LINIAR, SUPER CUT, ENERGY PLUS</w:t>
      </w:r>
    </w:p>
    <w:p>
      <w:pPr>
        <w:spacing w:after="0" w:line="1" w:lineRule="exact"/>
        <w:rPr>
          <w:sz w:val="20"/>
          <w:szCs w:val="20"/>
          <w:color w:val="auto"/>
        </w:rPr>
      </w:pPr>
    </w:p>
    <w:p>
      <w:pPr>
        <w:jc w:val="both"/>
        <w:ind w:firstLine="7"/>
        <w:spacing w:after="0" w:line="250" w:lineRule="auto"/>
        <w:tabs>
          <w:tab w:leader="none" w:pos="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FLAMSTEAD HOLDINGS &amp; Device, HL PLASTICS &amp; Device, VINTAGE WINDOWS &amp; Device, RESURGENCE, FUSE, ELEVATE, SWITCHBOARD and various other trademarks and patents which are pending approval. Generally, our business does not depend on patent protection, but patents obtained with regard to our vinyl extrusion products and processes, fabricated metal components and IG spacer products business remain a valuable competitive advantage over other building products manufacturers. We obtain patent protection for various dyes and other tooling created in connection with the production of customer-specific vinyl profile designs and vinyl extrusions. Our fabricated metal components business obtains patent protection for its thresholds. Our window sealant business unit relies on patents to protect the design of several of its window spacer products. Although we hold numerous patents, the proprietary process technology that has been developed is also considered a source of competitive advantage.</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Environmental and Employee Safety Matters</w:t>
      </w:r>
    </w:p>
    <w:p>
      <w:pPr>
        <w:spacing w:after="0" w:line="160"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are subject to extensive laws and regulations concerning worker safety, the discharge of materials into the environment and the remediation of chemical contamination. To satisfy such requirements, we must make capital and other expenditures on an ongoing basis. The cost of worker safety and environmental matters has not had a material adverse effect on our operations or financial condition in the past, and we are not currently aware of any existing conditions that we believe are likely to have a material adverse effect on our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 and Environmental Policies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For many years, we have maintained compliance policies that are designed to help protect our workforce, to identify and reduce the potential for job-related accidents, and to minimize liabilities and other financial impacts related to worker safety and environmental issues. These policies include extensive employee training and education, as well as internal policies embodied in our Code of Business Conduct and Ethics. We have a Vice President of Environmental, Health and Safety and maintain a company-wide committee, comprising leaders from across the organization, which meets regularly to discuss safety issues and drive safety improvements. We plan to continue to focus on safety in particular as a core strategy to improve our operational efficiency and financial performance.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Compliance Costs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2026.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 xml:space="preserve">Human </w:t>
      </w:r>
      <w:r>
        <w:rPr>
          <w:rFonts w:ascii="Times New Roman" w:cs="Times New Roman" w:eastAsia="Times New Roman" w:hAnsi="Times New Roman"/>
          <w:sz w:val="18"/>
          <w:szCs w:val="18"/>
          <w:color w:val="222222"/>
        </w:rPr>
        <w:t>capital metrics that we consider to be key to our business include employee headcount, temporary workers, health and safety, and turnover.</w:t>
      </w:r>
      <w:r>
        <w:rPr>
          <w:rFonts w:ascii="Times New Roman" w:cs="Times New Roman" w:eastAsia="Times New Roman" w:hAnsi="Times New Roman"/>
          <w:sz w:val="18"/>
          <w:szCs w:val="18"/>
          <w:color w:val="auto"/>
        </w:rPr>
        <w:t xml:space="preserve"> As of October 31, 2025, we had 7,071 full-time employees located throughout our global organization. Generally, the total number of employees of Quanex and its subsidiaries does not significantly fluctuate throughout the year.</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Employee turnover rates are monitored monthly at the division and plant levels. Both voluntary and involuntary terminations, including retirements, are used to calculate the turnover rate. Our human capital objectives include attracting, developing, motivating, rewarding, and retaining our existing and new employees. We offer our employees online training courses and on-the-job training on job duties, safety requirements, and leadership skills.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60"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periodically file or furnish documents to the Securities and Exchange Commission (SEC), including our Annual Reports on Form 10-K, Quarterly Reports on Form 10-Q, Current Reports on Form 8-K and other reports as required. These reports are also available free of charge from the Investor Relations Section of our website at http://www.quanex.com, as soon as reasonably practicable after we file such material or furnish it to the SEC. As permitted by the SEC rules, we post relevant information on our website. However, the information contained on our website is not incorporated by reference into this Annual Report on Form 10-K and should not be considered part of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6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18"/>
          <w:szCs w:val="18"/>
          <w:b w:val="1"/>
          <w:bCs w:val="1"/>
          <w:color w:val="auto"/>
        </w:rPr>
        <w:t>The following risk factors, along with other information contained elsewhere in this Annual Report on Form 10-K and our other public filings with the SEC, should be carefully considered before deciding to invest in our securities. Additional risks and uncertainties that are not currently known to us or that we may view as immaterial could impair our business if such risks were to develop into actual events. Therefore, any of these risks could have a material adverse effect on our financial condition, results of operations and cash flows. This listing of risk factors is not all-inclusive and is not necessarily presented in order of importance.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Risks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Any sustained decline in residential remodeling, replacement activities, or housing starts could have a material adverse effect on our business, financial condition and results of operations.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primary drivers of our business are residential remodeling, replacement activities and housing starts. The home building and residential construction industry is cyclical and seasonal, and product demand is based on numerous factors such as interest rates, general economic conditions, consumer confidence and other factors beyond our control. Declines in the number of housing starts and remodeling expenditures resulting from such factors could have a material adverse effect on our business, results of operations and financial condition.</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If the availability of critical raw materials were to become scarce or if the price of these items were to increase significantly, we might not be able to timely produce products for our customers or maintain our profit levels.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purchase significant amounts of raw materials, such as butyl, titanium dioxide, vinyl resin, aluminum, steel, silicone, zinc, polypropylene and wood products, from outside sources for use in our manufacturing facilities. Because we do not have long-term contracts for the supply of many of these materials, their availability and price are subject to market fluctuations and other disruptions. In addition, logistical challenges such as port strikes or transportation delays could further impact the supply chain, potentially curtailing our access to key raw materials. Any of these factors could affect our ability to manufacture products for our customers in a timely and cost-effective manner.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Compliance with, or liabilities under, existing or future environmental laws and regulations could significantly increase our costs of doing business.</w:t>
      </w:r>
    </w:p>
    <w:p>
      <w:pPr>
        <w:spacing w:after="0" w:line="18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are subject to extensive federal, state and local laws and regulations concerning the discharge of materials into the environment and the prevention and/or remediation of chemical contamination. To satisfy such requirements, we must make capital and other expenditures on an ongoing basis. Future expenditures relating to environmental matters will necessarily depend upon whether such regulations and future governmental decisions or interpretations of these regulations apply to us and our facilities. It is likely that we will be subject to increasingly stringent environmental standards, and we will incur additional expenditures to comply with such standards. Furthermore, if we fail to comply with applicable environmental regulations, we could be subject to substantial fines or penalties and to civil and criminal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patent, trade secrets, confidentiality procedures and contractual commitments to protect our proprietary information. However, these measures can only provide limited protection and unauthorized third parties may try to copy or reverse engineer portions of our products or may otherwise obtain and use our intellectual property. If we cannot protect our proprietary information against unauthorized use, we may not be able to retain a perceived competitive advantage and we may lose sales to the infringing sellers, which may have a material adverse effect on our financial condition, results of operations and cash flows.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are subject to various existing and contemplated laws, regulations and government initiatives that may materially impact the demand for our products, our profitability or our costs of doing business.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may be materially impacted by various governmental laws, regulations and initiatives that may artificially create, deflate, accelerate, or decelerate consumer demand for our products. For example, when the government issues tax credits designed to encourage increased homebuilding or energy-efficient window purchases, the credits may create a spike in demand that would not otherwise have occurred and our production capabilities may not be able to keep pace, which could materially impact our profitability. Likewise, when such laws, regulations or initiatives expire, our business may experience a material loss in sales volume or an increase in production costs as a result of the decline in consumer demand.</w:t>
      </w:r>
    </w:p>
    <w:p>
      <w:pPr>
        <w:spacing w:after="0" w:line="12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Regional or global barriers to trade or a global trade war could increase the cost of our raw materials and other products in the markets we serve, which could adversely impact the financial results of businesses serving those markets, including Quanex.</w:t>
      </w:r>
    </w:p>
    <w:p>
      <w:pPr>
        <w:spacing w:after="0" w:line="105"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The state of relationships between other countries and the United States with respect to trade policies, government relations and tariffs may impact our business. The U.S. government has and continues to make significant changes in U.S. trade policy and has taken certain actions that could negatively impact U.S. trade, including imposing tariffs on certain goods imported into the United States. There is concern that the imposition of tariffs by the United States could result in the adoption of tariffs or retaliatory measures by other countries, leading to a global trade war. Such tariffs or retaliatory measures could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raise the cost and reduce the supply of certain raw materials, such as aluminum and wood, which are critical to our ability to manufacture our products. In the event of a global trade war or regional dispute, local suppliers may choose to allocate their resources to local players in their markets and provide us with less favorable terms. Raw material shortages and price increases could cause distribution delays and increase our costs, which in turn could reduce our competitiveness and impact our ability to do business with certain counterparties.</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General geopolitical instability and the responses to it, such as the possibility of sanctions, trade restrictions and changes in tariffs, and the possibility of additional tariffs, non-tariff barriers or other trade restrictions between the United States and other countries where we might in the future manufacture, distribute or sell products, could adversely impact our business.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may identify new or additional material weakness or weaknesses in our internal control over financial reporting which may, if not remediated, result in material misstatements in our financial statements.</w:t>
      </w:r>
    </w:p>
    <w:p>
      <w:pPr>
        <w:spacing w:after="0" w:line="105"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 13a-15(f) under the Securities Exchange Act of 1934. It is possible that we may identify vulnerabilities with respect to our internal controls.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disclosed in Item 9A, “Controls and Procedures,” our controls and procedures were not effective as a result of a material weakness in internal controls over financial reporting as of October 31, 2024. The material weakness was specifically related to the design and operation of the controls over the preparation and review of the statement of cash flows. Throughout 2025, the Company continued to implement a remediation plan designed to address this material weakness. However, this material weakness continued to exist as of October 31, 2025 and will not be considered remediated until such time as management designs and implements effective controls that operate for a sufficient period of time and concludes through testing, that these controls are effective. If additional material weaknesses or significant deficiencies in our internal control are discovered or occur in the future, our ability to record, process and report financial information accurately, and to prepare financial statements within required time periods, could be adversely affected. If we are unable to maintain effective internal control over financial reporting, our financial statements may contain material misstatements and we could be required to restate our financial results. If our financial statements are not filed on a timely basis or we are required to restate our financial results, we could be in violation of covenants contained in the agreements governing our debt and other borrowings.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and maintain effective internal controls could have a material adverse effect on our business and on our stock price.</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effectively monitor our business, prevent fraud or theft, remain in compliance with our credit facility covenants, and provide reliable financial reports, both to the public and to our lenders. If we fail to maintain the adequacy of our internal controls, both in accordance with current standards and as standards are modified over time, we could trigger an event of default under our credit facilities or lose the confidence of the investing community, both of which could result in a material adverse effect on our stock price, limit our ability to borrow funds, or result in the application of unfavorable commercial terms to borrowings then outstanding.</w:t>
      </w:r>
    </w:p>
    <w:p>
      <w:pPr>
        <w:spacing w:after="0" w:line="195"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adversely affected by disruptions in the global economy caused by the continued conflicts in Ukraine and Gaza.</w:t>
      </w:r>
    </w:p>
    <w:p>
      <w:pPr>
        <w:spacing w:after="0" w:line="118" w:lineRule="exact"/>
        <w:rPr>
          <w:sz w:val="20"/>
          <w:szCs w:val="20"/>
          <w:color w:val="auto"/>
        </w:rPr>
      </w:pPr>
    </w:p>
    <w:p>
      <w:pPr>
        <w:jc w:val="both"/>
        <w:ind w:firstLine="403"/>
        <w:spacing w:after="0" w:line="272"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related to the escalation of geopolitical tensions and the military conflict currently ongoing in Ukraine and the Gaza Strip. These conflicts could lead to market or operational disruptions, including significant volatility in commodity prices,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credit and capital markets, as well as supply chain interruptions. In addition, one of the suppliers of a vapor barrier used in the production of our insulating glass spacers is located in Israel and may experience a disruption as a result of the ongoing conflict in Gaza. If supply chain interruptions or other disruptions result in the unavailability of raw materials or an increase to the price of raw materials or other commodities, we could experience a negative impact on our operating results, profitability and future cash flows.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will suffer if we are unable to adequately address potential supplier or customer pricing pressures, both with respect to OEMs that have significant pricing leverage over suppliers, and to large suppliers who have significant pricing leverage over their customers.</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primary customers are OEMs, who have substantial leverage in setting purchasing and payment terms. In addition, many of our suppliers are large international conglomerates with numerous customers that are much larger than us, which lessens our leverage in pricing and supply negotiations. We attempt to manage this pricing pressure and to preserve our business relationships with suppliers and OEMs by negotiating reasonable price concessions when needed, and by reducing our production costs through various measures, which may include managing our purchase process to control the cost of our raw materials and components, maintaining multiple supply sources where possible, and implementing cost-effective process improvements. However, our efforts in this regard may not be successful and our operating margins could be negatively impacted.</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revenues could decline or we may lose business if our customers vertically integrate their operations, diversify their supplier base, transfer manufacturing capacity to other regions, or respond to operational challenges in our business.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if we were to lose one of these large customers or if one such customer were to materially reduce its purchases as a result of vertical integration, supplier diversification, a shift in regional focus, or concerns related to operational challenges, our revenue, general financial condition and results of operations could be adversely affected.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goodwill and indefinite-lived intangible assets may become impaired and could result in a charge to income.</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evaluate our goodwill and indefinite-lived intangible assets at least annually to determine whether we must test for impairment. In making this assessment, we must use judgment to make estimates of future operating results and appropriate residual values. Actual future operating results and residual values associated with our operations could differ significantly from these estimates, which may result in an impairment charge in a future period, resulting in a decrease in net income from operations in the year of the impairment, as well as a decline in our recorded net worth. In the third quarter of 2025, we tested goodwill for impairment as a result of the restructuring. The testing of our goodwill resulted in an goodwill impairment of $302.3 million. Goodwill totaled $271.3 million at October 31, 2025. The results of goodwill impairment testing are described in the accompanying notes to the audited financial statements, Note 7, “Goodwill and Intangible Assets” of the accompanying financial statements in this Annual Report on Form 10-K.</w:t>
      </w:r>
    </w:p>
    <w:p>
      <w:pPr>
        <w:spacing w:after="0" w:line="1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credit facility contains certain operational restrictions, reporting requirements, and financial covenants that limit the aggregate availability of funds.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revolving credit facility contains certain financial covenants and other operating and reporting requirements that could present risk to our operating results or limit our ability to access capital for use in the business. For a full discussion of the various covenants and operating requirements imposed by our revolving credit facility and information related to the potential limitations on our ability to access capital, see Item 7, “Management’s Discussion and Analysis of Financial Conditions and Results of Operations-Liquidity and Capital Resources,” included elsewhere in this Annual Report on Form 10-K.</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may not be able to successfully manage or integrate acquisitions, and if we are unable to do so, then our profitability could be adversely affected.</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manage or integrate acquisition targets once we have purchased them, including Tyman. If we acquire a business for which we do not fully understand or appreciate the specific business or operational risks, if we overvalue or fail to conduct effective due diligence on an acquisition, or if we fail to effectively and efficiently integrate a business that we acquire, then there could be a material adverse effect on our ability to achieve the projected growth and cash flow goals associated with the new business, which could result in an overall material adverse effect on our long-term profitability or revenue generation.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If our information technology systems fail, or if we experience an interruption in our operations due to an aging information system infrastructure, then our results of operations and financial condition could be materially adversely affected.</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failure of our information technology systems, our inability to successfully maintain, enhance and/or replace our information technology systems when necessary, or a significant compromise of the integrity or security of the data that is generated from our information technology systems, could adversely affect our results of operations and could disrupt business and prevent or severely limit our ability to respond to data requests from our customers, suppliers, auditors, shareholders, employees or government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data security and privacy risks that could negatively affect our results or operations.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our own sensitive and proprietary business information, we collect transactional and personal information about our customers and employees. Any breach, including ransomware attacks or other cybersecurity breaches, of our or our service providers’ network or other vendor systems, may result in the loss of confidential business and financial data, misappropriation of our consumers’ or employees’ personal information or a disruption of our business. Any of these outcomes could have a material adverse effect on our business or our vendor and customer relationships, and could also result in unwanted media attention, reputational damage, or the imposition of fines, lawsuits, or significant legal or remediation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Epidemics, pandemics or other disease outbreaks could significantly disrupt our operations or those of our customers or suppliers.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If an epidemic or pandemic disrupts the worldwide economy, or if similar widespread disease outbreaks occur in the future, our business, financial condition and results of operations could be negatively affected to the extent such event harms the economy or region in which we operate.</w:t>
      </w:r>
    </w:p>
    <w:p>
      <w:pPr>
        <w:spacing w:after="0" w:line="10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occurrence of a widespread health epidemic or pandemic or governmental imposition of mandatory or voluntary closures in areas where our manufacturing facilities, suppliers or customers are located, could severely disrupt our operations and result in (a) plant slowdowns or shutdowns, (b) difficulty obtaining necessary supplies, and (c) reduced customer orders and revenues. In addition to this potential direct impact on our facilities and operations, continuing outbreaks could negatively impact our industry and end markets as a whole, or result in a longer-term economic recession. Any of these factors could negatively affect our business, financial condition, cash flows, profitability, and results of operations.</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Pandemics have had and may continue to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 of which could 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operations outside the U.S. require us to comply with a number of U.S. and international anti-corruption regulations, violations of which could have a material adverse effect on our consolidated results of operations and consolidated financial condition.</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international operations require us to comply with a number of U.S. and international regulations, including the Foreign Corrupt Practices Act (FCPA) and the United Kingdom Bribery Act 2010. While we have implemented appropriate training and compliance programs to prevent violations of these anti-bribery regulations, we cannot ensure that our policies, procedures and programs will always protect us from reckless or criminal acts committed by our employees or agents. Allegations of violations of applicable anti-corruption laws, may result in internal, independent, or government investigations, and violations of anti-corruption laws may result in severe criminal or civil sanctions or other liabilities which could have a material adverse effect on our business, consolidated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may not have the right personnel in place to achieve our operating goals, and the location of some of our operations may make it difficult to locate or hire highly skilled employees.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operate in some rural areas and small towns where the competition for labor can be fierce, and where the pool of qualified employees may be very small. If we are unable to obtain or retain skilled workers and adequately trained professionals to conduct our business, we may not be able to manage our business to the necessary high standards. In addition, we may be forced to pay higher wages or offer other benefits that might impact our cost of labor and thereby negatively impact our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failures or catastrophic loss at any of our manufacturing facilities could prevent us from producing our products.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An interruption in production capabilities at any of our facilities due to equipment failure, catastrophic loss, or other reasons could result in our inability to manufacture products, which could severely affect delivery times, return or cancellation rates, and future sales, any of which could result in lower sales and earnings or the loss of customers. Although we have a disaster recovery plan in place, we currently have one plant which is the sole source for our insulating glass spacer business in the U.S. If that plant were to experience a catastrophic loss and our disaster recovery plan were to fail, it could have a material adverse effect on our results of operations or financial condition.</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Product liability claims and product replacements could harm our reputation, revenue generation and financial condition, or could result in costs related to litigation, warranty claims, or customer accommodations.</w:t>
      </w:r>
    </w:p>
    <w:p>
      <w:pPr>
        <w:spacing w:after="0" w:line="10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on occasion, found flaws and deficiencies in the manufacturing, design, testing or installation of our products, which may result from a product defect, a defect in a component part provided by our suppliers, or as a result of the product being installed incorrectly by our customer or an end user. The failure of products before or after installation could result in litigation or claims by our customers or other users of the products, or in the expenditure of costs related to warranty coverage, claim settlement, litigation, or customer accommodation. In addition, we are currently party to certain legal claims related to a commercial sealant product, and there is no assurance that we will prevail on those claims. We may be required to expend legal fees, expert costs, and other costs associated with defending the claims and/or lawsuits. We may elect to enter into legal settlements or be forced to pay any judgments that result from an adverse court decision. Any such settlements, judgments, fees and/or costs could negatively impact our profitability, results of operations, cash flows and financial condition.</w:t>
      </w:r>
    </w:p>
    <w:p>
      <w:pPr>
        <w:spacing w:after="0" w:line="21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color w:val="auto"/>
        </w:rPr>
        <w:t>Our insurance coverage may be inapplicable or inadequate to cover certain liabilities, and our insurance policies may exclude coverage for certain matters.</w:t>
      </w:r>
    </w:p>
    <w:p>
      <w:pPr>
        <w:spacing w:after="0" w:line="105"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While we maintain a robust insurance program that is reasonably designed to cover our known and unknown risks, there is no assurance that our insurance carriers will voluntarily agree to cover every potential liability, or that our insurance policies include limits high enough to cover all liabilities associated with our business or products. In addition, coverage under our insurance policies may be unavailable in the future for certain products. For example, during a prior renewal of our insurance program, our insurance carriers excluded future coverage of a product line we no longer manufacture or sell. If our insurers refuse to cover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129"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b w:val="1"/>
          <w:bCs w:val="1"/>
          <w:color w:val="auto"/>
        </w:rPr>
        <w:t>Changes in climate and extreme weather events could disrupt our supply chain, decrease customer demand for our products, or damage our manufacturing facilities.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along with many of our customers and suppliers, operate manufacturing facilities in areas at risk for extreme weather events such as hurricanes, tornadoes, drought, wildfires, winter storms, or floods. If such an event occurs at a facility belonging to one of our customers, we could see reduced demand for our products. If such an event occurs at a facility belonging to us or one of our suppliers, we may be unable to timely and cost-effectively manufacture products for our customers. These declines in demand or impacts to our ability to manufacture our products could negatively impact our revenues, earnings, cash flow, and other operating results.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11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file income tax returns, including tax returns for our subsidiaries, with federal, state, local, and foreign jurisdictions. We consider the United States to be our most significant jurisdiction; however, all tax returns are subject to routine compliance review by the taxing authorities in the jurisdictions in which we file tax returns in the ordinary course of business. We make judgments regarding the utilization of existing deferred tax assets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tax positions that have been taken. Changes in federal, state, or local tax laws, adverse tax audit results, or adverse tax rulings on positions taken could have a material adverse effect on the results of our operations, financial condition, or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Investment in Quanex Securities</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color w:val="auto"/>
        </w:rPr>
        <w:t>Our corporate governance documents and the provisions of Delaware law may delay or preclude a business acquisition or divestiture that stockholders may consider to be favorable, which might result in a decrease in the value of our common shares.</w:t>
      </w:r>
    </w:p>
    <w:p>
      <w:pPr>
        <w:spacing w:after="0" w:line="11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and Delaware law contain provisions that could make it more difficult for a third party to acquire us without the consent of our Board of Directors. These provisions include restrictions on the ability of our stockholders to remove directors and supermajority voting requirements for stockholders to amend our organizational documents and limitations on action by our stockholders by written consent. In addition, our Board of Directors has the right to issue preferred stock without stockholder approval, which could be used to dilute the stock ownership of a potential hostile acquirer. Although we believe these provisions protect our stockholders from coercive or otherwise unfair takeover tactics, and thereby provide for an opportunity for us to receive a higher bid by requiring potential acquirers to negotiate with our Board of Directors, these provisions apply even if the offer may be considered beneficial by some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the ability to issue additional equity securities, which would lead to dilution of our issued and outstanding common stock.</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are authorized to issue, without stockholder approval, 1,000,000 shares of preferred stock, no par value, in one or more series, which may give other stockholders dividend, conversion, voting, and liquidation rights, among other rights, which may be superior to the rights of holders of our common stock. The issuance of additional equity securities or securities convertible into equity securities would result in dilution of existing stockholders' equity interests. Our Board of Directors has no present intention to issue any such preferred shares, but has the right to do so in the future. In addition, we were authorized, by prior stockholder approval, to issue up to 125,000,000 shares of our common stock, $0.01 par value per share, of which 51,211,469 were issued at October 31, 2025. These authorized shares can be issued, without stockholder approval, as securities convertible into either common stock or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7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Company’s information technology systems, as well as those of the Company’s third-party service providers, are subject to cybersecurity threats. Significant cybersecurity threats, including intrusions into, compromises of, or disruptions in the information technology systems of the Company or its third-party service providers could adversely affect the Company’s financial condition and results of operations. The Company maintains and updates its information technology systems to mitigate the risk of cybersecurity threats.</w:t>
      </w:r>
    </w:p>
    <w:p>
      <w:pPr>
        <w:spacing w:after="0" w:line="20"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Board of Directors have oversight responsibility for the Company’s cybersecurity risks. While the Company’s employees play a key role in cybersecurity, the Company’s Chief Information Officer, General Counsel and other members of management have shared responsibility for assessing and managing the Company’s cybersecurity risks. The Company’s management has sufficient knowledge, experience and expertise for assessing and managing the Company’s cybersecurity risks. The Board of Directors and Audit Committee receive updates from management regarding cybersecurity risks, cybersecurity threats that could impact the Company and cybersecurity initiatives to enhance the Company’s cybersecurity practices. The Audit Committee also receives updates on the results of assessments and audits of the Company’s information technology systems and controls.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5" w:name="page16"/>
    <w:bookmarkEnd w:id="15"/>
    <w:p>
      <w:pPr>
        <w:ind w:right="20" w:firstLine="323"/>
        <w:spacing w:after="0" w:line="280" w:lineRule="auto"/>
        <w:rPr>
          <w:sz w:val="20"/>
          <w:szCs w:val="20"/>
          <w:color w:val="auto"/>
        </w:rPr>
      </w:pPr>
      <w:r>
        <w:rPr>
          <w:rFonts w:ascii="Times New Roman" w:cs="Times New Roman" w:eastAsia="Times New Roman" w:hAnsi="Times New Roman"/>
          <w:sz w:val="18"/>
          <w:szCs w:val="18"/>
          <w:color w:val="auto"/>
        </w:rPr>
        <w:t>The Company has information technology security practices to protect its information technology systems and data and to monitor for potential cybersecurity threats. These practices are integrated into the Company’s risk management framework and include:</w:t>
      </w:r>
    </w:p>
    <w:p>
      <w:pPr>
        <w:spacing w:after="0" w:line="1" w:lineRule="exact"/>
        <w:rPr>
          <w:sz w:val="20"/>
          <w:szCs w:val="20"/>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controls embedded in the Company’s information technology systems;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changes to address potential threats and vulnerabilities of the Company’s information technology systems;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programs, including proactive simulations, to identify and manage cybersecurity threats, risks or incidents;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industry forums and collaboration with peers;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and data protection training for applicable employees; and</w:t>
      </w:r>
    </w:p>
    <w:p>
      <w:pPr>
        <w:spacing w:after="0" w:line="61" w:lineRule="exact"/>
        <w:rPr>
          <w:rFonts w:ascii="Times New Roman" w:cs="Times New Roman" w:eastAsia="Times New Roman" w:hAnsi="Times New Roman"/>
          <w:sz w:val="18"/>
          <w:szCs w:val="18"/>
          <w:color w:val="auto"/>
        </w:rPr>
      </w:pPr>
    </w:p>
    <w:p>
      <w:pPr>
        <w:ind w:left="660" w:right="340" w:hanging="330"/>
        <w:spacing w:after="0" w:line="28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third party services and tools to periodically assess and/or monitor cybersecurity threat environment and the company’s cybersecurity posture.</w:t>
      </w:r>
    </w:p>
    <w:p>
      <w:pPr>
        <w:spacing w:after="0" w:line="1"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Additionally, the Company assesses and manages cybersecurity threats associated with its third-party service providers’ information technology systems that could compromise the Company’s information security or data. Identified cybersecurity threats are communicated to management for review, response, and mitigation as appropriate.</w:t>
      </w:r>
    </w:p>
    <w:p>
      <w:pPr>
        <w:spacing w:after="0" w:line="16"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 xml:space="preserve">The Company assesses cybersecurity risks and changes in the cyber environment and adjusts its practices as deemed appropriate. To date,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Refer to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included elsewhere in this Annual Report on Form 10-K for additional information on risks related to the Company’s business, including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our principal properties by location, general character and use as of October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Character and Use of Property</w:t>
            </w:r>
          </w:p>
        </w:tc>
      </w:tr>
      <w:tr>
        <w:trPr>
          <w:trHeight w:val="222"/>
        </w:trPr>
        <w:tc>
          <w:tcPr>
            <w:tcW w:w="55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Offices</w:t>
            </w:r>
          </w:p>
        </w:tc>
        <w:tc>
          <w:tcPr>
            <w:tcW w:w="8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spacing w:after="0"/>
              <w:rPr>
                <w:sz w:val="19"/>
                <w:szCs w:val="19"/>
                <w:color w:val="auto"/>
              </w:rPr>
            </w:pPr>
          </w:p>
        </w:tc>
      </w:tr>
      <w:tr>
        <w:trPr>
          <w:trHeight w:val="228"/>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Houston, Texas*</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corporate office</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Hardware Solutions</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Rice Lake, Wisconsin</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Screens &amp; fenestration products</w:t>
            </w:r>
          </w:p>
        </w:tc>
      </w:tr>
      <w:tr>
        <w:trPr>
          <w:trHeight w:val="228"/>
        </w:trPr>
        <w:tc>
          <w:tcPr>
            <w:tcW w:w="5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Sioux Falls, South Dakota*</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Hardware products</w:t>
            </w:r>
          </w:p>
        </w:tc>
      </w:tr>
      <w:tr>
        <w:trPr>
          <w:trHeight w:val="228"/>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Budrio, Italy</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Hardware products</w:t>
            </w:r>
          </w:p>
        </w:tc>
      </w:tr>
      <w:tr>
        <w:trPr>
          <w:trHeight w:val="228"/>
        </w:trPr>
        <w:tc>
          <w:tcPr>
            <w:tcW w:w="5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Owatonna, Minnesota</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Hardware products</w:t>
            </w:r>
          </w:p>
        </w:tc>
      </w:tr>
      <w:tr>
        <w:trPr>
          <w:trHeight w:val="228"/>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Wolverhampton, United Kingdom*</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Hardware products</w:t>
            </w:r>
          </w:p>
        </w:tc>
      </w:tr>
      <w:tr>
        <w:trPr>
          <w:trHeight w:val="228"/>
        </w:trPr>
        <w:tc>
          <w:tcPr>
            <w:tcW w:w="5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Juarez, Mexico*</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Hardware products</w:t>
            </w:r>
          </w:p>
        </w:tc>
      </w:tr>
      <w:tr>
        <w:trPr>
          <w:trHeight w:val="228"/>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Monterrey, Mexico*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Hardware products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Extruded Solutions</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Derbyshire, United Kingdom*</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profiles</w:t>
            </w:r>
          </w:p>
        </w:tc>
      </w:tr>
      <w:tr>
        <w:trPr>
          <w:trHeight w:val="228"/>
        </w:trPr>
        <w:tc>
          <w:tcPr>
            <w:tcW w:w="5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Heinsberg, Germany*</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Glass spacers</w:t>
            </w:r>
          </w:p>
        </w:tc>
      </w:tr>
      <w:tr>
        <w:trPr>
          <w:trHeight w:val="228"/>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Kent, Washington*</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profiles</w:t>
            </w:r>
          </w:p>
        </w:tc>
      </w:tr>
      <w:tr>
        <w:trPr>
          <w:trHeight w:val="228"/>
        </w:trPr>
        <w:tc>
          <w:tcPr>
            <w:tcW w:w="5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Statesville, NC*</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Seals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Custom Solutions</w:t>
            </w:r>
          </w:p>
        </w:tc>
        <w:tc>
          <w:tcPr>
            <w:tcW w:w="5580" w:type="dxa"/>
            <w:vAlign w:val="bottom"/>
          </w:tcPr>
          <w:p>
            <w:pPr>
              <w:spacing w:after="0"/>
              <w:rPr>
                <w:sz w:val="19"/>
                <w:szCs w:val="19"/>
                <w:color w:val="auto"/>
              </w:rPr>
            </w:pPr>
          </w:p>
        </w:tc>
      </w:tr>
      <w:tr>
        <w:trPr>
          <w:trHeight w:val="228"/>
        </w:trPr>
        <w:tc>
          <w:tcPr>
            <w:tcW w:w="5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Cambridge, Ohio*</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Mixing solutions</w:t>
            </w:r>
          </w:p>
        </w:tc>
      </w:tr>
      <w:tr>
        <w:trPr>
          <w:trHeight w:val="234"/>
        </w:trPr>
        <w:tc>
          <w:tcPr>
            <w:tcW w:w="56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St. Cloud, Minnesota</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Wood solutions</w:t>
            </w:r>
          </w:p>
        </w:tc>
      </w:tr>
      <w:tr>
        <w:trPr>
          <w:trHeight w:val="358"/>
        </w:trPr>
        <w:tc>
          <w:tcPr>
            <w:tcW w:w="5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These locations are leased as of October 31, 2025.</w:t>
            </w:r>
          </w:p>
        </w:tc>
        <w:tc>
          <w:tcPr>
            <w:tcW w:w="5580" w:type="dxa"/>
            <w:vAlign w:val="bottom"/>
          </w:tcPr>
          <w:p>
            <w:pPr>
              <w:spacing w:after="0"/>
              <w:rPr>
                <w:sz w:val="24"/>
                <w:szCs w:val="24"/>
                <w:color w:val="auto"/>
              </w:rPr>
            </w:pPr>
          </w:p>
        </w:tc>
      </w:tr>
    </w:tbl>
    <w:p>
      <w:pPr>
        <w:spacing w:after="0" w:line="14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the locations identified above, our Hardware Solutions Segment maintains 27 additional facilities for the manufacture and distribution of engineered window and door hardware, screens, and other fenestration components, our Extruded Solutions Segment maintains 9 additional locations for the production of insulating-glass spacers, vinyl and composite profiles, and sealing solutions used in the fabrication of windows, doors, conservatories, roofs, and related building applications, and our Custom Solutions Segment maintains 16 additional locations to manufacture engineered product solutions across wood, metal, and elastomeric materials.</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our operating properties are in good condition and well maintained, and are generally suitable and adequate to carry on our business. In fiscal 2025, on a consolidated basis, our facilities operated at approximately 58% of machine capacity. This capacity utilization is subject to variability by product line, seasonality, location, labor shortages and supply chain interruptions.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Several claims have been resolved and we continue to defend the remaining claims. While we believe that our product was not defective and that we would prevail in these commercial sealant product claims if taken to trial, the timing, ultimate resolution and potential impact of these claims is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reserve for litigation loss contingencies that are both probable and reasonably estimable. We do not expect that losses resulting from any current legal proceedings will have a material adverse effect on our consolidated financial statements if or when such losses are incurred.</w:t>
      </w:r>
    </w:p>
    <w:p>
      <w:pPr>
        <w:spacing w:after="0" w:line="10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On September 19, 2025, a purported shareholder class action lawsuit against the Company and two of its officers was filed in federal court in the Southern District of Texas, titled Zanol v. Quanex Building Products Corporation et al, Case No. 4:25-cv-04453. The suit alleges certain violations of federal securities laws related to public disclosures made by the Company in 2025 principally related to our window and door operations in Mexico and seeks unspecified damages. While the ultimate outcome of any legal matter cannot be predicted with certainty, the Company strongly believes that this complaint is without merit, intends to vigorously defend itself and its officers against the allegations, and maintains insurance coverage for such matters. At present, the Company cannot reasonably estimate a range of loss, if any, for this action based on its early stage and the information available to the Company, and accordingly, the Company has not accrued any liability associated with this action.</w:t>
      </w:r>
    </w:p>
    <w:p>
      <w:pPr>
        <w:spacing w:after="0" w:line="13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For discussion of environmental issues, see Item 1, “Business - Environmental and Employee Safety Matters,” discussed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under the ticker symbol NX since April 24, 2008. Electronic copies of our public filings are available on the Securities and Exchange Commission's website (www.sec.gov). There were approximately 2,587 holders of our common stock (excluding individual participants in securities positions listings) on record as of December 3,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equity compensation to our employees, officers and directors under equity compensation plans as of October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4"/>
                <w:szCs w:val="14"/>
                <w:color w:val="auto"/>
              </w:rPr>
            </w:pPr>
          </w:p>
        </w:tc>
        <w:tc>
          <w:tcPr>
            <w:tcW w:w="17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9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1"/>
                <w:szCs w:val="11"/>
                <w:b w:val="1"/>
                <w:bCs w:val="1"/>
                <w:color w:val="auto"/>
              </w:rPr>
              <w:t>rights</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4"/>
                <w:szCs w:val="14"/>
                <w:b w:val="1"/>
                <w:bCs w:val="1"/>
                <w:color w:val="auto"/>
                <w:vertAlign w:val="superscript"/>
              </w:rPr>
              <w:t>(2)</w:t>
            </w:r>
          </w:p>
        </w:tc>
        <w:tc>
          <w:tcPr>
            <w:tcW w:w="22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282,250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2,255,404</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420" w:hanging="9"/>
        <w:spacing w:after="0" w:line="234" w:lineRule="auto"/>
        <w:tabs>
          <w:tab w:leader="none" w:pos="6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Column (a) includes securities that may be issued upon future vesting of performance restricted stock units that have been previously granted to key employees and officers. The number of securities reflected in this column includes the maximum number of shares that would be issued pursuant to these performance restricted stock units assuming the performance measures are achieved. The performance measures may not be achieved.</w:t>
      </w:r>
    </w:p>
    <w:p>
      <w:pPr>
        <w:spacing w:after="0" w:line="144" w:lineRule="exact"/>
        <w:rPr>
          <w:rFonts w:ascii="Times New Roman" w:cs="Times New Roman" w:eastAsia="Times New Roman" w:hAnsi="Times New Roman"/>
          <w:sz w:val="23"/>
          <w:szCs w:val="23"/>
          <w:color w:val="auto"/>
          <w:vertAlign w:val="superscript"/>
        </w:rPr>
      </w:pPr>
    </w:p>
    <w:p>
      <w:pPr>
        <w:jc w:val="both"/>
        <w:ind w:left="420" w:hanging="9"/>
        <w:spacing w:after="0" w:line="234" w:lineRule="auto"/>
        <w:tabs>
          <w:tab w:leader="none" w:pos="61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in column (b) does not include the impacts of the performance share awards or any securities that may be issued thereunder. For additional details, see Note 14, “Stock-Based Compensation,” of the accompanying financial statements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new program will be made in open market transactions or privately negotiated transactions, subject to market conditions, applicable legal requirements and other relevant factors. During the years ended October 31, 2025, 2024, and 2023, we purchased 1,709,119, zero, and 275,000 shares, respectively, at a cost of $32.4 million, zero, and $5.6 million, respectively, under these programs. As of October 31, 2025 we had a maximum of $30.4 million available to purchase shares under this program. This program does not have an expiration date or a limit on the number of shares that may be purchased.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following chart represents a comparison of the five year total return of our common stock to the Standard &amp; Poor’s 600 Building Products Industry Index (S&amp;P 600 Building Products), the Russell 2000 Index, and a peer group index selected by us, which includes companies offering similar products and services to ours. The companies in our peer group for the year ended October 31, 2025 are AAON Inc., American Woodmark Corporation, Apogee Enterprises Inc., Armstrong World Industries, CSW Industrials Inc., Fortune Brands, Gibraltar Industries Inc., Griffon Corporation, Hillenbrand, Inc., Insteel Industries Inc., JELD-WEN Holding, Inc., Kennametal Inc, L.B. Foster Company, Masonite International Corp., MasterBrand, Inc., Mueller Water Products, Inc., Resideo Technologies, Inc., Simpson Manufacturing Co., Inc., and 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95250</wp:posOffset>
            </wp:positionV>
            <wp:extent cx="5972810" cy="4829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72810" cy="482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INDEXED RETURNS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 Name / Index</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10/31/2025</w:t>
            </w: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Quanex Building Products Corporation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115.38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125.20</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153.72</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168.13</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600 Building Products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143.76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132.53</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148.27</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221.53</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248.52</w:t>
            </w: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150.80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122.84</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112.32</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150.59</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172.30</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140.46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97.90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109.74</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164.72</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based on our current assumptions, expectations, estimates and projections about our business and the homebuilding industry, and therefore, it should be read in conjunction with our consolidated financial statements and related notes thereto, as well as our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discussed elsewhere within this Annual Report on Form 10-K. Actual results could differ from our expectations due to several factors which include, but are not limited to: the impact of market price and demand for our products, economic and competitive conditions, capital expenditures, new technology, regulatory changes and other uncertainties. For a listing of potential risks and uncertainties which impact our business and industry, see “Item 1A. Risk Factors.” Unless otherwise required by law, we undertake no obligation to publicly update any forward-looking statements, even if new information becomes available or other events occur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are a leading manufacturer and component supplier to original equipment manufacturers (OEMs) in the building products industry, including window, door, solar, refrigeration, custom mixing, building access, and cabinetry markets. The majority of these components can be categorized as window and door components and kitchen and bath cabinet components. Examples of window and door components include energy-efficient flexible insulating glass spacers, extruded vinyl profiles, window and door screens, precision-formed metal and wood products, window and door seals, and window and door hardware. In addition, we provide certain other components and products, which include solar panel sealants, trim moldings, vinyl decking, water retention barriers, conservatory roof components, and commercial access solutions. We use cost-effective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locations in the U.K., Germany, Mexico, Canada, and Italy, as well as through sales and marketing efforts in other countries.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(the “Tyman Acquisition”), a company incorporated in England and Wales (“Tyman”). The aggregate consideration due pursuant to the Tyman Acquisition at closing comprised 14,139,477 newly issued Quanex common shares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132"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In connection with the Tyman acquisition, we re-evaluated our reportable segment presentation during the third quarter of 2025 and adjusted our segment structure to better align our business operations. As a result, we now report three reportable segments: Hardware Solutions, which provides window and door hardware and screens; Extruded Solutions, which supplies insulating glass spacers, vinyl window and door profiles, seals, and weatherstripping; and Custom Solutions, which provides wood, mixing, and building access solutions. 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each segment’s relative operating activity. The accounting policies of our operating segments are the same as those used to prepare our accompanying consolidated financial statements. Corporate general and administrative expenses allocated during the years ended October 31, 2025, 2024 and 2023 were $40.3 million, $27.3 million, and $23.5 million, respectively.</w:t>
      </w:r>
    </w:p>
    <w:p>
      <w:pPr>
        <w:spacing w:after="0" w:line="13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with LMI (the “LMI Acquisition”) and the equity owners of LMI, Lauren International, Ltd. and Meteor-US-Beteiligungs GMBH whereby we acquired substantially all of the operating assets comprising LMI’s polymer mixing and rubber compound production business and also assumed certain liabilities. LMI is included within our Custom Solutions reportable segment. As consideration for the LMI Acquisition, we paid $91.3 million in cash utilizing funds borrowed under our Credit Facility.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1" w:lineRule="exact"/>
        <w:rPr>
          <w:sz w:val="20"/>
          <w:szCs w:val="20"/>
          <w:color w:val="auto"/>
        </w:rPr>
      </w:pPr>
    </w:p>
    <w:p>
      <w:pPr>
        <w:jc w:val="both"/>
        <w:ind w:firstLine="403"/>
        <w:spacing w:after="0" w:line="273" w:lineRule="auto"/>
        <w:rPr>
          <w:sz w:val="20"/>
          <w:szCs w:val="20"/>
          <w:color w:val="auto"/>
        </w:rPr>
      </w:pPr>
      <w:r>
        <w:rPr>
          <w:rFonts w:ascii="Times New Roman" w:cs="Times New Roman" w:eastAsia="Times New Roman" w:hAnsi="Times New Roman"/>
          <w:sz w:val="17"/>
          <w:szCs w:val="17"/>
          <w:color w:val="auto"/>
        </w:rPr>
        <w:t>We restructured our reportable segments during the third quarter of 2025, which triggered the requirement to assess our goodwill for potential impairment. The testing of our goodwill resulted in a goodwill impairment of $302.3 million, in significant part driven by the prolonged decline in our stock price through the testing date as a result of weaker consumer confidence and high levels of uncertainty across the industry. Of the goodwill impairment amount recorded in the third quarter, $44.8 million relates to tax-deductible goodwill, the remaining charge was not deductible for tax purposes and no deferred tax asset was recognized. For additional discussion of our goodwill, see Note 7, “Goodwill and Intangibles.” For additional information and discussion of changes in reporting units and a summary of the change in the carrying amount of goodwill by segment, see Note 17, “Segment Information.”</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are monitoring the rapidly evolving tariff and global trade policies and we are working with our suppliers to mitigate potential impacts on our business. The extent and duration of the tariffs and the resulting impact on general economic conditions on our business are uncertain and depend on various factors, such as negotiations between the U.S. and affected countries, the responses of other countries or regions, exemptions that may be granted, availability and cost of alternative sources of supply and demand for our products in affected markets. While the tariff situation remains fluid, we generally expect to pass along costs associated with tariffs to our customers through contractual or pricing mechanisms.</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including the ongoing military conflicts in Ukraine and Gaza. Although the length and impact of these ongoing military conflicts remain unpredictable, the conflicts can continue to lead to market or operational disruptions, including significant volatility in commodity prices, credit and capital markets, as well as supply chain interruptions.</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Geopolitical tensions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R&amp;R activity, and published reports by Ducker Worldwide, LLC (Ducker), a consulting and research firm, with regard to window shipments in the U.S.</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In November 2025, the NAHB forecasted calendar-year housing starts (excluding manufactured units) to be 1.4 million in the 2025, 1.3 million in the 2026, and 1.4 million in the 2027 calendar-years. The November 2025 Ducker forecast indicated that window shipments in the R&amp;R market are expected to decrease approximately 5.2% and 1.9% in the calendar-years ended 2025 and 2026, respectively, and window shipments in the new construction market are expected to decrease 5.0% and 0.8% in the calendar-years ended 2025 and 2026, respectively, resulting in overall window shipment decline of 5.1% in 2025 and 1.4% in 2026. Derived from reports published by Ducker, overall window shipments decreased 3.9%, new construction activity decreased 5.3% and R&amp;R replacement decreased 2.6%, respectively, for the trailing twelve months ended September 30, 2025.</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Hardware Solutions segment manufactures engineered window and door hardware, screens, and other fenestration components primarily serving the residential and light-commercial building markets. The majority of segment revenue is generated in North America, and as such, domestic housing starts and R&amp;R activity remain the primary demand drivers. Long-term secular trends, including a structural undersupply of U.S. housing, an aging housing stock, and increasing home equity, are expected to support sustained demand for window and door replacement. Internationally, the segment serves a broad customer base of OEMs and distributors across Europe and Asia, where government incentives for energy efficiency and renovation activity are expected to support steady replacement demand over the medium term.</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Extruded Solutions segment manufactures insulating-glass spacers, vinyl and composite profiles, and sealing solutions used in the fabrication of windows, doors, conservatories, roofs, and related building applications. This segment operates across North America and Europe, and its results are influenced by housing starts, energy-efficiency standards, and renovation activity in those regions. In the U.S., demand for insulating-glass spacers and vinyl profiles is supported by increasing adoption of high-performance window systems that improve thermal performance. In the U.K. and continental Europe, our vinyl business serves window fabricators and distributors with a broad offering of vinyl extrusions, decking,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roofing systems. The European market continues to benefit from government-sponsored retrofit programs and EU directives targeting energy efficiency and sustainability in existing building stock.</w:t>
      </w:r>
    </w:p>
    <w:p>
      <w:pPr>
        <w:spacing w:after="0" w:line="10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Custom Solutions segment delivers a diverse range of engineered product solutions across wood, metal, and elastomeric materials that serve residential, commercial, and industrial end markets. The segment’s portfolio includes interior building components, specialty access systems, and custom-formulated compounds designed for highly technical applications. Demand for these products is driven by overall levels of construction and remodeling activity, as well as broader trends in manufacturing, infrastructure investment, and industrial production. The segment’s ability to offer customized, high-performance solutions tailored to specific customer requirements positions it to participate in both residential and commercial growth cycles, while providing diversification beyond traditional fenestration markets.</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business is seasonal, as inclement weather during the winter months tends to slow construction and installation activity for exterior building products.</w:t>
      </w:r>
    </w:p>
    <w:p>
      <w:pPr>
        <w:spacing w:after="0" w:line="55"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 window and door seals and tilt ‘n’ turn micro-ventilation products.</w:t>
      </w:r>
    </w:p>
    <w:p>
      <w:pPr>
        <w:spacing w:after="0" w:line="12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stainless steel, zinc,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and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October 31, 2025 and 2024</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consolidated results of operations for the twelve-month periods ended October 31, 2025 and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5"/>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1,837,641</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559,779</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44%</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366,175</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38%</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86,791</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46%</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43,116</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71%</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302,284</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w:t>
            </w:r>
          </w:p>
        </w:tc>
      </w:tr>
      <w:tr>
        <w:trPr>
          <w:trHeight w:val="22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(193,952)</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(248,778)</w:t>
            </w:r>
          </w:p>
        </w:tc>
        <w:tc>
          <w:tcPr>
            <w:tcW w:w="1560" w:type="dxa"/>
            <w:vAlign w:val="bottom"/>
            <w:tcBorders>
              <w:top w:val="single" w:sz="8" w:color="CCEEFF"/>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(454)%</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(35,219)</w:t>
            </w:r>
          </w:p>
        </w:tc>
        <w:tc>
          <w:tcPr>
            <w:tcW w:w="156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(171)%</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(9)%</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560" w:type="dxa"/>
            <w:vAlign w:val="bottom"/>
            <w:tcBorders>
              <w:bottom w:val="single" w:sz="8" w:color="CCEEFF"/>
            </w:tcBorders>
          </w:tcPr>
          <w:p>
            <w:pPr>
              <w:jc w:val="center"/>
              <w:ind w:left="151"/>
              <w:spacing w:after="0"/>
              <w:rPr>
                <w:sz w:val="20"/>
                <w:szCs w:val="20"/>
                <w:color w:val="auto"/>
              </w:rPr>
            </w:pPr>
            <w:r>
              <w:rPr>
                <w:rFonts w:ascii="Times New Roman" w:cs="Times New Roman" w:eastAsia="Times New Roman" w:hAnsi="Times New Roman"/>
                <w:sz w:val="18"/>
                <w:szCs w:val="18"/>
                <w:color w:val="auto"/>
                <w:w w:val="99"/>
              </w:rPr>
              <w:t>9%</w:t>
            </w:r>
          </w:p>
        </w:tc>
      </w:tr>
      <w:tr>
        <w:trPr>
          <w:trHeight w:val="24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(283,865)</w:t>
            </w:r>
          </w:p>
        </w:tc>
        <w:tc>
          <w:tcPr>
            <w:tcW w:w="1560" w:type="dxa"/>
            <w:vAlign w:val="bottom"/>
            <w:tcBorders>
              <w:bottom w:val="single" w:sz="8" w:color="CCEEFF"/>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(859)%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year-over-year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Hardware Solutions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841,674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427,839</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413,835</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635,481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349,379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286,102</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128,009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51,564</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76,445</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148%</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51,681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16,580</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35,101</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212%</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163,198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163,198</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(144,631)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(154,947)</w:t>
            </w:r>
          </w:p>
        </w:tc>
        <w:tc>
          <w:tcPr>
            <w:tcW w:w="1540" w:type="dxa"/>
            <w:vAlign w:val="bottom"/>
            <w:tcBorders>
              <w:top w:val="single" w:sz="8" w:color="CCEEFF"/>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(1,502)%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444"/>
        <w:spacing w:after="0" w:line="260"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$413.8 million, or 97%, for the twelve months ended October 31, 2025 compared to the same period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driven by $411.5 million of incremental sales from the Tyman acquisition, as well as a $4.6 million increase attributable to price and raw material index adjustments, and a $2.5 million favorable impact from foreign currency rate change. These increases were partially offset by a $4.8 million decrease in volumes, reflecting softer market demand driven by weaker consumer confidence.</w:t>
      </w:r>
    </w:p>
    <w:p>
      <w:pPr>
        <w:spacing w:after="0" w:line="124"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$286.1 million, or 82%, for the twelve months ended October 31, 2025 compared to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sales, including labor, increased primarily due to the inclusion of Tyman’s operations, as well as inflationary increases in raw materials, pricing impacts, and foreign currency movement. These increases were partially offset by lower volumes during the period.</w:t>
      </w:r>
    </w:p>
    <w:p>
      <w:pPr>
        <w:spacing w:after="0" w:line="121"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selling, general and administrative expenses increased by $76.4 million, or 148%, for the twelve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October 31, 2025 compared to the same period in 2024. This increase is primarily due to increases in labor costs and other miscellaneous selling and general administrative costs related to the acquisition of the Tyman business costs year-over-year.</w:t>
      </w:r>
    </w:p>
    <w:p>
      <w:pPr>
        <w:spacing w:after="0" w:line="121"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Restructuring charges of $7.9 million incurred during the year ended October 31, 2025 primarily relate to the restructuring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operating segments. For additional discussion of the structuring, see the “restructuring” section of Note 1, “Nature of Operations, Basis of Presentation and Significant Accounting Policies”.</w:t>
      </w:r>
    </w:p>
    <w:p>
      <w:pPr>
        <w:spacing w:after="0" w:line="94"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Goodwill impairment charges. </w:t>
      </w:r>
      <w:r>
        <w:rPr>
          <w:rFonts w:ascii="Times New Roman" w:cs="Times New Roman" w:eastAsia="Times New Roman" w:hAnsi="Times New Roman"/>
          <w:sz w:val="18"/>
          <w:szCs w:val="18"/>
          <w:color w:val="auto"/>
        </w:rPr>
        <w:t>Goodwill impairment charges of $163.2 million relate to goodwill impairment incurred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2025. For additional discussion of our goodwill, see Note 7, “Goodwill and Intangibles.” For additional information and discussion of changes in reporting units and a summary of the change in the carrying amount of goodwill by segment, see Note 17, “Segment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Extruded Solutions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646,627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559,995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440,141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389,760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83,716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58,100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29,204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25,119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54,934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54,934</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38,598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87,016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540" w:type="dxa"/>
            <w:vAlign w:val="bottom"/>
            <w:tcBorders>
              <w:top w:val="single" w:sz="8" w:color="CCEEFF"/>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$86.6 million, or 15%, when comparing the twelve months ended October 31,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was primarily driven by $115.4 million of incremental sales from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Tyman acquisition and a $5.4 million favorable impact from foreign currency rate change. These increases were partially offset by a $32.5 million decline in volumes, reflecting softer demand in certain end markets, and a $1.7 million decrease related to price and surcharge activity.</w:t>
      </w:r>
    </w:p>
    <w:p>
      <w:pPr>
        <w:spacing w:after="0" w:line="106"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increased $50.4 million, or 13%, for the twelve months ended October 31, 2025 compared to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sales increased primarily due to the inclusion of Tyman’s operations and inflationary pressures on raw materials and foreign currency impacts. These increases were partially offset by lower production volumes during the period.</w:t>
      </w:r>
    </w:p>
    <w:p>
      <w:pPr>
        <w:spacing w:after="0" w:line="121"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increased $25.6 million, or 44%,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2025 compared to the same period in 2024. The increase is primarily due to increases in labor costs and other miscellaneous selling and general administrative costs related to the acquisition of the Tyman business costs year-over-year.</w:t>
      </w:r>
    </w:p>
    <w:p>
      <w:pPr>
        <w:spacing w:after="0" w:line="121"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Goodwill impairment charges. </w:t>
      </w:r>
      <w:r>
        <w:rPr>
          <w:rFonts w:ascii="Times New Roman" w:cs="Times New Roman" w:eastAsia="Times New Roman" w:hAnsi="Times New Roman"/>
          <w:sz w:val="18"/>
          <w:szCs w:val="18"/>
          <w:color w:val="auto"/>
        </w:rPr>
        <w:t>Goodwill impairment charges of $54.9 million relate to goodwill impairment incurred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2025. For additional discussion of our goodwill, see Note 7, “Goodwill and Intangibles.” For additional information and discussion of changes in reporting units and a summary of the change in the carrying amount of goodwill by segment, see Note 17, “Segment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 Solutions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388,210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309,441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78,769</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298,316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252,111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46,205</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48,273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31,068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18,348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84,152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84,152</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(63,984)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7,914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(71,898)</w:t>
            </w:r>
          </w:p>
        </w:tc>
        <w:tc>
          <w:tcPr>
            <w:tcW w:w="1540" w:type="dxa"/>
            <w:vAlign w:val="bottom"/>
            <w:tcBorders>
              <w:top w:val="single" w:sz="8" w:color="CCEEFF"/>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(908)%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444"/>
        <w:spacing w:after="0" w:line="260"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$78.8 million, or 25%, for the twelve months ended October 31, 2025 compared to the same period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attributable to $74.1 million of incremental sales from the Tyman acquisition, as well as a $6.9 million increase in pricing and surcharge activity and a $0.2 million favorable foreign currency rate change. These increases were partially offset by a $2.4 million decline in volumes driven by softer customer demand.</w:t>
      </w:r>
    </w:p>
    <w:p>
      <w:pPr>
        <w:spacing w:after="0" w:line="111"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increased $46.2 million, or 18%, for the twelve months ended October 31, 2025 compared to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the addition of Tyman’s operations, as well as higher raw material prices and pricing-related cost impacts. These increases were partially offset by reduced volumes in the period.</w:t>
      </w:r>
    </w:p>
    <w:p>
      <w:pPr>
        <w:spacing w:after="0" w:line="94"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increased $17.2 million, or 55%,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2025 compared to the same period in 2024. The increase is primarily due to increases in labor costs and other miscellaneous selling and general administrative costs related to the acquisition of the Tyman business costs year-over-year.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Goodwill impairment charges. </w:t>
      </w:r>
      <w:r>
        <w:rPr>
          <w:rFonts w:ascii="Times New Roman" w:cs="Times New Roman" w:eastAsia="Times New Roman" w:hAnsi="Times New Roman"/>
          <w:sz w:val="18"/>
          <w:szCs w:val="18"/>
          <w:color w:val="auto"/>
        </w:rPr>
        <w:t>Goodwill impairment charges of $84.2 million relate to goodwill impairment incurred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2025. For additional discussion of our goodwill, see Note 7, “Goodwill and Intangibles.” For additional information and discussion of changes in reporting units and a summary of the change in the carrying amount of goodwill by segment, see Note 17,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5"/>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5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87%</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(65)%</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367%</w:t>
            </w: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(50,420)</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15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twelve months ended October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69" w:lineRule="exact"/>
        <w:rPr>
          <w:sz w:val="20"/>
          <w:szCs w:val="20"/>
          <w:color w:val="auto"/>
        </w:rPr>
      </w:pPr>
    </w:p>
    <w:p>
      <w:pPr>
        <w:jc w:val="both"/>
        <w:ind w:firstLine="444"/>
        <w:spacing w:after="0" w:line="260"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unallocated expenses decreased $32.5 million, or 65%, for the twelve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October 31, 2025 compared to the same period in 2024. This decrease is primarily attributable to a decrease in transaction and advisory fees and lower compensation expense, including the valuations of our stock-based compensation awards, partially offset by an increase in restructuring costs and medical expenses year-over-year.</w:t>
      </w:r>
    </w:p>
    <w:p>
      <w:pPr>
        <w:spacing w:after="0" w:line="124"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Restructuring charges of $2.0 million incurred during the year ended October 31, 2025 primarily relate to the restructuring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operating segments. For additional discussion of the structuring, see the “restructuring” section of Note 1, “Nature of Operations, Basis of Presentation and Significant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104"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$35.2 million, or 171%, for the twelve months ended October 31,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as result of an increase in borrowings related to the Tyman acquisition during the year ended October 31, 2025 compared to the prior year period.</w:t>
      </w:r>
    </w:p>
    <w:p>
      <w:pPr>
        <w:spacing w:after="0" w:line="121" w:lineRule="exact"/>
        <w:rPr>
          <w:sz w:val="20"/>
          <w:szCs w:val="20"/>
          <w:color w:val="auto"/>
        </w:rPr>
      </w:pPr>
    </w:p>
    <w:p>
      <w:pPr>
        <w:jc w:val="both"/>
        <w:ind w:right="20"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income decreased $0.7 million for the twelve months ended October 31, 2025 compared to other income in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is primarily due to foreign currency derivative gains which occurred in the prior year partially offset by an increase in currency transaction gains in the current year.</w:t>
      </w:r>
    </w:p>
    <w:p>
      <w:pPr>
        <w:spacing w:after="0" w:line="67" w:lineRule="exact"/>
        <w:rPr>
          <w:sz w:val="20"/>
          <w:szCs w:val="20"/>
          <w:color w:val="auto"/>
        </w:rPr>
      </w:pPr>
    </w:p>
    <w:p>
      <w:pPr>
        <w:jc w:val="both"/>
        <w:ind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$8.2 million on pre-tax loss of $242.6 million for the twelve months ended October 31, 2025,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3.4%, and income tax expense of $9.0 million on pre-tax income of $42.1 million for the twelve months ended October 31, 2024, an effective rate of 21.4%. The October 31, 2025 effective rate is lower than the U.S. federal statutory rate of 21% primarily due to the impact of the goodwill impairment, U.K. patent box benefit, foreign tax credit, and change in the valuation allowance. The effective rate for the twelve months ended October 31, 2024 was impacted due to state and local income tax, non U.S. income inclusion, and nondeductible expenses, offset by the U.K. patent box benefit, foreign tax credit, and change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October 31, 2024 and 2023</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consolidated results of operations for the twelve-month periods ended October 31,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5"/>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13%</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119,179</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14%</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66,513</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54%</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1560" w:type="dxa"/>
            <w:vAlign w:val="bottom"/>
            <w:tcBorders>
              <w:bottom w:val="single" w:sz="8" w:color="CCEEFF"/>
            </w:tcBorders>
          </w:tcPr>
          <w:p>
            <w:pPr>
              <w:jc w:val="center"/>
              <w:ind w:left="151"/>
              <w:spacing w:after="0"/>
              <w:rPr>
                <w:sz w:val="20"/>
                <w:szCs w:val="20"/>
                <w:color w:val="auto"/>
              </w:rPr>
            </w:pPr>
            <w:r>
              <w:rPr>
                <w:rFonts w:ascii="Times New Roman" w:cs="Times New Roman" w:eastAsia="Times New Roman" w:hAnsi="Times New Roman"/>
                <w:sz w:val="18"/>
                <w:szCs w:val="18"/>
                <w:color w:val="auto"/>
                <w:w w:val="96"/>
              </w:rPr>
              <w:t>41%</w:t>
            </w: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(55,875)</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7"/>
              </w:rPr>
              <w:t>(50)%</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56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(153)%</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5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(242)%</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560" w:type="dxa"/>
            <w:vAlign w:val="bottom"/>
            <w:tcBorders>
              <w:bottom w:val="single" w:sz="8" w:color="CCEEFF"/>
            </w:tcBorders>
          </w:tcPr>
          <w:p>
            <w:pPr>
              <w:jc w:val="center"/>
              <w:ind w:left="151"/>
              <w:spacing w:after="0"/>
              <w:rPr>
                <w:sz w:val="20"/>
                <w:szCs w:val="20"/>
                <w:color w:val="auto"/>
              </w:rPr>
            </w:pPr>
            <w:r>
              <w:rPr>
                <w:rFonts w:ascii="Times New Roman" w:cs="Times New Roman" w:eastAsia="Times New Roman" w:hAnsi="Times New Roman"/>
                <w:sz w:val="18"/>
                <w:szCs w:val="18"/>
                <w:color w:val="auto"/>
                <w:w w:val="96"/>
              </w:rPr>
              <w:t>38%</w:t>
            </w:r>
          </w:p>
        </w:tc>
      </w:tr>
      <w:tr>
        <w:trPr>
          <w:trHeight w:val="24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(49,442)</w:t>
            </w:r>
          </w:p>
        </w:tc>
        <w:tc>
          <w:tcPr>
            <w:tcW w:w="156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7"/>
              </w:rPr>
              <w:t>(60)%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Hardware Solutions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427,839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296,959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130,880</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349,379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239,505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51,564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21,608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139%</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16,580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3,968</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54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w w:val="99"/>
              </w:rPr>
              <w:t>318%</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31,878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54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20"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$130.9 million, or 44%, for the twelve months ended October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increase of $148.5 million related to the acquisition of the Tyman business and a $5.3 million increase in price and raw material indexes, partially offset by a $22.9 million decrease in volumes mainly due to softer market demand driven by weaker consumer confidence.</w:t>
      </w:r>
    </w:p>
    <w:p>
      <w:pPr>
        <w:spacing w:after="0" w:line="121"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$109.9 million, or 46%, for the twelve months ended October 31, 2024 compared to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sales, including labor, increased primarily due to the acquisition of the Tyman business and pricing and inflation of raw materials during the period partially offset by a decrease in volumes.</w:t>
      </w:r>
    </w:p>
    <w:p>
      <w:pPr>
        <w:spacing w:after="0" w:line="121"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selling, general and administrative expenses increased by $30.0 million, or 139%, for the twelve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October 31, 2024 compared to the same period in 2023. This increase was primarily due to increases in labor costs and other miscellaneous selling, general administrative costs related to the acquisition of the Tyman business costs year-over-year.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Extruded Solutions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559,995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544,585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389,760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378,791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5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58,100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62,349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25,119</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22,351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54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87,016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81,094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540" w:type="dxa"/>
            <w:vAlign w:val="bottom"/>
            <w:tcBorders>
              <w:bottom w:val="single" w:sz="8" w:color="CCEEFF"/>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444"/>
        <w:spacing w:after="0" w:line="260"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$15.4 million, or 3%, when comparing the twelve months ended October 31, 2024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which was primarily driven by an increase of $38.5 million related to the acquisition of the Tyman business and a $2.5 million of favorable foreign currency rate change, partially offset by a $20.0 million decrease in volumes mainly due to softer market demand driven by weaker consumer confidence and a $6.0 million decrease in price and raw material indexes.</w:t>
      </w:r>
    </w:p>
    <w:p>
      <w:pPr>
        <w:spacing w:after="0" w:line="124"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increased $11.0 million, or 3%, for the twelve months ended October 31, 2024 compared to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sales increased primarily due to the acquisition of the Tyman business and foreign currency impacts; partially offset by decreases in volumes, pricing and deflation of raw materials during the period.</w:t>
      </w:r>
    </w:p>
    <w:p>
      <w:pPr>
        <w:spacing w:after="0" w:line="121" w:lineRule="exact"/>
        <w:rPr>
          <w:sz w:val="20"/>
          <w:szCs w:val="20"/>
          <w:color w:val="auto"/>
        </w:rPr>
      </w:pPr>
    </w:p>
    <w:p>
      <w:pPr>
        <w:jc w:val="both"/>
        <w:ind w:firstLine="444"/>
        <w:spacing w:after="0" w:line="260"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decreased $4.2 million, or 7%,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2024 compared to the same period in 2023. The decrease was primarily due the gain on disposition of capital assets during the twelve months ended October 31, 2024 partially offset by increases in labor costs and other miscellaneous selling, general and administrative costs related to the acquisition of the Tyman business costs year-over-year.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 Solutions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309,441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298,361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252,111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244,026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5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31,068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24,834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18,348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16,277</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54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7,914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13,224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54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$11.1 million, or 4%, for the twelve months ended October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increase of $25.8 million related to the acquisition of the Tyman business, partially offset by an $11.2 million decrease in volumes mainly due to softer market demand driven by weaker consumer confidence and a $3.5 million decrease in price and raw material indexes.</w:t>
      </w:r>
    </w:p>
    <w:p>
      <w:pPr>
        <w:spacing w:after="0" w:line="107"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increased $8.1 million, or 3%, for the twelve months ended October 31, 2024 compared to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sales increased primarily as a result of the acquisition of the Tyman business, partially offset by a decrease in volumes, and the decrease in pricing and inflation of raw materials during the period.</w:t>
      </w:r>
    </w:p>
    <w:p>
      <w:pPr>
        <w:spacing w:after="0" w:line="107"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increased $6.2 million, or 25%,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2024 compared to the same period in 2023. The increase was primarily due to increases in labor costs and other miscellaneous selling, general administrative costs related to the acquisition of the Tyman business costs year-over-year.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5"/>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108%</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5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105%</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34,572</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228%</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w w:val="99"/>
              </w:rPr>
              <w:t>4%</w:t>
            </w:r>
          </w:p>
        </w:tc>
      </w:tr>
      <w:tr>
        <w:trPr>
          <w:trHeight w:val="24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(34,925)</w:t>
            </w:r>
          </w:p>
        </w:tc>
        <w:tc>
          <w:tcPr>
            <w:tcW w:w="1560" w:type="dxa"/>
            <w:vAlign w:val="bottom"/>
            <w:tcBorders>
              <w:bottom w:val="single" w:sz="8" w:color="CCEEFF"/>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225%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22" w:lineRule="exact"/>
        <w:rPr>
          <w:sz w:val="20"/>
          <w:szCs w:val="20"/>
          <w:color w:val="auto"/>
        </w:rPr>
      </w:pPr>
    </w:p>
    <w:p>
      <w:pPr>
        <w:ind w:right="20"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twelve months ended October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02"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unallocated expenses increased $34.6 million, or 228%, for the twelve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October 31, 2024 compared to the same period in 2023. This increase is primarily attributable to an increase in transaction fees year-over-year.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212" w:lineRule="exact"/>
        <w:rPr>
          <w:sz w:val="20"/>
          <w:szCs w:val="20"/>
          <w:color w:val="auto"/>
        </w:rPr>
      </w:pPr>
    </w:p>
    <w:p>
      <w:pPr>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$12.5 million, or 153%, for the twelve months ended October 31, 2024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as result of an increase in borrowings outstanding during the year ended October 31, 2024 compared to the prior year period.</w:t>
      </w:r>
    </w:p>
    <w:p>
      <w:pPr>
        <w:spacing w:after="0" w:line="105"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income increased $13.4 million for the twelve months ended October 31, 2024 compared to other loss in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is primarily due to an increase in foreign currency derivative gains and a decrease in expenses incurred for pension termination in the prior year.</w:t>
      </w:r>
    </w:p>
    <w:p>
      <w:pPr>
        <w:spacing w:after="0" w:line="67" w:lineRule="exact"/>
        <w:rPr>
          <w:sz w:val="20"/>
          <w:szCs w:val="20"/>
          <w:color w:val="auto"/>
        </w:rPr>
      </w:pPr>
    </w:p>
    <w:p>
      <w:pPr>
        <w:jc w:val="both"/>
        <w:ind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$9.0 million on pre-tax income of $42.1 million for the twelve months ended October 31, 2024,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21.4%, and income tax expense of $14.5 million on pre-tax income of $97.0 million for the twelve months ended October 31, 2023, an effective rate of 15.0%. The October 31, 2024 effective rate is higher than the U.S. federal statutory rate of 21% primarily due to state and local income tax, non U.S. income inclusion, and nondeductible expenses, offset by the U.K. patent box benefit, foreign tax credit, and change in the valuation allowance. The effective rate for the twelve months ended October 31, 2023 was impacted due to the U.K. patent box benefit, tax return to accrual adjustments, and changes in uncertain tax positions, offset by state and local income tax, non U.S. income tax and nondeductible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 As of October 31, 2025, we had $76.0 million of cash and cash equivalents, $641.3 million outstanding under our credit facilities, $6.2 million of outstanding letters of credit and $62.6 million outstanding leases under finance leases and other debt. Of the $62.6 million outstanding under finance leases and other debt, $56.4 million relates to real estate leases. We had $296.3 million available for use under a revolving credit facility at October 31, 2025.</w:t>
      </w:r>
    </w:p>
    <w:p>
      <w:pPr>
        <w:spacing w:after="0" w:line="7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On August 1, 2024, the Amended Credit Agreement increased our borrowing capacity and established a $475 million revolving credit facility and a $500 million term loan A facility, each maturing on August 1, 2029. During fiscal 2025, we remained in compliance with all covenants under this agreement. Additional information regarding the Facilities is included in Note 9, "Debt", to the consolidated financial statements.</w:t>
      </w:r>
    </w:p>
    <w:p>
      <w:pPr>
        <w:spacing w:after="0" w:line="6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weighted average interest rate of borrowings outstanding for the twelve-month periods ended October 31, 2025 and 2024 was 6.83% and 7.20%, respectively. We were in compliance with our debt covenants as of October 31, 2025. For additional details of the Revolving Credit Facility, see Note 9, “Debt,” included elsewhere within this Annual Report on Form 10-K.</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years ended October 31, 2025, 2024, and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0"/>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299"/>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164,897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88,812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147,052</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(62,008)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(420,594)</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(128,439)</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(127,480)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385,156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w:t>
            </w:r>
          </w:p>
        </w:tc>
      </w:tr>
    </w:tbl>
    <w:p>
      <w:pPr>
        <w:spacing w:after="0" w:line="237" w:lineRule="exact"/>
        <w:rPr>
          <w:sz w:val="20"/>
          <w:szCs w:val="20"/>
          <w:color w:val="auto"/>
        </w:rPr>
      </w:pPr>
    </w:p>
    <w:p>
      <w:pPr>
        <w:jc w:val="both"/>
        <w:ind w:right="20" w:firstLine="444"/>
        <w:spacing w:after="0" w:line="280" w:lineRule="auto"/>
        <w:rPr>
          <w:sz w:val="20"/>
          <w:szCs w:val="20"/>
          <w:color w:val="auto"/>
        </w:rPr>
      </w:pPr>
      <w:r>
        <w:rPr>
          <w:rFonts w:ascii="Times New Roman" w:cs="Times New Roman" w:eastAsia="Times New Roman" w:hAnsi="Times New Roman"/>
          <w:sz w:val="18"/>
          <w:szCs w:val="18"/>
          <w:color w:val="auto"/>
        </w:rPr>
        <w:t>Our cash flow analysis for the fiscal years ended October 31, 2024 and 2023 for the prior year comparative periods can be found in the annual report on Form 10-K for the year ended October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increased $76.1 million for the year ended October 31, 2025 compared to the year ended October 31, 2024. This increase is attributable to the increase in net income, excluding the impact of non-cash items such as goodwill impairment charges and depreciation and amortization expense, partially offset by unfavorable changes in working capital. Changes in working capital were net favorable, driven by an increase in accounts payable, lower inventory levels, and an increase in income taxes payable. These movements were partially offset by increases in accounts receivable and other current assets, and lower accrued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Cash used for investing activities for the year ended October 31, 2025 decreased by $358.6 million compared to the year ended October 31, 2024, primarily as a result of the acquisition of Tyman in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Cash used for financing activities for the year ended October 31, 2025 was $127.5 million primarily due to the repayment of long term debt and the purchase of treasury stock shares compared to cash provided by $385.2 million for the year ended October 31, 2024, primarily as a result of finance opportunities in relation to the acquisition of Tyman in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We maintain cash balances in foreign countries which totaled $46.9 million and $44.0 million as of October 31, 2025 and 2024. During the years ended October 31, 2025 and 2024, we repatriated $55.4 million and $49.2 million, respectively, of foreign earnings from our international divisions.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that we have sufficient funds and adequate financial resources available to meet our anticipated liquidity needs. We expect to use our cash flow from operations to fund operations for the next twelve months and the foreseeable future. We believe these funds should be adequate to provide for our working capital requirements, capital expenditures, and dividends, while continuing to meet our debt service requirements.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Loan Facility</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maintain our $475 million Revolving Credit Facility and $500 million Term A Facility with Wells Fargo Bank acting as agent, swingline lender and issuing lender. The Revolving Credit Facility includes alternative currency, letter of credit, and swing-line sub-facilities of $100 million, $30 million, and $15 million, respectively. The maturity date of the Facilities will be five years after the acquisition effective date, maturing on August 1, 2029.</w:t>
      </w:r>
    </w:p>
    <w:p>
      <w:pPr>
        <w:spacing w:after="0" w:line="6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to 2.75% for Adjusted Term SOFR loans. In addition, we are subject to commitment fees for the unused portion of the Revolving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provides for revolving credit commitments for a minimum principal amount of $10.0 million, up to an aggregate amount of $310.0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$35.0 million per year) and to conduct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pledged as collateral for the Credit Facility.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71"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During December 2021, our Board of Directors approved a new stock repurchase program that authorized the repurchase of up to $75.0 million worth of shares of our common stock. During the years ended October 31, 2025, 2024 and 2023, we purchased 1,709,119, zero and 275,000 shares, respectively, at a cost of $32.4 million, zero and $5.6 million, respectively, under this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the following are the most critical accounting policies used in the preparation of our consolidated financial statements as well as the significant judgments and uncertainties affecting the application of these policies. We consider an estimate to be critical if it is subjective and if changes in the estimate using different assumptions would result in a material impact to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 Contingencies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in accordance with U.S. GAAP, which requires us to make use of estimates and judgments to allocate the purchase price paid for acquisitions to the fair value of the net assets and liabilities acquired.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reasonable measurement period to record any adjustment related to the opening balance sheet (one year or less). After the measurement period, changes to the opening balance sheet can result in the recognition of income or expense as period costs. If our purchase accounting estimates are not correct, or if we do not recognize contingent liabilities within the measurement period, we may incur losses.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make judgments and estimates in conjunction with the carrying value of our long-term assets, including property, plant and equipment, and identifiable intangibles. These judgments may include the basis for capitalization, depreciation and amortization methods and the useful lives of the underlying assets. In accordance with U.S. GAAP, we review the carrying values of these assets for impairment whenever events or changes in circumstances indicate that the carrying value may not be recoverable. We determine that the carrying amount is not recoverable if it exceeds the sum of the undiscounted cash flows expected to result from the use and eventual disposition of the asset. If the carrying value exceeds the sum of the undiscounted cash flows and after considering alternate uses for the asset, an impairment charge would be recorded in the period in which such review is performed. We measure the impairment loss as the amount by which the carrying amount of the long-lived asset exceeds its fair value. Fair value is determined by reference to quoted market prices in active markets, if available, or by calculating the discounted cash flows associated with the use and eventual disposition of the asset. Therefore, if there are indicators of impairment, we are required to make long-term forecasts of our future revenues and costs related to the assets subject to review. Forecasts require assumptions about demand for our products and future market conditions. Although there may be no indicators of impairment in the current period, unanticipated changes to assumptions or circumstances in future periods could result in an impairment charge in the period of the change.</w:t>
      </w:r>
    </w:p>
    <w:p>
      <w:pPr>
        <w:spacing w:after="0" w:line="13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intangibles. Events and changes in circumstances that may cause a triggering event and necessitate such a review include, but are not limited to: a decrease in sales for certain customers, improvements or changes in technology, and/or a decision to phase-out a trademark or trade name. Such events could negatively impact the carrying value of our identifiable intangibles. It is possible that changes in such circumstances or in the numerous variables associated with the judgments, assumptions, and estimates made by us in assessing the appropriate valuation of our identifiable intangibles could require us to further write down a portion of our identifiable intangibles and record related non-cash impairment charges in the future. We apply a variety of techniques to establish the carrying value of our intangible assets, including the relief from royalty and excess current year earnings methods.</w:t>
      </w:r>
    </w:p>
    <w:p>
      <w:pPr>
        <w:spacing w:after="0" w:line="136"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As discussed in the “Goodwill” and “Restructuring” sections of our “Nature of Operations and Basis of Presentation” in Note 1, we restructured our reportable segments during the third quarter of 2025, which triggered the requirement to assess our recorded goodwill by reporting unit for potential impairment. The evaluation resulted in an impairment charge primarily associated with the decline in our stock price through the assessment date. Taking into consideration our recent stock price trajectory, we again assessed our remaining recorded goodwill for potential impairment during the fourth quarter of 2025, and concluded that an impairment of goodwill had not occurred. We did not record any impairment charges related to property, plant and equipment or intangible assets with defined lives as a result of either impairment analyses. There were no other indicators of triggering events noted for any period in the years ended October 31, 2025, 2024 and 2023. Therefore, we did not record an impairment charge related to property, plant and equipment or intangible assets with defined lives during the years ended October 31, 2025,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3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In connection with the restructuring of our operating segments during the third quarter of 2025, we reassigned goodwill among certain of our reporting units using a relative fair value approach and performed a quantitative goodwill impairment test on all reporting units to determine if any impairment existed. To estimate the fair value of our reporting units, we first applied the discounted cash flow method under the income approach. While the income approach did not initially indicate an impairment, as required, we then applied the market approach. As a result of the prolonged decline in our stock price through the assessment date, driven by broader macroeconomic conditions, including weaker consumer confidence and high levels of uncertainty across the industry, the resulting fair value attributed to certain reporting units was lower than their carrying value, necessitating the recognition of a non-cash goodwill impairment charge of $302.3 million, which was recorded in the consolidated statements of income within “Goodwill impairment charges” for the nine months ended July 31, 2025.</w:t>
      </w:r>
    </w:p>
    <w:p>
      <w:pPr>
        <w:spacing w:after="0" w:line="136"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At our annual testing date, August 31, 2025, we had seven reporting units with goodwill balances: two reporting units included in our Hardware Solutions operating segment, three reporting units included in our Extruded Solutions operating segment, and two reporting units included in our Custom Solutions operating segment. We performed a qualitative assessment for all reporting units. This review included an analysis of historical goodwill test results, operating results relative to forecast, projected results over the next five years, and other measures and concluded that there were no indicators of potential impairment associated with these reporting units.</w:t>
      </w:r>
    </w:p>
    <w:p>
      <w:pPr>
        <w:spacing w:after="0" w:line="132"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At September 30, 2025, taking into consideration the most recent stock price trajectory, we again assessed our goodwill for potential impairment. Changes in certain assumptions could have a significant impact on the impairment tests for goodwill. The most critical assumptions are projected future growth rates, EBITDA margin, terminal growth rate, discount rate selection, peer group determination and market multiples. These assumptions are subject to change as the Company's long-term plans and strategies are updated each year. At September 30, 2025, each reporting unit's fair value exceeded the carrying value of the reporting unit, and as such, there is no goodwill impairment. However, the quantitative analysis of goodwill for one reporting unit indicated that the cushion between its estimated fair value and carrying value was less than 10%. Goodwill associated with the reporting unit at October 31, 2025 is $12.0 million. The estimated fair value determination requires judgment and is sensitive to changes in the underlying assumptions discussed above. Accordingly, if current cash flow assumptions are not realized or other macroeconomic factors adversely impact other assumptions, it is possible that an impairment charge may be recorded in the future. For additional discussion of the restructuring and goodwill, see the “Restructuring” and “Goodwill” sections of Note 1, “Nature of Operations, Basis of Presentation and Significant Accounting Policies.”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operate in various jurisdictions and therefore our income tax expense relates primarily to income taxes in the U.S. and the U.K., as well as local, state and foreign income taxes. We recognize the effect of a change in tax rates in the period of the change. We record the estimated future tax effects of temporary differences between the tax basis of assets and liabilities and the amounts reported in our consolidated balance sheets, as well as net operating losses and tax credit carry forward. We evaluate the carrying value of our net deferred tax assets and determine if our business will generate sufficient future taxable income to realize the net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We evaluate recoverability based on an estimate of future taxable income using the long-term forecasts we use to evaluate long-lived assets, goodwill and intangible assets for impairment, taking into consideration the future reversal of existing taxable temporary differences and reviewing our current financial operations. The company classifies interest on income tax as income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tax expense and classifies penalties on income tax as other expenses. In the event that our estimates and assumptions indicate we will not generate sufficient future taxable income to realize our deferred tax assets, we will record a valuation allowance, to the extent indicated, to reduce our deferred tax assets to their realizable value.</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Annually, we evaluate our tax positions to determine if there have been any changes in uncertain tax positions or if there has been a lapse in the statute of limitations with regard to such positions. As of October 31, 2025 and 2024 our liability for uncertain tax positions was $0.7 million and zero, respectively. The unrecognized tax benefits for 2025 primarily relate to transfer pricing matters.</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believe we will have sufficient taxable income in the future to fully utilize our deferred tax assets recorded as of October 31, 2025, net of our valuation allowance. There is a risk that our estimates related to the future use of loss carry forwards and our ability to realize our deferred tax assets may not come to fruition, and that the results could materially impact our financial position and results of operations. Our total gross deferred tax assets as of October 31, 2025 and 2024 were $65.2 million and $60.3 million, respectively, for which we reserved a valuation allowance of $4.4 million for each of the corresponding periods, respectively. The deferred tax assets, net of valuation allowance, offset the deferred liability within a jurisdiction.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have been expensed in the period, and therefore, are not capitalized into inventory. Inventory quantities are regularly reviewed and provisions for excess or obsolete inventory are recorded primarily based on our forecast of future demand and market conditions. Significant unanticipated changes to our forecasts or changes in the net realizable value of our inventory would require a change in the provision for excess or obsolete inventory. For the years ended October 31, 2025 and 2024, our inventory reserves are approximately 9% and 1% of gross inventory,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contractual obligations and commercial commitments include unconditional purchase obligations which consist of commitments to buy miscellaneous parts, inventory, and expenditures related to capital projects in progress. At October 31, 2025, we had firm purchase commitments of approximately $8.3 million for the purchase or construction of capital assets. We plan to fund these capital expenditures through cash from operations or borrowings under our revolving credit facility.</w:t>
      </w:r>
    </w:p>
    <w:p>
      <w:pPr>
        <w:spacing w:after="0" w:line="128"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Our supplemental benefit plan was terminated in June 2023. As a result, our liability for this plan was distributed in June 2024 in accordance with IRS requirements. As of October 31, 2025, our liability under the deferred compensation plan was approximately $4.1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do not have any off-balance sheet arrangements, as such term is defined in the rules promulgated by the SEC, that we believe would be material to investors and for which it is reasonably likely to have a current or future effect on our financial condition, results of operations, liquidity, capital expenditures or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experienced the impact of inflation on our cost of raw materials, labor, freight and overhead, particularly during the years ended October 31, 2025 and 2024. Although we use contractual price indexing along with periodic base price increases to minimize the effect of inflation on our results, we have not been able to fully recover all of the inflationary cost increases. We cannot provide assurance that our results of operations and financial position will not be materially impacted by inflation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firstLine="242"/>
        <w:spacing w:after="0" w:line="28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Our adoption of this standard effective for the fiscal year ending October 31, 2025 resulted in increased disclosures in the notes to the financial statements. This guidance was applied retrospectively to all prior periods presented in the financial statements.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7"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b w:val="1"/>
          <w:bCs w:val="1"/>
          <w:i w:val="1"/>
          <w:iCs w:val="1"/>
          <w:color w:val="auto"/>
        </w:rPr>
        <w:t>. Quantitative and Qualitative Disclosures About Market Risk.</w:t>
      </w:r>
    </w:p>
    <w:p>
      <w:pPr>
        <w:spacing w:after="0" w:line="173"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October 31, 2025, a hypothetical 1.0% increase or decrease in interest rates could result in approximately $6.4 million of additional pre-tax charges or credit to our operating results. This sensitivity pertains primarily to our outstanding revolving credit facility borrowings outstanding under the Credit Facility as of October 31,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60"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due primarily to fluctuations in the Euro, the British Pound Sterling and the Mexican Peso (“MXN”) exchange rates, to the U.S. Dollar (“USD”). From time to time, we enter into foreign exchange contracts associated with our operations to manage a portion of the foreign currency rate risk and the potential impact to ongoing cash flows. Hedge accounting is not applied to our foreign exchange contracts. As of October 31, 2025, we have outstanding forward foreign exchange contracts to hedge our foreign currency exposures against the MXN to the USD, with a notional principal amount of $20.0 million. During the year ended October 31, 2025 and 2024, we recognized a net loss of less than $0.1 million and $0.3 million, respectively, related to our forward foreign exchange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60"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0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Similarly, we include a price index provision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10"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For our remaining businesses, contractual price adjustment mechanisms are in place for key commodities including stainless steel and zinc for most large U.S. customers, but not all. For those customers not covered by contractual mechanisms, we have successfully implemented surcharges and general price increases to share the impact of price changes with our customers. Like our other businesses, there is exposure to short-term volatility due to a lag in the timing of implementing price increases.</w:t>
      </w:r>
    </w:p>
    <w:p>
      <w:pPr>
        <w:spacing w:after="0" w:line="11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polypropylene and other inputs.</w:t>
      </w:r>
    </w:p>
    <w:p>
      <w:pPr>
        <w:spacing w:after="0" w:line="10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 xml:space="preserve">Certain raw materials and commodities we use to manufacture our products are subject to tariffs. Currently, there is uncertainty on how recently enacted tariffs and potential future tariffs may affect the price of these raw materials and commodities. We are constantly assessing potential supply chain vulnerability and implementing strategies (i.e. surcharges) to mitigate potential tariff impacts. We are also utilizing local supply chains where possible to reduce supply and cost risks. Additionally, we continue to explore alternative supply sources and evaluate shifts in demand. Further discussion of our industry risks is included within our Annual Report on Form 10-K for the fiscal year ended October 31, 2025 and the section entitled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within this Form 10-K.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8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82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1280" w:type="dxa"/>
            <w:vAlign w:val="bottom"/>
          </w:tcPr>
          <w:p>
            <w:pPr>
              <w:spacing w:after="0"/>
              <w:rPr>
                <w:sz w:val="24"/>
                <w:szCs w:val="24"/>
                <w:color w:val="auto"/>
              </w:rPr>
            </w:pPr>
          </w:p>
        </w:tc>
        <w:tc>
          <w:tcPr>
            <w:tcW w:w="86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5"/>
        </w:trPr>
        <w:tc>
          <w:tcPr>
            <w:tcW w:w="128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2"/>
        </w:trPr>
        <w:tc>
          <w:tcPr>
            <w:tcW w:w="990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Reports of Independent Registered Public Accounting Firm (PCAOB ID 248)</w:t>
            </w:r>
          </w:p>
        </w:tc>
        <w:tc>
          <w:tcPr>
            <w:tcW w:w="640" w:type="dxa"/>
            <w:vAlign w:val="bottom"/>
            <w:gridSpan w:val="2"/>
          </w:tcPr>
          <w:p>
            <w:pPr>
              <w:jc w:val="center"/>
              <w:ind w:left="370"/>
              <w:spacing w:after="0" w:line="182" w:lineRule="exact"/>
              <w:rPr>
                <w:sz w:val="20"/>
                <w:szCs w:val="20"/>
                <w:color w:val="auto"/>
              </w:rPr>
            </w:pPr>
            <w:r>
              <w:rPr>
                <w:rFonts w:ascii="Times New Roman" w:cs="Times New Roman" w:eastAsia="Times New Roman" w:hAnsi="Times New Roman"/>
                <w:sz w:val="18"/>
                <w:szCs w:val="18"/>
                <w:color w:val="0000FF"/>
                <w:w w:val="99"/>
              </w:rPr>
              <w:t>38</w:t>
            </w:r>
          </w:p>
        </w:tc>
        <w:tc>
          <w:tcPr>
            <w:tcW w:w="460" w:type="dxa"/>
            <w:vAlign w:val="bottom"/>
          </w:tcPr>
          <w:p>
            <w:pPr>
              <w:spacing w:after="0"/>
              <w:rPr>
                <w:sz w:val="15"/>
                <w:szCs w:val="15"/>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41</w:t>
            </w:r>
          </w:p>
        </w:tc>
        <w:tc>
          <w:tcPr>
            <w:tcW w:w="460" w:type="dxa"/>
            <w:vAlign w:val="bottom"/>
          </w:tcPr>
          <w:p>
            <w:pPr>
              <w:spacing w:after="0"/>
              <w:rPr>
                <w:sz w:val="18"/>
                <w:szCs w:val="18"/>
                <w:color w:val="auto"/>
              </w:rPr>
            </w:pPr>
          </w:p>
        </w:tc>
      </w:tr>
      <w:tr>
        <w:trPr>
          <w:trHeight w:val="244"/>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r>
      <w:tr>
        <w:trPr>
          <w:trHeight w:val="193"/>
        </w:trPr>
        <w:tc>
          <w:tcPr>
            <w:tcW w:w="9900" w:type="dxa"/>
            <w:vAlign w:val="bottom"/>
            <w:gridSpan w:val="2"/>
          </w:tcPr>
          <w:p>
            <w:pPr>
              <w:ind w:left="380"/>
              <w:spacing w:after="0" w:line="193" w:lineRule="exact"/>
              <w:rPr>
                <w:sz w:val="20"/>
                <w:szCs w:val="20"/>
                <w:color w:val="auto"/>
              </w:rPr>
            </w:pPr>
            <w:r>
              <w:rPr>
                <w:rFonts w:ascii="Times New Roman" w:cs="Times New Roman" w:eastAsia="Times New Roman" w:hAnsi="Times New Roman"/>
                <w:sz w:val="18"/>
                <w:szCs w:val="18"/>
                <w:color w:val="auto"/>
              </w:rPr>
              <w:t>Consolidated Balance Sheets</w:t>
            </w:r>
          </w:p>
        </w:tc>
        <w:tc>
          <w:tcPr>
            <w:tcW w:w="640" w:type="dxa"/>
            <w:vAlign w:val="bottom"/>
            <w:gridSpan w:val="2"/>
          </w:tcPr>
          <w:p>
            <w:pPr>
              <w:jc w:val="center"/>
              <w:ind w:left="370"/>
              <w:spacing w:after="0" w:line="193" w:lineRule="exact"/>
              <w:rPr>
                <w:sz w:val="20"/>
                <w:szCs w:val="20"/>
                <w:color w:val="auto"/>
              </w:rPr>
            </w:pPr>
            <w:r>
              <w:rPr>
                <w:rFonts w:ascii="Times New Roman" w:cs="Times New Roman" w:eastAsia="Times New Roman" w:hAnsi="Times New Roman"/>
                <w:sz w:val="18"/>
                <w:szCs w:val="18"/>
                <w:color w:val="0000FF"/>
                <w:w w:val="99"/>
              </w:rPr>
              <w:t>42</w:t>
            </w:r>
          </w:p>
        </w:tc>
        <w:tc>
          <w:tcPr>
            <w:tcW w:w="460" w:type="dxa"/>
            <w:vAlign w:val="bottom"/>
          </w:tcPr>
          <w:p>
            <w:pPr>
              <w:spacing w:after="0"/>
              <w:rPr>
                <w:sz w:val="16"/>
                <w:szCs w:val="16"/>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(Loss)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43</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(Loss)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44</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45</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46</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47</w:t>
            </w:r>
          </w:p>
        </w:tc>
        <w:tc>
          <w:tcPr>
            <w:tcW w:w="4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07" w:right="5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Quanex Building Products Corporation and subsidiaries (the “Company”) as of October 31, 2025 and 2024, the related consolidated statements of (loss) income, comprehensive (loss) income, stockholders' equity, and cash flow for each of the three years in the period ended October 31, 2025, and the related notes (collectively referred to as the “consolidated financial statements”). In our opinion, the consolidated financial statements present fairly, in all material respects, the financial position of the Company as of October 31, 2025 and 2024, and the results of its operations and its cash flows for each of the three years in the period ended October 31, 2025, in conformity with accounting principles generally accepted in the United States of America.</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October 31, 2025, based on criteria established in the 2013 Internal Control—Integrated Framework issued by the Committee of Sponsoring Organizations of the Treadway Commission (“COSO”), and our report dated December 12, 2025 expressed an adverse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goodwill impairment assessment of each of the Company’s reporting units</w:t>
      </w:r>
    </w:p>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described in Note 1 to the financial statements, the Company performs its annual goodwill impairment test as of August 31, or more frequently if indicators of impairment exist. In the third quarter of 2025 the Company tested goodwill for impairment due to the restructuring of its reportable segments. Also, during the fourth quarter of 2025, the Company tested goodwill for impairment due to the identified triggering event related to the decline in the Company’s stock price. We identified the estimation of the fair value of the reporting units as a critical audit matter.</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estimation of the fair value of the reporting units is a critical audit matter relates to the use of the income approach which is one method management uses to estimate the fair value of the reporting units. Auditing the fair value of the reporting units involved a high degree of auditor judgment, subjectivity and audit effort in evaluating management’s significant assumptions used in the income approach, including future cash flows related to the reporting units and the weighted average cost of capital (WACC). In addition, the audit effort involved the use of valuation specialists to assist in performing these procedures and evaluating the audit evidence obtained.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the fair value of the reporting units included the following, among others.</w:t>
      </w:r>
    </w:p>
    <w:p>
      <w:pPr>
        <w:spacing w:after="0" w:line="250" w:lineRule="exact"/>
        <w:rPr>
          <w:sz w:val="20"/>
          <w:szCs w:val="20"/>
          <w:color w:val="auto"/>
        </w:rPr>
      </w:pPr>
    </w:p>
    <w:p>
      <w:pPr>
        <w:ind w:left="660" w:hanging="330"/>
        <w:spacing w:after="0" w:line="24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goodwill impairment including those over the determination of fair value, including controls relating to management’s development of forecasts of future revenues, earnings, cash flows and WACC.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left="660" w:hanging="330"/>
        <w:spacing w:after="0" w:line="23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revenues, earnings and cash flows by comparing the forecasts to historical revenues, earnings and cash flows, current budgets, our understanding of the current business strategy, communications to the Board of Directors, press releases and industry reports.</w:t>
      </w:r>
    </w:p>
    <w:p>
      <w:pPr>
        <w:ind w:left="660" w:hanging="330"/>
        <w:spacing w:after="0" w:line="23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evaluate the reasonableness of the WACC used by management, including the testing of underlying source information and developing a range of independent estimates and comparing those to the rate selected by management.</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Quanex Building Products Corporation and subsidiaries (the “Company”) as of October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October 31, 2025, based on criteria established in the 2013 Internal Control—Integrated Framework issued by COSO.</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have been identified and included in management’s assessment.</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Management identified a material weakness in internal controls related to the design and operation of controls over the Company’s preparation and review of the statement of cash flows.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October 31, 2025, and our report dated December 12, 2025 expressed an unqualified opinion on those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October 31, 2025, using the criteria set forth by the Committee of Sponsoring Organizations of the Treadway Commission in Internal Control — Integrated Framework (2013). Based on this assessment, management identified a material weakness in the Company’s internal control over financial reporting related to the design and operation of controls over the Company’s preparation and review of the statement of cash flows.</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a result of the identified material weakness, management has concluded that the Company’s internal control over financial reporting was not effective as of October 31, 2025. We are actively implementing remedial measures to address the identified material weakness. We expect the remediation of this material weakness to be completed prior to the end of fiscal year 2026.</w:t>
      </w:r>
    </w:p>
    <w:p>
      <w:pPr>
        <w:spacing w:after="0" w:line="132"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Grant Thornton LLP, the Company’s independent registered public accounting firm, has issued an attestation report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October 31, 2025 and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37"/>
        </w:trPr>
        <w:tc>
          <w:tcPr>
            <w:tcW w:w="8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60" w:type="dxa"/>
            <w:vAlign w:val="bottom"/>
            <w:gridSpan w:val="4"/>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93"/>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6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97,744</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$2,039 and $254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197,689</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receivable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573,775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611,268</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$414,809 and $391,851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411,591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402,466</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154,866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126,715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271,346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574,711</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549,137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597,909</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1,968,233</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2,319,788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4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131,307</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124,404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103,623</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25,745</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15,446</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12,475</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281,545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272,867</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665,268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737,198</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117,560</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135,993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162,304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19,113</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1,242,054</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1,309,042</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no par value, shares authorized 1,000,000 issued and outstanding - none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36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Common stock, $0.01 par value, shares authorized 125,000,000 issued 51,211,469 and 51,266,501 respectively; outstanding</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45,674,726 and 47,252,070, respectively</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700,029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701,008</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430,405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(46,428)</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Treasury stock at cost, 5,536,743 and 4,014,431 shares, respectively</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(103,633)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(74,752)</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726,179</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1,010,746</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1,968,233</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2,319,788</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October 31, 2025, 2024 and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8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1,837,641</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1,277,862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1,130,583</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and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1,338,413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972,238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853,059</w:t>
            </w: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277,261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190,470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123,957</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charges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42,866</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shd w:val="clear" w:color="auto" w:fill="CCEEFF"/>
              </w:rPr>
              <w:t>Goodwill impairment charges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302,284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(193,952)</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54,826</w:t>
            </w:r>
          </w:p>
        </w:tc>
        <w:tc>
          <w:tcPr>
            <w:tcW w:w="2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110,701</w:t>
            </w: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(8,136)</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r>
      <w:tr>
        <w:trPr>
          <w:trHeight w:val="206"/>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(242,593)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97,046</w:t>
            </w: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w:t>
            </w:r>
          </w:p>
        </w:tc>
      </w:tr>
      <w:tr>
        <w:trPr>
          <w:trHeight w:val="208"/>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(250,806)</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82,501</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6"/>
        </w:trPr>
        <w:tc>
          <w:tcPr>
            <w:tcW w:w="6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(loss) earnings per common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71"/>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earnings per common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71"/>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32,819</w:t>
            </w: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33,026</w:t>
            </w:r>
          </w:p>
        </w:tc>
      </w:tr>
      <w:tr>
        <w:trPr>
          <w:trHeight w:val="271"/>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0"/>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per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line="305"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CONSOLIDATED STATEMENTS OF COMPREHENSIVE (LOSS) INCOME For the Years Ended October 31, 2025,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(250,806)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82,501</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gain (loss), net of tax</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r>
      <w:tr>
        <w:trPr>
          <w:trHeight w:val="212"/>
        </w:trPr>
        <w:tc>
          <w:tcPr>
            <w:tcW w:w="6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(pretax)</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tax expense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06"/>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10,989</w:t>
            </w:r>
          </w:p>
        </w:tc>
        <w:tc>
          <w:tcPr>
            <w:tcW w:w="2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11,281</w:t>
            </w: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(239,817)</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24,772</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October 31, 2025, 2024 and 2023</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Other</w:t>
            </w: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37,211,056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251,947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(4,081,806)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464,835</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2,739</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of tax benefit of $819)</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37,176,958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251,576</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409,318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(38,141)</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(4,165,839)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(77,571)</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545,554</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acquisition</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14,139,477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449,918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450,060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51,266,501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701,008</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430,405</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(46,428)</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(4,014,431)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(74,752)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1,010,746</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(250,806)</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10,989</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51,211,469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700,029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164,710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(35,439)</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(5,536,743)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(103,633)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726,179</w:t>
            </w:r>
          </w:p>
        </w:tc>
        <w:tc>
          <w:tcPr>
            <w:tcW w:w="0" w:type="dxa"/>
            <w:vAlign w:val="bottom"/>
          </w:tcPr>
          <w:p>
            <w:pPr>
              <w:spacing w:after="0"/>
              <w:rPr>
                <w:sz w:val="1"/>
                <w:szCs w:val="1"/>
                <w:color w:val="auto"/>
              </w:rPr>
            </w:pPr>
          </w:p>
        </w:tc>
      </w:tr>
      <w:tr>
        <w:trPr>
          <w:trHeight w:val="23"/>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6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Years Ended October 31, 2025, 2024 and 2023</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7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82,501</w:t>
            </w: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42,866</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disposition of capital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Charge for deferred loan costs and debt discount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deal contingent foreign exchange forward currency contract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inventory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30,024</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(11,611)</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accrued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in current income taxes payable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other long-term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06"/>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147,052</w:t>
            </w: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(91,302)</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(37,390)</w:t>
            </w:r>
          </w:p>
        </w:tc>
      </w:tr>
      <w:tr>
        <w:trPr>
          <w:trHeight w:val="212"/>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disposition of capital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(420,594)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(128,439)</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under credit facility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102,000</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other long-term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(10,639)</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deal contingent foreign exchange forward currency contract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 paid to settle shares forfeited upon vesting of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r>
      <w:tr>
        <w:trPr>
          <w:trHeight w:val="206"/>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provided by financing activities</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(127,480)</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385,156</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(16,151)</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06"/>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102,995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58,474</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55,093</w:t>
            </w:r>
          </w:p>
        </w:tc>
      </w:tr>
      <w:tr>
        <w:trPr>
          <w:trHeight w:val="208"/>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78,118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102,995</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58,474</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left="340" w:right="5000" w:hanging="333"/>
        <w:spacing w:after="0" w:line="438" w:lineRule="auto"/>
        <w:tabs>
          <w:tab w:leader="none" w:pos="19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Operations, Basis of Presentation and Significant Accounting Policies </w:t>
      </w:r>
      <w:r>
        <w:rPr>
          <w:rFonts w:ascii="Times New Roman" w:cs="Times New Roman" w:eastAsia="Times New Roman" w:hAnsi="Times New Roman"/>
          <w:sz w:val="18"/>
          <w:szCs w:val="18"/>
          <w:b w:val="1"/>
          <w:bCs w:val="1"/>
          <w:i w:val="1"/>
          <w:iCs w:val="1"/>
          <w:color w:val="auto"/>
        </w:rPr>
        <w:t>Nature of Operations</w:t>
      </w:r>
    </w:p>
    <w:p>
      <w:pPr>
        <w:spacing w:after="0" w:line="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Quanex Building Products Corporation is a leading manufacturer and component supplier to original equipment manufacturers (OEMs) in the building products industry, including window, door, solar, refrigeration, custom mixing, building access, and cabinetry markets. We have organized our business into three reportable business segments: (1) Hardware Solutions, (2) Extruded Solutions, and (3) Custom Solutions. For additional discussion of our reportable business segments, see Note 17,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Germany, Mexico, Canada, and Italy, as well as through sales and marketing efforts in other countries.</w:t>
      </w:r>
    </w:p>
    <w:p>
      <w:pPr>
        <w:spacing w:after="0" w:line="134"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by us in accordance with accounting principles generally accepted in the United States of America (U.S. GAAP). We consolidate our wholly-owned subsidiaries and eliminate intercompany sales and transactions. We have no cost or equity investments in companies that are not wholly-owned. Certain reclassifications were made to prior period balances for current period presentation. In our opinion, these audited financial statements contain all adjustments necessary to fairly present our financial position, results of operations and cash flows for the periods presented.</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pension and retirement liabilities, contingencies and income taxes. Changes in facts and circumstances may result in revised estimates and actual results may differ from these estimates.</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 summary of our significant accounting policies consistently applied in the preparation of the accompanying consolidated financial statements follows: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reasonably assured.</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5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as our contract terms are less than one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Shipping and handling cost</w:t>
      </w:r>
      <w:r>
        <w:rPr>
          <w:rFonts w:ascii="Times New Roman" w:cs="Times New Roman" w:eastAsia="Times New Roman" w:hAnsi="Times New Roman"/>
          <w:sz w:val="18"/>
          <w:szCs w:val="18"/>
          <w:b w:val="1"/>
          <w:bCs w:val="1"/>
          <w:i w:val="1"/>
          <w:iCs w:val="1"/>
          <w:color w:val="auto"/>
        </w:rPr>
        <w: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consolidated statements of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manufacture and distribute a diverse portfolio of products for OEMs operating in hardware, extrusion, and custom markets worldwide. Our broad geographic reach exposes us to diverse economic conditions, which can impact demand, currency fluctuations, and supply chain dynamics.</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years ended October 31, 2025, 2024, and 2023 into groupings by segment which we believe depicts how the nature, amount, timing and uncertainty of our revenues and cash flows are affected by economic factors. For further details regarding our results by segment, refer to Note 17, “Segment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Hardware Solutions: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 and door hardware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146,187</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Screens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296,959</w:t>
            </w:r>
          </w:p>
        </w:tc>
      </w:tr>
      <w:tr>
        <w:trPr>
          <w:trHeight w:val="22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841,674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427,839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296,959</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Extruded Solutions: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Window profiles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284,119</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Seals and gaskets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191,212</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Flashing tape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 and door hardware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31,922</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646,627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559,995</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544,585</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 Solutions: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Wood solutions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198,424</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215,445</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 solutions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Mixing solutions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82,916</w:t>
            </w:r>
          </w:p>
        </w:tc>
      </w:tr>
      <w:tr>
        <w:trPr>
          <w:trHeight w:val="222"/>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388,210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309,441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298,361</w:t>
            </w:r>
          </w:p>
        </w:tc>
      </w:tr>
      <w:tr>
        <w:trPr>
          <w:trHeight w:val="269"/>
        </w:trPr>
        <w:tc>
          <w:tcPr>
            <w:tcW w:w="7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r>
      <w:tr>
        <w:trPr>
          <w:trHeight w:val="222"/>
        </w:trPr>
        <w:tc>
          <w:tcPr>
            <w:tcW w:w="7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r>
      <w:tr>
        <w:trPr>
          <w:trHeight w:val="222"/>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1,837,641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Such securities with an original maturity which exceeds three months are deemed to be short-term investments. Restricted cash is cash held in a foreign subsidiary that is not available for use as a result of exchange control restrictions. We maintain cash, cash equivalents and restricted cash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 for Credit Losses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the loss of one of these large customers or if such customers were to incur a prolonged period of decline in business, our financial condition and results of operations could be adversely affected. For the years ended October 31, 2025, 2024 and 2023, one customer provided more than 10% of our consolidated net sales and accounts receivable.</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 associated with our accounts receivable balances. Our policy for determining the allowance is based on factors that affect collectability, including: (a) historical trends of write-offs, recoveries and credit losses; (b) the credit quality of our customers; and (c) projected economic and market conditions. We believe our allowance is adequate to absorb any known or probable losses as of October 31, 2025. Different assumptions or changes in economic circumstances could result in changes to the allowance.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are evaluated and expensed in the period, to ensure that inventory is properly capitalized. Inventory quantities are regularly reviewed and write-downs for excess or obsolete inventory are recorded primarily based on our forecast of future demand and our estimates regarding current and future market conditions. Significant unanticipated variances to our forecasts could require a change in the provision for excess or obsolete inventory, resulting in a charge to net income during the period of the change.</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make judgments and estimates related to the carrying value of property, plant and equipment, intangible assets with defined lives, and long-lived assets, which include determining when to capitalize costs, the depreciation and amortization methods to use and the useful lives of these assets. We evaluate these assets for impairment when there are indicators that the carrying values of these assets might not be recoverable. Such indicators of impairment may include changes in technology, significant market fluctuations, historical losses or loss of a significant customer, or other changes in circumstance that could affect the assets’ ability to generate future cash flows. When we evaluate these assets for impairment, we compare the sum of the undiscounted cash flows expected to result from the use and eventual disposition of the asset to its carrying value. If the carrying value exceeds the sum of the undiscounted cash flows, and there is no alternative use for the asset, we determine that the asset is impaired. To measure the impairment charge, we compare the carrying amount of the long-lived asset to its fair value, as determined by quoted market prices in active markets, if available, or by discounting the projected future cash flows. This calculation of fair value requires us to develop and employ long-term forecasts of future operating results related to these assets. These forecasts are based on assumptions about demand for our products and future market conditions. Future events and unanticipated changes to these assumptions could require a provision for impairment, resulting in a charge to net income during the period of the change.</w:t>
      </w:r>
    </w:p>
    <w:p>
      <w:pPr>
        <w:spacing w:after="0" w:line="13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 assets with finite lives. Events and changes in circumstance that may cause a triggering event and necessitate such a review include, but are not limited to: a decrease in sales for certain customers, improvements or changes in technology, and/or a decision to discontinue the use of a trademark or trade name, or to allow a patent to lapse. Such events could negatively impact the fair value of our identifiable intangible assets. In such circumstances, we may evaluate the underlying assumptions and estimates made by us in order to assess the appropriate valuation of these identifiable intangible assets and compare to the carrying value of the assets. We may be required to write down these identifiable intangible assets and record a non-cash impairment charge. When we originally value our intangible assets, we use a variety of techniques to establish the carrying value of the assets, including the relief from royalty method, excess current year earnings method and income method.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As discussed in the “Restructuring” section of our “Nature of Operations and Basis of Presentation and Significant Accounting Policies” in Note 1, we restructured our reportable segments during the third quarter of 2025, which triggered the requirement to assess our goodwill for potential impairment. In addition, during the fourth quarter of 2025, we noted a sustained decline in our stock price, which represented an additional triggering indicator of impairment. We did not record any impairment charges related to property, plant and equipment or intangible assets with defined lives as a result of either impairment analyses. There were no other indicators of triggering events noted for any period in the years ended October 31, 2025, 2024 and 2023. Therefore, we did not record an impairment charge related to property, plant and equipment or intangible assets with defined lives during the years ended October 31, 2025, 2024 and 2023.</w:t>
      </w:r>
    </w:p>
    <w:p>
      <w:pPr>
        <w:spacing w:after="0" w:line="13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Software development costs, including costs incurred to purchase third-party software, are capitalized when we have determined that the technology is capable of meeting our performance requirements, and we have authorized funding for the project. We cease capitalization of software costs when the software is substantially complete and is ready for its intended use. The software is then amortized over its estimated useful life. When events or circumstances indicate the carrying value of internal use software might not be recoverable, we assess the recoverability of these assets by comparing the carrying value of the asset to the undiscounted future cash flows expected to be generated from the asset’s use, consistent with the methodology to test other property, plant and equipment for impairment.</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Property, plant and equipment is stated at cost and is depreciated using the straight-line method over the estimated useful lives of the assets. We capitalize betterments which extend the useful lives or significantly improve the operational efficiency of assets. We expense repair and maintenance costs as incurred.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useful lives of our primary asset categories at October 31, 2025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0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5"/>
        </w:trPr>
        <w:tc>
          <w:tcPr>
            <w:tcW w:w="9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shd w:val="clear" w:color="auto" w:fill="CCEEFF"/>
              </w:rPr>
              <w:t>7</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25</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 to 40</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 to 20</w:t>
            </w:r>
          </w:p>
        </w:tc>
      </w:tr>
      <w:tr>
        <w:trPr>
          <w:trHeight w:val="234"/>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 to 15</w:t>
            </w:r>
          </w:p>
        </w:tc>
      </w:tr>
    </w:tbl>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estimated useful lives or the term of the lease.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 the third quarter of 2025, we tested goodwill for impairment as a result of the restructuring of our reportable segments. The testing of our goodwill resulted in an goodwill impairment of $302.3 million. Of the goodwill impairment amount recorded during the nine months ended July 31, 2025, $44.8 million relates to tax-deductible goodwill. The remaining charge was not deductible for tax purposes, and no deferred tax asset was recognized.</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At our annual testing date, August 31, 2025, we had seven reporting units with goodwill balances: two reporting units included in our Hardware Solutions operating segment, three reporting units included in our Extruded Solutions operating segment, and two reporting units included in our Custom Solutions operating segment. We performed a qualitative assessment of the reporting units in all three reportable segments. This review included an analysis of historical goodwill test results, operating results relative to forecast, projected results over the next five years, and other measures and concluded that there were no indicators of potential impairment associated with these reporting units.</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During the fourth quarter of 2025, after reviewing general potential indicators of impairment and noting a triggering event related to the decline in stock price, we performed an interim impairment assessment as of September 30, 2025. Based on the results of this analysis, no additional goodwill impairment was identified.</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For additional discussion of the restructuring, see Note 1, “Nature of Operations, Basis of Presentation and Significant Accounting Policies - Restructuring.” For additional discussion of our goodwill, see Note 7, “Goodwill and Intangibles.” For additional information and discussion of change in reporting units and a summary of the change in the carrying amount of goodwill by segment, see Note 17, “Segment Information.”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3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twelve months ended October 31, 2025, we restructured our reportable segments to integrate the acquisition of Tyman plc with our legacy Quanex operations. This restructuring aligns our business into three reportable segments: Hardware Solutions, Extruded Solutions, and Custom Solutions, which is how our Chief Operating Decision Maker (“CODM”) assesses the performance of our business, makes key operating decisions and allocates resources. Prior period amounts have been recast to conform to the new segment structure. For additional discussion of our acquisition of Tyman plc, see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“Acquisition.” For additional discussion of our reportable business segments, see Note 17, “Segment Information.”</w:t>
      </w:r>
    </w:p>
    <w:p>
      <w:pPr>
        <w:spacing w:after="0" w:line="11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the twelve months ended October 31, 2025, we incurred $10.2 million in restructuring charges including $6.3 million related to workforce alignment costs, primarily severance and employee-related expenses. As of October 31, 2025, we have paid $5.6 million in workforce alignment costs, with a remaining accrual of $0.7 million. Additionally, we recognized $3.9 million related to the disposal of software which no longer supports our business as restructured. We may incur additional restructuring charges in future periods. The nature and amount of any such charges will depend on further developments in the restructuring process.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manage our exposure to losses for workers’ compensation, group medical, property, casualty and other insurance claims through a combination of self-insurance retentions and insurance coverage with third-party carriers. We record undiscounted liabilities associated with our portion of these exposures, which we estimate by considering various factors such as our historical claims experience, severity factors and estimated claims incurred but not reported, for which we have developed loss development factors, which are estimates as to how claims will develop over time until closed. While we consider a number of factors in preparing the estimates, sensitive assumptions using significant judgment are made in determining the amounts that are accrued in the financial statements. Actual claims could differ significantly from these estimated liabilities, depending on future claims experience. We do not record insurance recoveries until any contingencies relating to the claim have been resolved.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historically sponsored a defined benefit pension plan. To measure our liabilities associated with these plans, we made assumptions related to future events, including expected return on plan assets, and rate of compensation increases. The discount rate reflected the rate at which benefits could be effectively settled on the measurement date. We determined our discount rate using a FTSE Above Median pension discount curve whereby target yields were developed from bonds across a range of maturity points, and a curve was fitted to those targets. Spot rates (zero coupon bond yields) were developed from the curve and used to discount benefit payments associated with each future year. During the year ended October 31, 2023, the defined benefit pension plan was terminated and the pension obligation was settled.</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Warranty Obligations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accrue warranty obligations when we recognize revenue for certain products. Our provision for warranty obligations is based on historical costs incurred for such obligations and is adjusted, where appropriate, based on current conditions and factors. Our ability to estimate our warranty obligations is subject to significant uncertainties, including changes in product design and our overall product sales mix.</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and the amounts reported in our consolidated balance sheets, as well as net operating losses and tax credit carry forwards. We evaluate the carrying value of the net deferred tax assets and determine whether we will be able to generate sufficient future taxable income to realize our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Cumulative losses in recent years is a significant piece of negative evidence that is difficult to overcome in determining that a valuation allowance is not needed against deferred tax assets. Thus, it is generally difficult for positive evidence regarding projected future taxable income exclusive of reversing taxable temporary differences to outweigh objective negative evidence of recent financial reporting losses. We believe we will fully realize our deferred tax assets, net of a recorded valuation allowance. We project future taxable income using the same forecasts used to test long-lived assets and intangibles for impairment, scheduling out the future reversal of existing taxable temporary differences and reviewing our most recent financial operations. In the event the estimates and assumptions indicate we will not generate sufficient future taxable income to realize our deferred tax assets, we record a valuation allowance against a portion of our deferred tax assets. The deferred tax assets, net of valuation allowance, offset the deferred liability within a jurisdiction. The Company has elected to account for the tax effects of Global Intangible Low-Taxed Income (GILTI) as a current-period expense in the period the tax is incurred and, accordingly, does not recognize deferred tax assets or liabilities related to GILTI.</w:t>
      </w:r>
    </w:p>
    <w:p>
      <w:pPr>
        <w:spacing w:after="0" w:line="140"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We evaluate our ongoing tax positions to determine if it is more-likely-than-not we will be successful in defending such positions if challenged by taxing authorities. To the extent that our tax positions do not meet the more-likely-than-not criteria, we record a liability for uncertain tax positions. As of October 31, 2025, we accrued $0.7 million of unrecognized tax benefits primarily related to transfer pricing matters.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historically used financial and commodity-based derivative contracts to manage our exposure to fluctuations in foreign currency exchange rates and raw material prices. All derivatives are measured at fair value on a recurring basis. We have not designated the derivative instruments we use as cash flow hedges under ASC Topic 815 “Derivatives and Hedging” (ASC 815). Therefore, all gains and losses, both realized and unrealized, are recognized in the consolidated statements of income (loss) in the period of the change as the underlying assets and liabilities are marked-to-market. We do not enter into derivative instruments for speculative or trading purposes. As such, these instruments are considered economic hedges, and are reflected in the operating activities section of the consolidated statements of cash flow.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presented in our reporting currency, the United States Dollar. Our foreign operations are measured using the local currency as the functional currency. The assets and liabilities of our foreign operations which are denominated in other currencies are translated to United States Dollars using the prevailing exchange rates as of the balance sheet date. Revenues and expenses are translated at the average exchange rates for the applicable period. The resulting translation adjustments are recorded as a component of accumulated other comprehensive loss on the consolidated balance sheets.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enter into transactions throughout our locations that are denominated in currencies other than the applicable functional currency where they originated. At each balance sheet date, we translate these asset or liability accounts to our functional currency and record unrealized transaction gains or losses. When these assets or liabilities settle, we record realized transaction gains or losses. These realized and unrealized gains or losses are included in the accompanying consolidated statements of (loss) income under the caption, “Other, net.”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3" w:lineRule="exact"/>
        <w:rPr>
          <w:sz w:val="20"/>
          <w:szCs w:val="20"/>
          <w:color w:val="auto"/>
        </w:rPr>
      </w:pPr>
    </w:p>
    <w:p>
      <w:pPr>
        <w:jc w:val="both"/>
        <w:ind w:firstLine="403"/>
        <w:spacing w:after="0" w:line="266" w:lineRule="auto"/>
        <w:rPr>
          <w:sz w:val="20"/>
          <w:szCs w:val="20"/>
          <w:color w:val="auto"/>
        </w:rPr>
      </w:pPr>
      <w:r>
        <w:rPr>
          <w:rFonts w:ascii="Times New Roman" w:cs="Times New Roman" w:eastAsia="Times New Roman" w:hAnsi="Times New Roman"/>
          <w:sz w:val="17"/>
          <w:szCs w:val="17"/>
          <w:color w:val="auto"/>
        </w:rPr>
        <w:t>We have issued stock-based compensation in the form of stock options to directors, employees and officers, and non-vested restricted stock awards to certain key employees and officers. We apply the provisions of ASC Topic 718 “Compensation - Stock Compensation”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typically cliff vest over a three-year period or a three-year grated vesting schedule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13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the accompanying consolidated balance sheets at October 31, 2025 and 2024. See Note 14, “Stock-based Compensation.”</w:t>
      </w:r>
    </w:p>
    <w:p>
      <w:pPr>
        <w:spacing w:after="0" w:line="128"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In addition, we have granted performance share awards which use return on net assets as the vesting condition and the awards settle in cash. We use a Monte Carlo simulation model to value the market condition and our stock price on the date of grant to value the internal performance condition and recognize expense ratably over the vesting period of three years. We estimate that the performance measures will be met and shares will vest at target until the year of settlement (third year of cliff vesting). As of October 31, 2025, we have deemed none of the performance share awards related to the December 2022 grants are probable to vest. Beginning with the December 2024 and March 2025 grant cycles, certain performance share awards include adjusted earnings per share as the primary vesting condition and apply return on net assets (“RONA”) as a performance modifier. These awards also settle in cash. The fair value of these awards is measured at grant and remeasured each reporting period based on changes in our stock price and the number of units expected to vest. Compensation cost is recognized over the three-year requisite service period and adjusted for changes in estimated performance outcomes, including the impact of the RONA modifier.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also granted performance restricted stock units which settle in shares upon vesting. These awards cliff vest upon a three-year service period with the absolute performance of our common stock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To value the performance restricted stock units, we use a Monte Carlo simulation model to arrive at a grant-date fair value. This amount will be adjusted for forfeitures and expensed over the three-year term of the award with a credit to additional paid-in-capital. 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October 31, 2025, we have deemed none of the shares related to the December 2022 grants of performance restricted stock units are probable to vest.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use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Data</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based on the weighted average number of our common shares outstanding for the applicable period. We calculate diluted earnings per share based on the weighted average number of our common shares outstanding for the period plus all potentially dilutive securities using the treasury stock method, whereby we assume that all such shares are converted into common shares at the beginning of the period, if deemed to be dilutive. If we incur a loss from continuing operations, the effects of potentially dilutive common stock equivalents (stock options and unvested restricted stock awards) are excluded from the calculation of diluted earnings per share because the effect would be anti-dilutive. Performance shares and performance restricted stock units are excluded from contingent shares for purposes of calculating diluted weighted average shares until the performance measure criteria is probable and shares are likely to be issued.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supplemental cash flow information for the years ended October 31, 2025, 2024 and 2023 (in thousands):</w:t>
      </w:r>
    </w:p>
    <w:p>
      <w:pPr>
        <w:spacing w:after="0" w:line="206"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5038725</wp:posOffset>
            </wp:positionH>
            <wp:positionV relativeFrom="paragraph">
              <wp:posOffset>19050</wp:posOffset>
            </wp:positionV>
            <wp:extent cx="2073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8"/>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capitalized expenditures in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34"/>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2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Net sales for the year ended October 31, 2025, 2024, and 2023 included approximately $2.0 million, $1.2 million and $1.2 million of transactions with customers which are related parties with two of our non-employee directors. Purchases for the year ended October 31, 2025, 2024, and 2023 included approximately $0.1 million, $0.2 million and zero of transactions with a customer which is a related party with one of our non-employee directors. We performed a review of these transactions, of which no single transaction or series of related transactions exceeded $120,000 in amount, and determined that these transactions were enacted independently of each other in fair transactions. We are not aware of any other related party transactions with any of our current non-employee directors or officers outside of their normal business functions or expected contractual duties.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73" w:lineRule="exact"/>
        <w:rPr>
          <w:sz w:val="20"/>
          <w:szCs w:val="20"/>
          <w:color w:val="auto"/>
        </w:rPr>
      </w:pPr>
    </w:p>
    <w:p>
      <w:pPr>
        <w:ind w:right="2160" w:firstLine="403"/>
        <w:spacing w:after="0" w:line="280" w:lineRule="auto"/>
        <w:rPr>
          <w:sz w:val="20"/>
          <w:szCs w:val="20"/>
          <w:color w:val="auto"/>
        </w:rPr>
      </w:pPr>
      <w:r>
        <w:rPr>
          <w:rFonts w:ascii="Times New Roman" w:cs="Times New Roman" w:eastAsia="Times New Roman" w:hAnsi="Times New Roman"/>
          <w:sz w:val="18"/>
          <w:szCs w:val="18"/>
          <w:color w:val="auto"/>
        </w:rPr>
        <w:t>We have evaluated events occurring after the balance sheet date for possible disclosure as a subsequent event through the date the consolidated financial statements were issued.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Tyman Acquisition</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(the “Tyman Acquisition”), a company incorporated in England and Wales (“Tyman”). The aggregate consideration due pursuant to the Tyman Acquisition at closing comprised 14,139,477 newly issued Quanex common shares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7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w:t>
      </w:r>
    </w:p>
    <w:p>
      <w:pPr>
        <w:spacing w:after="0" w:line="7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provided for a senior secured term loan A facility in an aggregate principal amount of $500 million (the “Term Loan A Facility” and together with the Revolving Credit Facility, the “Facilities”). The Revolving Credit Facility includes alternative currency, letter of credit, and swing-line sub-facilities of $100 million, $30 million, and $15 million, respectively. The maturity date of the Facilities will be five years after the acquisition effective date, maturing on August 1, 2029.</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purchase price for the Tyman Acquisition was initially allocated on a preliminary basis as of the acquisition date. Despite basing our initial estimates on the information available on August 1, 2024, further data and evidence obtained during the third quarter of 2025 prompted several measurement period adjustments. These adjustments primarily affected deferred income taxes, fixed assets, inventories, accounts payable, and other assets, resulting in a $4.1 million reduction in the preliminary goodwill we initially recognized.</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revised allocation of the purchase price, reflecting the fair value of the assets acquired and liabilities assumed, including the identified measurement period adjustments, and the final purchase price allocation is detailed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Date of</w:t>
            </w:r>
          </w:p>
        </w:tc>
        <w:tc>
          <w:tcPr>
            <w:tcW w:w="180" w:type="dxa"/>
            <w:vAlign w:val="bottom"/>
          </w:tcPr>
          <w:p>
            <w:pPr>
              <w:spacing w:after="0"/>
              <w:rPr>
                <w:sz w:val="13"/>
                <w:szCs w:val="13"/>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80" w:type="dxa"/>
            <w:vAlign w:val="bottom"/>
          </w:tcPr>
          <w:p>
            <w:pPr>
              <w:spacing w:after="0"/>
              <w:rPr>
                <w:sz w:val="13"/>
                <w:szCs w:val="13"/>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Final Purchase Price</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99,574</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211,331</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157,851</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65,414</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380,941</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539,285</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(67,364)</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(300,684)</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(138,808)</w:t>
            </w:r>
          </w:p>
        </w:tc>
        <w:tc>
          <w:tcPr>
            <w:tcW w:w="0" w:type="dxa"/>
            <w:vAlign w:val="bottom"/>
          </w:tcPr>
          <w:p>
            <w:pPr>
              <w:spacing w:after="0"/>
              <w:rPr>
                <w:sz w:val="1"/>
                <w:szCs w:val="1"/>
                <w:color w:val="auto"/>
              </w:rPr>
            </w:pPr>
          </w:p>
        </w:tc>
      </w:tr>
      <w:tr>
        <w:trPr>
          <w:trHeight w:val="228"/>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47"/>
        </w:trPr>
        <w:tc>
          <w:tcPr>
            <w:tcW w:w="56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 net of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used recognized valuation techniques to determine the fair value of the assets and liabilities, including the multi period excess earnings method for customer relationships and relief from royalty method for trade names and other technology with a discount rate that reflects the risk of the expected future cash flows. Tyman’s results are allocated to our Hardware Solutions, Extruded Solutions, and Custom Solutions segments in accordance with the nature of operations. For additional discussion of our reportable business segments, see Note 17, “Segment Information.”</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fourth quarter of 2025, the Company recorded a $9.0 million discrete income tax charge related to post measurement period corrections to the deferred tax assets and liabilities established in the acquisition of Tyman. This amount has been recognized through current-period income tax expense. The discrete income tax charge is reflected in the line item “Income tax expense” in the Consolidated Statements of (Loss) Income for the year ended October 31, 2025, and is separately disclosed in the Company’s effective tax rate reconciliation. For additional discussion, see Note 11, “Income Taxes”.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LMI Acquisition</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“LMI Acquisition”). As consideration for the Purchased Assets, we paid $91.3 million in cash utilizing funds borrowed under our Credit Facility. Subsequent to the LMI Acquisition, we had approximately $215 million available for use under the Credit Facility. For the twelve months ended October 31, 2023, our consolidated operating results included net sales of $75.6 million and operating income of $8.3 million associated with LMI. In connection with the LMI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purchase price has been allocated to the fair value of the assets acquired and liabilities assumed, as indicated in the table below.</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As of Date of</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8"/>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debt (finance leases)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net of cash and cash equivalents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20" w:firstLine="403"/>
        <w:spacing w:after="0" w:line="264" w:lineRule="auto"/>
        <w:rPr>
          <w:sz w:val="20"/>
          <w:szCs w:val="20"/>
          <w:color w:val="auto"/>
        </w:rPr>
      </w:pPr>
      <w:r>
        <w:rPr>
          <w:rFonts w:ascii="Times New Roman" w:cs="Times New Roman" w:eastAsia="Times New Roman" w:hAnsi="Times New Roman"/>
          <w:sz w:val="18"/>
          <w:szCs w:val="18"/>
          <w:color w:val="auto"/>
        </w:rPr>
        <w:t>We used recognized valuation techniques to determine the fair value of the assets and liabilities, including the excess earnings method for customer relationships and relief from royalty method for trade names and other technology with a discount rate that reflects the risk of the expected future cash flows. The goodwill balance is deductible for tax purposes. LMI is allocated entirely to our Custom Solutions reportable segment.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171" w:lineRule="exact"/>
        <w:rPr>
          <w:sz w:val="20"/>
          <w:szCs w:val="20"/>
          <w:color w:val="auto"/>
        </w:rPr>
      </w:pPr>
    </w:p>
    <w:p>
      <w:pPr>
        <w:jc w:val="both"/>
        <w:ind w:left="20" w:right="20" w:firstLine="403"/>
        <w:spacing w:after="0" w:line="280" w:lineRule="auto"/>
        <w:rPr>
          <w:sz w:val="20"/>
          <w:szCs w:val="20"/>
          <w:color w:val="auto"/>
        </w:rPr>
      </w:pPr>
      <w:r>
        <w:rPr>
          <w:rFonts w:ascii="Times New Roman" w:cs="Times New Roman" w:eastAsia="Times New Roman" w:hAnsi="Times New Roman"/>
          <w:sz w:val="18"/>
          <w:szCs w:val="18"/>
          <w:color w:val="auto"/>
        </w:rPr>
        <w:t>We calculated the pro forma impact of the Tyman acquisition and the associated debt financing on our operating results for the twelve months ended October 31, 2024, and 2023. The following pro forma results give effect to these acquisitions, assuming the transaction occurred on November 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2"/>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60" w:type="dxa"/>
            <w:vAlign w:val="bottom"/>
            <w:gridSpan w:val="3"/>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2"/>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1,886,834</w:t>
            </w:r>
          </w:p>
        </w:tc>
        <w:tc>
          <w:tcPr>
            <w:tcW w:w="7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66,037</w:t>
            </w:r>
          </w:p>
        </w:tc>
        <w:tc>
          <w:tcPr>
            <w:tcW w:w="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left="20" w:firstLine="403"/>
        <w:spacing w:after="0" w:line="259" w:lineRule="auto"/>
        <w:rPr>
          <w:sz w:val="20"/>
          <w:szCs w:val="20"/>
          <w:color w:val="auto"/>
        </w:rPr>
      </w:pPr>
      <w:r>
        <w:rPr>
          <w:rFonts w:ascii="Times New Roman" w:cs="Times New Roman" w:eastAsia="Times New Roman" w:hAnsi="Times New Roman"/>
          <w:sz w:val="18"/>
          <w:szCs w:val="18"/>
          <w:color w:val="auto"/>
        </w:rPr>
        <w:t>We derived the pro forma results for the Tyman and LMI acquisition based on historical financial information obtained from the sellers and certain management assumptions. Our Tyman pro forma adjustments relate to the impact of preliminary fair value adjustments on the underlying assets and liabilities of Tyman, transaction costs and the financing of the Tyman Acquisition, and the conversion of Tyman’s financial information prepared in accordance with IFRS to Quanex accounting policies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and Allowance for Credit Losses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consisted of the following as of October 31, 2025 and 2024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202,549</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191,981</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197,943</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7"/>
        </w:trPr>
        <w:tc>
          <w:tcPr>
            <w:tcW w:w="6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205,384</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Accounts receivable, net as of October 31, 2023 was $97.3 million.</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changes in our allowance for credit losses were as follows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2024, 2023 and 2022</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183"/>
        </w:trPr>
        <w:tc>
          <w:tcPr>
            <w:tcW w:w="64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Current period provision for expected credit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2"/>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2025, 2024 and 2023</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4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Inventories consisted of the following at October 31, 2025 and 2024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85,054</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81,330</w:t>
            </w:r>
          </w:p>
        </w:tc>
        <w:tc>
          <w:tcPr>
            <w:tcW w:w="0" w:type="dxa"/>
            <w:vAlign w:val="bottom"/>
          </w:tcPr>
          <w:p>
            <w:pPr>
              <w:spacing w:after="0"/>
              <w:rPr>
                <w:sz w:val="1"/>
                <w:szCs w:val="1"/>
                <w:color w:val="auto"/>
              </w:rPr>
            </w:pP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192,448</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22"/>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254,122</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275,550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October 31, 2025 and 2024 (in thousands):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99,068</w:t>
            </w:r>
          </w:p>
        </w:tc>
        <w:tc>
          <w:tcPr>
            <w:tcW w:w="0" w:type="dxa"/>
            <w:vAlign w:val="bottom"/>
          </w:tcPr>
          <w:p>
            <w:pPr>
              <w:spacing w:after="0"/>
              <w:rPr>
                <w:sz w:val="1"/>
                <w:szCs w:val="1"/>
                <w:color w:val="auto"/>
              </w:rPr>
            </w:pP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186,087</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548,623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462,628</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62,018</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46,534</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826,400</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794,317</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414,809</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391,851</w:t>
            </w:r>
          </w:p>
        </w:tc>
        <w:tc>
          <w:tcPr>
            <w:tcW w:w="0" w:type="dxa"/>
            <w:vAlign w:val="bottom"/>
          </w:tcPr>
          <w:p>
            <w:pPr>
              <w:spacing w:after="0"/>
              <w:rPr>
                <w:sz w:val="1"/>
                <w:szCs w:val="1"/>
                <w:color w:val="auto"/>
              </w:rPr>
            </w:pPr>
          </w:p>
        </w:tc>
      </w:tr>
      <w:tr>
        <w:trPr>
          <w:trHeight w:val="247"/>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411,591</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402,466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Depreciation expense, including amortization of finance leases, for the years ended October 31, 2025, 2024, and 2023 was $64.0 million, $34.9 million and $27.6 million, respectively. As a result of push-down accounting related to the assets acquired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Tyman acquisition, we recorded a one-time depreciation charge of $7.3 million to reflect the application on useful lives on an asset by asset basis thus requiring an adjustment during during the year ended October 31, 2025.</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reported balances of our property, plant and equipment as of October 31, 2025 have been updated to incorporate reclassifications of balances between categories of assets and between gross and accumulated depreciation values. These reclassifications are immaterial to the current and prior period financial statements.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 We did not incur impairment losses associated with these assets for the years ended October 31, 2025, 2024, and 2023. See further discussion at Note 1, “Nature of Operations, Basis of Presentation and Significant Accounting Policies - Long-Lived Assets - Property, Plant and Equipment and Intangible Assets with Defined Lives.”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2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(calculated as the present value of lease payments over the term of the lease)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and we determined there have been no triggering events for impairment.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 at October 31, 2025 and 2024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6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480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40"/>
              <w:spacing w:after="0" w:line="201" w:lineRule="exact"/>
              <w:rPr>
                <w:sz w:val="20"/>
                <w:szCs w:val="20"/>
                <w:color w:val="auto"/>
              </w:rPr>
            </w:pPr>
            <w:r>
              <w:rPr>
                <w:rFonts w:ascii="Times New Roman" w:cs="Times New Roman" w:eastAsia="Times New Roman" w:hAnsi="Times New Roman"/>
                <w:sz w:val="18"/>
                <w:szCs w:val="18"/>
                <w:color w:val="auto"/>
              </w:rPr>
              <w:t>Operating lease assets</w:t>
            </w:r>
          </w:p>
        </w:tc>
        <w:tc>
          <w:tcPr>
            <w:tcW w:w="480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154,866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126,715</w:t>
            </w:r>
          </w:p>
        </w:tc>
        <w:tc>
          <w:tcPr>
            <w:tcW w:w="0" w:type="dxa"/>
            <w:vAlign w:val="bottom"/>
          </w:tcPr>
          <w:p>
            <w:pPr>
              <w:spacing w:after="0"/>
              <w:rPr>
                <w:sz w:val="1"/>
                <w:szCs w:val="1"/>
                <w:color w:val="auto"/>
              </w:rPr>
            </w:pPr>
          </w:p>
        </w:tc>
      </w:tr>
      <w:tr>
        <w:trPr>
          <w:trHeight w:val="148"/>
        </w:trPr>
        <w:tc>
          <w:tcPr>
            <w:tcW w:w="2420" w:type="dxa"/>
            <w:vAlign w:val="bottom"/>
            <w:gridSpan w:val="2"/>
            <w:vMerge w:val="restart"/>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auto"/>
              </w:rPr>
              <w:t>Finance lease assets</w:t>
            </w:r>
          </w:p>
        </w:tc>
        <w:tc>
          <w:tcPr>
            <w:tcW w:w="15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shd w:val="clear" w:color="auto" w:fill="CCEEFF"/>
              </w:rPr>
              <w:t>Property, plant and</w:t>
            </w:r>
          </w:p>
        </w:tc>
        <w:tc>
          <w:tcPr>
            <w:tcW w:w="3040" w:type="dxa"/>
            <w:vAlign w:val="bottom"/>
            <w:vMerge w:val="restart"/>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3"/>
                <w:shd w:val="clear" w:color="auto" w:fill="CCEEFF"/>
              </w:rPr>
              <w:t>equipment (less accumulated depreciation of</w:t>
            </w:r>
          </w:p>
        </w:tc>
        <w:tc>
          <w:tcPr>
            <w:tcW w:w="16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72,275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67,046</w:t>
            </w:r>
          </w:p>
        </w:tc>
        <w:tc>
          <w:tcPr>
            <w:tcW w:w="0" w:type="dxa"/>
            <w:vAlign w:val="bottom"/>
          </w:tcPr>
          <w:p>
            <w:pPr>
              <w:spacing w:after="0"/>
              <w:rPr>
                <w:sz w:val="1"/>
                <w:szCs w:val="1"/>
                <w:color w:val="auto"/>
              </w:rPr>
            </w:pPr>
          </w:p>
        </w:tc>
      </w:tr>
      <w:tr>
        <w:trPr>
          <w:trHeight w:val="54"/>
        </w:trPr>
        <w:tc>
          <w:tcPr>
            <w:tcW w:w="2420" w:type="dxa"/>
            <w:vAlign w:val="bottom"/>
            <w:gridSpan w:val="2"/>
            <w:vMerge w:val="continue"/>
            <w:shd w:val="clear" w:color="auto" w:fill="CCEEFF"/>
          </w:tcPr>
          <w:p>
            <w:pPr>
              <w:spacing w:after="0"/>
              <w:rPr>
                <w:sz w:val="4"/>
                <w:szCs w:val="4"/>
                <w:color w:val="auto"/>
              </w:rPr>
            </w:pPr>
          </w:p>
        </w:tc>
        <w:tc>
          <w:tcPr>
            <w:tcW w:w="1580" w:type="dxa"/>
            <w:vAlign w:val="bottom"/>
            <w:vMerge w:val="restart"/>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w w:val="97"/>
                <w:shd w:val="clear" w:color="auto" w:fill="CCEEFF"/>
              </w:rPr>
              <w:t>$15,680 and $10,362)</w:t>
            </w:r>
          </w:p>
        </w:tc>
        <w:tc>
          <w:tcPr>
            <w:tcW w:w="304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5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15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193,761</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Current</w:t>
            </w:r>
          </w:p>
        </w:tc>
        <w:tc>
          <w:tcPr>
            <w:tcW w:w="15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15,446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12,475</w:t>
            </w: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Noncurrent</w:t>
            </w:r>
          </w:p>
        </w:tc>
        <w:tc>
          <w:tcPr>
            <w:tcW w:w="15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117,560</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5"/>
          </w:tcPr>
          <w:p>
            <w:pPr>
              <w:ind w:left="20"/>
              <w:spacing w:after="0" w:line="201" w:lineRule="exact"/>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56,256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56,988</w:t>
            </w:r>
          </w:p>
        </w:tc>
        <w:tc>
          <w:tcPr>
            <w:tcW w:w="0" w:type="dxa"/>
            <w:vAlign w:val="bottom"/>
          </w:tcPr>
          <w:p>
            <w:pPr>
              <w:spacing w:after="0"/>
              <w:rPr>
                <w:sz w:val="1"/>
                <w:szCs w:val="1"/>
                <w:color w:val="auto"/>
              </w:rPr>
            </w:pPr>
          </w:p>
        </w:tc>
      </w:tr>
      <w:tr>
        <w:trPr>
          <w:trHeight w:val="247"/>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28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year ended October 31, 2025 and 2024 (in thousands):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Operating lease cost</w:t>
            </w:r>
          </w:p>
        </w:tc>
        <w:tc>
          <w:tcPr>
            <w:tcW w:w="15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23,758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13,074</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Finance lease cost</w:t>
            </w:r>
          </w:p>
        </w:tc>
        <w:tc>
          <w:tcPr>
            <w:tcW w:w="15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20" w:type="dxa"/>
            <w:vAlign w:val="bottom"/>
            <w:gridSpan w:val="7"/>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Amortization of leased assets</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4,970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15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2,934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Variable lease costs</w:t>
            </w:r>
          </w:p>
        </w:tc>
        <w:tc>
          <w:tcPr>
            <w:tcW w:w="15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3,441</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15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35,103</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22,038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year ended October 31, 2025 and 2024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20" w:type="dxa"/>
            <w:vAlign w:val="bottom"/>
            <w:tcBorders>
              <w:bottom w:val="single" w:sz="8" w:color="auto"/>
            </w:tcBorders>
          </w:tcPr>
          <w:p>
            <w:pPr>
              <w:spacing w:after="0"/>
              <w:rPr>
                <w:sz w:val="16"/>
                <w:szCs w:val="16"/>
                <w:color w:val="auto"/>
              </w:rPr>
            </w:pPr>
          </w:p>
        </w:tc>
      </w:tr>
      <w:tr>
        <w:trPr>
          <w:trHeight w:val="194"/>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8"/>
        </w:trPr>
        <w:tc>
          <w:tcPr>
            <w:tcW w:w="7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financing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3,068</w:t>
            </w: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operating cash flows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2,599</w:t>
            </w: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 - operating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21,077</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11,731</w:t>
            </w:r>
          </w:p>
        </w:tc>
      </w:tr>
      <w:tr>
        <w:trPr>
          <w:trHeight w:val="269"/>
        </w:trPr>
        <w:tc>
          <w:tcPr>
            <w:tcW w:w="7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43,121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89,796</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2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The table below presents the weighted average remaining lease terms and weighted average discount rates for the Company's leases as of October 31, 2025 and 2024:</w:t>
      </w:r>
    </w:p>
    <w:p>
      <w:pPr>
        <w:spacing w:after="0" w:line="8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8"/>
        </w:trPr>
        <w:tc>
          <w:tcPr>
            <w:tcW w:w="6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69"/>
        </w:trPr>
        <w:tc>
          <w:tcPr>
            <w:tcW w:w="6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5.64 %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5.31 %</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4.92 %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4.84 %</w:t>
            </w:r>
          </w:p>
        </w:tc>
      </w:tr>
      <w:tr>
        <w:trPr>
          <w:trHeight w:val="444"/>
        </w:trPr>
        <w:tc>
          <w:tcPr>
            <w:tcW w:w="7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maturity of the lease liabilities as of October 31, 2025 (in thousands):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1"/>
        </w:trPr>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gridSpan w:val="5"/>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Year ended October 31, 2025</w:t>
            </w:r>
          </w:p>
        </w:tc>
      </w:tr>
      <w:tr>
        <w:trPr>
          <w:trHeight w:val="25"/>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68"/>
        </w:trPr>
        <w:tc>
          <w:tcPr>
            <w:tcW w:w="69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23,884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7,323</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21,242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7,173</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19,576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6,830</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18,314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6,498</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16,982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6,146</w:t>
            </w:r>
          </w:p>
        </w:tc>
      </w:tr>
      <w:tr>
        <w:trPr>
          <w:trHeight w:val="202"/>
        </w:trPr>
        <w:tc>
          <w:tcPr>
            <w:tcW w:w="698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120,209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51,637</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220,207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85,607</w:t>
            </w:r>
          </w:p>
        </w:tc>
      </w:tr>
      <w:tr>
        <w:trPr>
          <w:trHeight w:val="202"/>
        </w:trPr>
        <w:tc>
          <w:tcPr>
            <w:tcW w:w="6980" w:type="dxa"/>
            <w:vAlign w:val="bottom"/>
            <w:tcBorders>
              <w:bottom w:val="single" w:sz="8" w:color="CCEEFF"/>
            </w:tcBorders>
          </w:tcPr>
          <w:p>
            <w:pPr>
              <w:ind w:left="140"/>
              <w:spacing w:after="0" w:line="201" w:lineRule="exact"/>
              <w:rPr>
                <w:sz w:val="20"/>
                <w:szCs w:val="20"/>
                <w:color w:val="auto"/>
              </w:rPr>
            </w:pPr>
            <w:r>
              <w:rPr>
                <w:rFonts w:ascii="Times New Roman" w:cs="Times New Roman" w:eastAsia="Times New Roman" w:hAnsi="Times New Roman"/>
                <w:sz w:val="18"/>
                <w:szCs w:val="18"/>
                <w:color w:val="auto"/>
              </w:rPr>
              <w:t>Less: present value discount</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59,302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24,874</w:t>
            </w:r>
          </w:p>
        </w:tc>
      </w:tr>
      <w:tr>
        <w:trPr>
          <w:trHeight w:val="220"/>
        </w:trPr>
        <w:tc>
          <w:tcPr>
            <w:tcW w:w="69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160,905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60,733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the carrying amount of goodwill for the years ended October 31, 2025 and 2024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060" w:type="dxa"/>
            <w:vAlign w:val="bottom"/>
          </w:tcPr>
          <w:p>
            <w:pPr>
              <w:spacing w:after="0"/>
              <w:rPr>
                <w:sz w:val="16"/>
                <w:szCs w:val="16"/>
                <w:color w:val="auto"/>
              </w:rPr>
            </w:pPr>
          </w:p>
        </w:tc>
      </w:tr>
      <w:tr>
        <w:trPr>
          <w:trHeight w:val="25"/>
        </w:trPr>
        <w:tc>
          <w:tcPr>
            <w:tcW w:w="7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7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2024 and 2023</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2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385,045</w:t>
            </w:r>
          </w:p>
        </w:tc>
      </w:tr>
      <w:tr>
        <w:trPr>
          <w:trHeight w:val="228"/>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(302,284)</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2025 and 2024</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271,346</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574,711</w:t>
            </w:r>
          </w:p>
        </w:tc>
      </w:tr>
      <w:tr>
        <w:trPr>
          <w:trHeight w:val="20"/>
        </w:trPr>
        <w:tc>
          <w:tcPr>
            <w:tcW w:w="7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 connection with our restructuring, we reassigned goodwill among certain of our reporting units using a relative fair value approach and performed a quantitative goodwill impairment test on all reporting units to determine if any impairment existed.</w:t>
      </w:r>
    </w:p>
    <w:p>
      <w:pPr>
        <w:spacing w:after="0" w:line="10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 estimate the fair value of our reporting units, we applied both the discounted cash flow method under the income approach and the market approach. The resulting fair value was lower than the carrying value for certain reporting units as a result of the prolonged decline in our stock price through the testing date, driven by weaker consumer confidence and high levels of uncertainty across the industry, necessitating the recognition of a non-cash goodwill impairment charge of $302.3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million, which has been recorded in the consolidated statements of (loss) income within “Goodwill impairment charges” for the year ended October 31, 2025.</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As a result of the restructuring in the third quarter of 2025, we had ten reporting units, nine of which comprised our goodwill balance prior to the goodwill impairment during the nine months ended July 31, 2025. These ten reporting units were aggregated into our three reportable segments. After the goodwill impairment, seven of the reporting units comprise the remaining goodwill balance.</w:t>
      </w:r>
    </w:p>
    <w:p>
      <w:pPr>
        <w:spacing w:after="0" w:line="12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At our last annual test date, August 31, 2025, we evaluated the recoverability of goodwill at each of our seven reporting units with goodwill balances and determined that our goodwill was not impaired.</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During the fourth quarter of 2025, after reviewing general potential indicators of impairment and noting a triggering event related to the decline in stock price, we performed an interim goodwill impairment assessment as of September 30, 2025. Based on the results of this analysis, no additional goodwill impairment was identified.</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For additional information and discussion of change in reporting units and a summary of the change in the carrying amount of goodwill by segment, see Note 17, “Segment Information.” For additional discussion of our acquisition of Tyman plc and for further details on the measurement period adjustments, see Note 2,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October 31, 2025 and 2024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60" w:type="dxa"/>
            <w:vAlign w:val="bottom"/>
          </w:tcPr>
          <w:p>
            <w:pPr>
              <w:spacing w:after="0"/>
              <w:rPr>
                <w:sz w:val="16"/>
                <w:szCs w:val="16"/>
                <w:color w:val="auto"/>
              </w:rPr>
            </w:pPr>
          </w:p>
        </w:tc>
        <w:tc>
          <w:tcPr>
            <w:tcW w:w="26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160" w:type="dxa"/>
            <w:vAlign w:val="bottom"/>
          </w:tcPr>
          <w:p>
            <w:pPr>
              <w:spacing w:after="0"/>
              <w:rPr>
                <w:sz w:val="16"/>
                <w:szCs w:val="16"/>
                <w:color w:val="auto"/>
              </w:rPr>
            </w:pPr>
          </w:p>
        </w:tc>
        <w:tc>
          <w:tcPr>
            <w:tcW w:w="2580" w:type="dxa"/>
            <w:vAlign w:val="bottom"/>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5"/>
        </w:trPr>
        <w:tc>
          <w:tcPr>
            <w:tcW w:w="39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8"/>
        </w:trPr>
        <w:tc>
          <w:tcPr>
            <w:tcW w:w="3940" w:type="dxa"/>
            <w:vAlign w:val="bottom"/>
          </w:tcPr>
          <w:p>
            <w:pPr>
              <w:spacing w:after="0"/>
              <w:rPr>
                <w:sz w:val="11"/>
                <w:szCs w:val="11"/>
                <w:color w:val="auto"/>
              </w:rPr>
            </w:pPr>
          </w:p>
        </w:tc>
        <w:tc>
          <w:tcPr>
            <w:tcW w:w="1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Remaining Weighted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83"/>
        </w:trPr>
        <w:tc>
          <w:tcPr>
            <w:tcW w:w="394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Average Useful Life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22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112,748</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 years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47,685</w:t>
            </w: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11 years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w:t>
            </w:r>
          </w:p>
        </w:tc>
      </w:tr>
      <w:tr>
        <w:trPr>
          <w:trHeight w:val="222"/>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182,820</w:t>
            </w:r>
          </w:p>
        </w:tc>
      </w:tr>
      <w:tr>
        <w:trPr>
          <w:trHeight w:val="20"/>
        </w:trPr>
        <w:tc>
          <w:tcPr>
            <w:tcW w:w="3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do not estimate a residual value associated with these intangible assets. See additional disclosure at Note 1, "Nature of Operations, Basis of Presentation and Significant Accounting Policies - Restructuring."</w:t>
      </w:r>
    </w:p>
    <w:p>
      <w:pPr>
        <w:spacing w:after="0" w:line="12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aggregate amortization expense associated with identifiable intangible assets for the years ended October 31, 2025, 2024, and 2023 was $39.3 million, $21.6 million and $12.1 million, respectively. During the year ended October 31, 2025, we recorded a one-time adjustment to amortization expense of $3.5 million.</w:t>
      </w:r>
    </w:p>
    <w:p>
      <w:pPr>
        <w:spacing w:after="0" w:line="123" w:lineRule="exact"/>
        <w:rPr>
          <w:sz w:val="20"/>
          <w:szCs w:val="20"/>
          <w:color w:val="auto"/>
        </w:rPr>
      </w:pPr>
    </w:p>
    <w:p>
      <w:pPr>
        <w:ind w:right="360" w:firstLine="403"/>
        <w:spacing w:after="0" w:line="268"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October 31, 2025 (in thousands):</w:t>
      </w:r>
    </w:p>
    <w:tbl>
      <w:tblPr>
        <w:tblLayout w:type="fixed"/>
        <w:tblInd w:w="0" w:type="dxa"/>
        <w:tblCellMar>
          <w:top w:w="0" w:type="dxa"/>
          <w:left w:w="0" w:type="dxa"/>
          <w:bottom w:w="0" w:type="dxa"/>
          <w:right w:w="0" w:type="dxa"/>
        </w:tblCellMar>
      </w:tblPr>
      <w:tr>
        <w:trPr>
          <w:trHeight w:val="149"/>
        </w:trPr>
        <w:tc>
          <w:tcPr>
            <w:tcW w:w="9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right"/>
              <w:ind w:right="59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3"/>
        </w:trPr>
        <w:tc>
          <w:tcPr>
            <w:tcW w:w="9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38,873</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33,640</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33,623</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32,189</w:t>
            </w:r>
          </w:p>
        </w:tc>
      </w:tr>
      <w:tr>
        <w:trPr>
          <w:trHeight w:val="228"/>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371,939</w:t>
            </w:r>
          </w:p>
        </w:tc>
      </w:tr>
      <w:tr>
        <w:trPr>
          <w:trHeight w:val="247"/>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549,137</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discussed in Note 1, "Nature of Operations, Basis of Presentation and Significant Accounting Policies - Long-Lived Assets,” we did not record any impairment charges related to property, plant and equipment or intangible assets as a result of the restructuring in the third quarter of 2025 or the decline in stock price in the fourth quarter of 2025. We did not incur impairment losses related to our identifiable intangible assets during the years ended October 31, 2025,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 at October 31, 2025 and 2024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payroll taxes and employee benefits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insurance and workers compensation</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(current portion)</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other</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103,623</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at October 31, 2025 and 2024 (in thousands):</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54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Facility</w:t>
            </w:r>
          </w:p>
        </w:tc>
        <w:tc>
          <w:tcPr>
            <w:tcW w:w="1080" w:type="dxa"/>
            <w:vAlign w:val="bottom"/>
            <w:gridSpan w:val="2"/>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468,750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172,500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692,829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Borders>
              <w:bottom w:val="single" w:sz="8" w:color="auto"/>
            </w:tcBorders>
            <w:gridSpan w:val="2"/>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665,268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A Facility</w:t>
      </w:r>
    </w:p>
    <w:p>
      <w:pPr>
        <w:spacing w:after="0" w:line="117"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 Our previous credit facility is more fully described in our Annual Report on Form 10-K for the fiscal year ended October 31, 2023.</w:t>
      </w:r>
    </w:p>
    <w:p>
      <w:pPr>
        <w:spacing w:after="0" w:line="7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will include alternative currency, letter of credit, and swing-line sub-facilities of $100 million, $30 million, and $15 million, respectively. We capitalized $13.8 million of deferred financing fees related to the Amended Credit Agreement. The maturity date of the Facilities will be five years after the acquisition effective date, maturing on August 1, 2029.</w:t>
      </w:r>
    </w:p>
    <w:p>
      <w:pPr>
        <w:spacing w:after="0" w:line="79"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or incurrence of debt and 100% of the net cash proceeds of all asset sales, insurance and condemnation recoveries, and other asset dispositions.</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margin percentages are based on the Consolidated Net Leverage Ratio outlined in the following table:</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4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22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1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Eurocurrency Rate Loans</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Base Rate Loans</w:t>
            </w:r>
          </w:p>
        </w:tc>
        <w:tc>
          <w:tcPr>
            <w:tcW w:w="0" w:type="dxa"/>
            <w:vAlign w:val="bottom"/>
          </w:tcPr>
          <w:p>
            <w:pPr>
              <w:spacing w:after="0"/>
              <w:rPr>
                <w:sz w:val="1"/>
                <w:szCs w:val="1"/>
                <w:color w:val="auto"/>
              </w:rPr>
            </w:pPr>
          </w:p>
        </w:tc>
      </w:tr>
      <w:tr>
        <w:trPr>
          <w:trHeight w:val="188"/>
        </w:trPr>
        <w:tc>
          <w:tcPr>
            <w:tcW w:w="15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RFR Loans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15810" cy="161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810" cy="1619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III</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635</wp:posOffset>
            </wp:positionV>
            <wp:extent cx="7115810" cy="2647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810" cy="264795"/>
                    </a:xfrm>
                    <a:prstGeom prst="rect">
                      <a:avLst/>
                    </a:prstGeom>
                    <a:noFill/>
                  </pic:spPr>
                </pic:pic>
              </a:graphicData>
            </a:graphic>
          </wp:anchor>
        </w:drawing>
      </w:r>
    </w:p>
    <w:p>
      <w:pPr>
        <w:ind w:right="240"/>
        <w:spacing w:after="0" w:line="241"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0.150%</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2"/>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0.175%</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1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0.200%</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2"/>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0.250%</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2.75%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00" w:lineRule="exact"/>
        <w:rPr>
          <w:sz w:val="20"/>
          <w:szCs w:val="20"/>
          <w:color w:val="auto"/>
        </w:rPr>
      </w:pPr>
    </w:p>
    <w:p>
      <w:pPr>
        <w:sectPr>
          <w:pgSz w:w="11900" w:h="16838" w:orient="portrait"/>
          <w:cols w:equalWidth="0" w:num="3">
            <w:col w:w="580" w:space="540"/>
            <w:col w:w="4360" w:space="720"/>
            <w:col w:w="5040"/>
          </w:cols>
          <w:pgMar w:left="320" w:top="121" w:right="339" w:bottom="1440" w:gutter="0" w:footer="0" w:header="0"/>
          <w:type w:val="continuous"/>
        </w:sectPr>
      </w:pPr>
    </w:p>
    <w:p>
      <w:pPr>
        <w:spacing w:after="0" w:line="37"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Facilities provide for incremental revolving credit commitments for a minimum principal amount of $10.0 million, up to an aggregate amount of the greater of (1) $310.0 million and (2) 100% of Consolidated EBITDA, subject to the lender's discretion to elect or decline the incremental increase. We can also borrow up to the lesser of $15.0 million or the revolving credit commitment, as defined, under a Swingline feature of the Credit Agreement.</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Facilities contain a: (1) Consolidated Interest Coverage Ratio requirement whereby we must not permit the Consolidated Interest Coverage Ratio, as defined, to be less than 3.00 to 1.00, and (2) Consolidated Net Leverage Ratio requirement whereby the Consolidated Net Leverage Ratio, as defined, must be greater than 3.25 to 1.00.</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Facilities also limit our ability to enter into certain business transactions, such as to incur indebtedness or liens, to acquire businesses or dispose of material assets, make restricted payments, pay dividends (limited to $35.0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 of October 31, 2025, we had $641.3 million of borrowings outstanding under the Facilities (reduced by unamortized debt issuance costs of $11.0 million), $6.2 million of outstanding letters of credit and $62.6 million outstanding primarily under finance leases and other debt. We had $296.3 million available for use under the Revolving Credit Facility at October 31, 2025. The borrowings outstanding as of October 31, 2025 under the Facilities accrue interest at 6.57% per annum, and our weighted average borrowing rate for borrowings outstanding during the years ended October 31, 2025 and 2024 was 6.83% and 7.20%, respectively. We were in compliance with our debt covenants as of October 31, 2025.</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maintain certain finance lease obligations related to equipment purchases, vehicles, and warehouse space. Refer to Note 6 “Leases” for further information regarding our finance leases.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scheduled maturity dates of our long-term debt outstanding (excluding deferred financing fees of $11.0 million)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Leases and Other</w:t>
            </w:r>
          </w:p>
        </w:tc>
        <w:tc>
          <w:tcPr>
            <w:tcW w:w="160" w:type="dxa"/>
            <w:vAlign w:val="bottom"/>
          </w:tcPr>
          <w:p>
            <w:pPr>
              <w:spacing w:after="0"/>
              <w:rPr>
                <w:sz w:val="16"/>
                <w:szCs w:val="16"/>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Aggregate Maturities</w:t>
            </w:r>
          </w:p>
        </w:tc>
      </w:tr>
      <w:tr>
        <w:trPr>
          <w:trHeight w:val="25"/>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33,351</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33,031</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572,748</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51,637</w:t>
            </w:r>
          </w:p>
        </w:tc>
      </w:tr>
      <w:tr>
        <w:trPr>
          <w:trHeight w:val="222"/>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payments</w:t>
            </w: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641,250</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728,743</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 of finance leases</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r>
      <w:tr>
        <w:trPr>
          <w:trHeight w:val="24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703,869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a number of retirement plans covering substantially all employees. We have provided both defined benefit and defined contribution plans, though we terminated our defined benefit plan in 2023. In general, an employee’s coverage for retirement benefits depends on the location of employment.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During the year ended October 31, 2023, we terminated our defined benefit plan and settled the obligation during the three months ended October 31, 2023. Until such time that the termination was complete, the participants received an interest related credit on their respective balance equivalent to the prevailing 30-year Treasury rate. The majority of our pension plan participants had their benefit determined pursuant to the cash balance formula. For the remaining participants, the benefit formula was a traditional formula for retirement benefits, whereby the plan payed benefits to employees using a formula which considered years of service and pensionable compensation. During the year ended October 31, 2023, we contributed $6.3 million to the plan in connection with the termination and distribution of the obligation.</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periodic benefit cost for the year ended October 2023,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25"/>
        </w:trPr>
        <w:tc>
          <w:tcPr>
            <w:tcW w:w="9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8"/>
        </w:trPr>
        <w:tc>
          <w:tcPr>
            <w:tcW w:w="9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8"/>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0"/>
        </w:trPr>
        <w:tc>
          <w:tcPr>
            <w:tcW w:w="9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also sponsor a defined contribution plan into which we and our employees make contributions. We match 100% of employee deferrals up to 5% of eligible annual compensation for all employees under the plan. We do not offer our common stock as a direct investment option under these plans. For the years ended October 31, 2025, 2024 and 2023, we contributed approximately $10.4 million, $7.7 million and $6.5 million for these plans,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Plans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had supplemental benefit plans covering certain executive officers and currently have a non-qualified deferred compensation plan covering members of the Board of Directors and certain key employees. During the year ended October 31, 2024, the supplemental benefit plan was terminated and the benefits associated with this plan were distributed in accordance with Internal Revenue Service regulations. As of October 31, 2025 and 2024 our liability under the deferred compensation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was approximately $4.1 million and $4.7 million, respectively. As of October 31, 2025 and 2024, the current portion of these liabilities was recorded under the caption “Accrued Liabilities,” and the long-term portion was included under the caption “Other Liabilities” in the accompanying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60"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The provision or benefit for income taxes includes U.S. federal income taxes, foreign income taxes and state income taxes. We provide for income taxes on taxable income at the applicable statutory rates. The following table summarizes the components of income tax expense for the years ended October 31, 2025,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8"/>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22"/>
        </w:trPr>
        <w:tc>
          <w:tcPr>
            <w:tcW w:w="6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2"/>
        </w:trPr>
        <w:tc>
          <w:tcPr>
            <w:tcW w:w="6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w:t>
            </w:r>
          </w:p>
        </w:tc>
      </w:tr>
      <w:tr>
        <w:trPr>
          <w:trHeight w:val="247"/>
        </w:trPr>
        <w:tc>
          <w:tcPr>
            <w:tcW w:w="6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For financial reporting purposes, income before income taxes for the years ended October 31, 2025, 2024 and 2023 includes the following components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r>
      <w:tr>
        <w:trPr>
          <w:trHeight w:val="22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54,460</w:t>
            </w:r>
          </w:p>
        </w:tc>
      </w:tr>
      <w:tr>
        <w:trPr>
          <w:trHeight w:val="247"/>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42,082</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our effective income tax rate to the federal statutory rate for the years ended October 31, 2025, 2024 and 2023:</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tax at statutory rate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(22.4)%</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true up</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 patent box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income tax credits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inclusions (including global intangible low-taxed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return to accrual adjustments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2"/>
        </w:trPr>
        <w:tc>
          <w:tcPr>
            <w:tcW w:w="7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year ended October 31, 2025, the Company recorded a $9.0 million discrete income tax charge related to post measurement period corrections to the deferred tax assets and liabilities established in the acquisition of Tyman. This amount has been recognized through current-period income tax expense. The discrete income tax charge is reflected in the line item “Income tax expense” in the Consolidated Statements of (Loss) Income for the year ended October 31, 2025, and is separately disclosed in the Company’s effective tax rate reconciliation as “Deferred true up”.</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earnings from our foreign subsidiaries qualify for Federal Dividend Received Deduction and are not subject to withholding taxes upon remittance to the U.S. However, some of the states do not conform to the Federal Dividend Received Deduction. As a result, we have $0.7 million of future tax liability related to potential repatriation of unremitted foreign retained earnings. The amount of undistributed foreign earnings and profits from international operations as of the years ended October 31, 2025 and 2024, respectively, was $66.1 million and $21.7 million.</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We have completed our initial assessment of the OBBBA corporate tax provisions which were enacted on July 4, 2025 and estimated our impact on the consolidated financial statements to be immaterial and primarily resulted in a reclass of our income tax payable and deferred tax liability related to the timing differences arising from accelerated tax depreciation. We continue to monitor the impact of these updates.</w:t>
      </w:r>
    </w:p>
    <w:p>
      <w:pPr>
        <w:spacing w:after="0" w:line="13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Inclusive Framework on Base Erosion and Profit Shifting (“BEPS”) developed an agreement on a two-pillar approach to help address the tax challenges arising from the digitalization of the economy. Pillar One applies to large multinational enterprises and re-allocates part of their profit to the countries where they sell their products and provide services. Quanex does not expect to be subject to the Pillar One rules. Pillar Two aims to establish a minimum global tax rate of 15%, assessed through a top-up tax imposed on a country-by-country basis. In 2023, certain jurisdictions in which we operate enacted legislation consistent with the OECD Pillar Two model effective for taxation year beginning on or after January 1, 2024. We have accrued for additional top-up tax in the United Kingdom and United Arab Emirates where our effective tax rate drops below 15%. The Pillar Two legislation has an immaterial impact our 2025 fiscal year effective tax rate. However, further changes to our entity structure or changes in jurisdictions in which we operate could adversely impact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components of our net deferred tax liabilities and assets were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r>
      <w:tr>
        <w:trPr>
          <w:trHeight w:val="25"/>
        </w:trPr>
        <w:tc>
          <w:tcPr>
            <w:tcW w:w="7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other benefit obligations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 of use liability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and tax credit carry 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65,228</w:t>
            </w: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60,325</w:t>
            </w:r>
          </w:p>
        </w:tc>
      </w:tr>
      <w:tr>
        <w:trPr>
          <w:trHeight w:val="228"/>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55,930</w:t>
            </w:r>
          </w:p>
        </w:tc>
      </w:tr>
      <w:tr>
        <w:trPr>
          <w:trHeight w:val="22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45,554</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123,596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138,396</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foreign subsidiaries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asset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29,939</w:t>
            </w:r>
          </w:p>
        </w:tc>
      </w:tr>
      <w:tr>
        <w:trPr>
          <w:trHeight w:val="228"/>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194,107</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214,389</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133,287</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158,459</w:t>
            </w: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As of October 31, 2025, gross foreign capital loss, gross foreign net operating loss and gross state operating loss carry forwards totaled $14.2 million, $10.8 million and $25.9 million, respectively. The capital loss and the majority of the foreign net operating loss can be carried forward indefinitely. The majority of the state losses begin to expire in 2033. We evaluate tax benefits of operating losses and tax credit carry forwards on an ongoing basis, including a review of historical and projected future operating results, the eligible carry forward period and other circumstances. We have recorded a valuation allowance for the foreign capital loss and certain foreign operating and state net operating losses as of October 31, 2025 and 2024, totaling $4.4 million and $4.4 million, respectively. The valuation allowance can be affected in future periods by changes to tax laws, changes to statutory tax rates, and changes in estimates of future taxable income. To fully realize these net deferred tax assets, we will need to generate sufficient future taxable income in the jurisdictions where these tax attributes exist during the periods in which the attributes can be utilized. As of each reporting date, management considers the weight of all evidence, both positive and negative, to determine if a valuation allowance is necessary for each jurisdiction’s net deferred tax assets. We place greater weight on historical evidence over future predictions of our ability to utilize net deferred tax assets. We consider future reversals of existing taxable temporary differences, future taxable income exclusive of reversing temporary differences, and taxable income in prior carryback year(s) if carryback is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shows the change in the unrecognized income tax benefit associated with uncertain tax positions for the years ended October 31, 2025, 2024 and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95"/>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Income Tax Benefits</w:t>
            </w: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Reversal</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account for uncertain tax benefits in accordance with guidance in ASC 740, which prescribes the minimum recognition threshold a tax position taken or expected to be taken in a tax return is required to meet before being recognized in the financial statements. During the year ended October 31, 2025, we accrued $0.7 million of unrecognized tax benefits primarily related to transfer pricing matters.</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along with our subsidiaries, file income tax returns in the U.S. and various state and foreign jurisdictions. In certain jurisdictions, the statute of limitations has not yet expired. We generally remain subject to examination of our U.S. income tax returns for 2022 and subsequent years. We generally remain subject to examination of our various state and foreign income tax returns for a period of four to five years from the date the return was filed. The state impact of a reported federal adjustment or change remains subject to examination by various states within the longer of one year or the expiration date of the otherwise applicable statute of limitations. We classify interest on income tax as income tax expenses and classify penalties on income tax as other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71"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are a party to non-cancelable purchase obligations primarily for door hardware, primary and secondary steel and primary and secondary aluminum used in our manufacturing processes, as well as expenditures related to capital projects in progress. We paid $9.5 million and $4.5 million pursuant to these arrangements for the years ended October 31, 2025 and 2024, respectively. These obligations total $8.3 million and $2.5 million at October 31, 2025 and 2024, respectively, and extend through fiscal 2027. Future amounts paid pursuant to these arrangements will depend, to some extent, on our usage.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maintain asset retirement obligations associated with leased facilities primarily in the U.K. We have estimated our future cash flows associated with this asset retirement obligation and recorded an asset and corresponding liability. We are depreciating the assets and accreting the liabilities over the terms of the corresponding leases and have included an asset retirement obligation of $3.0 million in Other Liabilities on the consolidated balance sheet.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2026.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32"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On September 19, 2025, a purported shareholder class action lawsuit against the Company and two of its officers was filed in federal court in the Southern District of Texas, titled Zanol v. Quanex Building Products Corporation et al, Case No. 4:25-cv-04453. The suit alleges certain violations of federal securities laws related to public disclosures made by the Company in 2025 principally related to our window and door operations in Mexico and seeks unspecified damages. While the ultimate outcome of any legal matter cannot be predicted with certainty, the Company strongly believes that this complaint is without merit, intends to vigorously defend itself and its officers against the allegations, and maintains insurance coverage for such matters. At present, the Company cannot reasonably estimate a range of loss, if any, for this action based on its early stage and the information available to the Company, and accordingly, the Company has not accrued any liability associated with this action.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 of Assets and Liabilities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9" w:lineRule="exact"/>
        <w:rPr>
          <w:sz w:val="20"/>
          <w:szCs w:val="20"/>
          <w:color w:val="auto"/>
        </w:rPr>
      </w:pPr>
    </w:p>
    <w:p>
      <w:pPr>
        <w:ind w:left="480" w:hanging="15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5" w:lineRule="exact"/>
        <w:rPr>
          <w:rFonts w:ascii="Times New Roman" w:cs="Times New Roman" w:eastAsia="Times New Roman" w:hAnsi="Times New Roman"/>
          <w:sz w:val="18"/>
          <w:szCs w:val="18"/>
          <w:color w:val="auto"/>
        </w:rPr>
      </w:pPr>
    </w:p>
    <w:p>
      <w:pPr>
        <w:jc w:val="both"/>
        <w:ind w:left="500" w:hanging="170"/>
        <w:spacing w:after="0" w:line="259"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3" w:lineRule="exact"/>
        <w:rPr>
          <w:rFonts w:ascii="Times New Roman" w:cs="Times New Roman" w:eastAsia="Times New Roman" w:hAnsi="Times New Roman"/>
          <w:sz w:val="18"/>
          <w:szCs w:val="18"/>
          <w:color w:val="auto"/>
        </w:rPr>
      </w:pPr>
    </w:p>
    <w:p>
      <w:pPr>
        <w:ind w:left="480" w:hanging="150"/>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Carrying amounts reported on the balance sheets for cash, cash equivalents, accounts receivable and accounts payable approximate fair value due to the short-term maturity of these instruments. Our outstanding debt is variable rate debt that re-prices frequently, thereby limiting our exposure to significant changes in interest rate risk. As a result, the fair value of our debt instruments approximates carrying value at October 31, 2025 and 2024 (Level 2 measurement).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31, 2025, we have outstanding forward foreign exchange contracts to hedge our foreign currency exposures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against the Mexican Peso (“MXN”) to U.S. Dollar (“USD”), with a notional principal amount of $20.0 million. Hedge accounting is not applied to our forward exchange contracts. These contracts have a range of maturities up to February 27, 2026. Our forward foreign exchange contracts are adjusted to fair value by recording gains and losses to “Other, net,” and we record the related asset or liability to “Other Assets” or “Current Liabilities” in the accompanying consolidated statement of (loss) income and consolidated balance sheets, respectively. During the year ended October 31, 2025 and 2024, we recognized a net loss of less than $0.1 million and $0.3 million, respectively, related to our forward foreign exchange contracts. The value of our forward foreign exchange contracts fluctuates based on exchange rate fluctuations against the USD to GBP, and the MXN to USD (Level 2 measurements).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twelve months ended October 31, 2025, we subscribed to Bonds for the Reconstruction for a Free Argentina (“BOPREAL”) issued by the Argentine Central Bank. The BOPREAL bond subscriptions were denominated in Argentine Pesos (“ARS”) and settled in USD during the twelve months ended October 31, 2025, resulting in total proceeds of the BOPREAL bonds to be approximately $2.6 million after $0.1 million deduction of taxes and transaction fees. As of October 31, 2025, we do not have any BOPREAL bond subscriptions outstanding.</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restricted stock units and performance share awards are marked-to-market on a quarterly basis during a three-year vesting period based on market data. For further information refer to Note 14, “Stock-Based Compensation - Performance Share Awards.”</w:t>
      </w:r>
    </w:p>
    <w:p>
      <w:pPr>
        <w:spacing w:after="0" w:line="55"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performed a fair value assessment corresponding with the purchase of Tyman. Due to the unique nature of this acquisition, this is considered a Level 3 measurement. For further information refer to Note 2,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we record assets and liabilities at fair value on a nonrecurring basis. Generally, assets are recorded at fair value on a nonrecurring basis as a result of impairment charges. The result of our third quarter 2025 goodwill impairment quantitative test indicated that the fair value of certain reporting units were less than the carrying value of the respective reporting units, resulting in a goodwill impairment of $302.3 million. We estimated the fair value utilizing an income approach and market approach valuation techniques, which incorporated significant unobservable Level 3 inputs. For further information, refer to Note 7, “Goodwill and Intangible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or a three year graded vesting schedule with service and continued employment as the only vesting criteria. The recipient of a restricted stock award is entitled to all of the rights of a shareholder, except that the awards are nontransferable during the vesting period and dividends are not paid until vesting.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 activity during the years ended October 31, 2025, 2024 and 2023,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34"/>
        </w:trPr>
        <w:tc>
          <w:tcPr>
            <w:tcW w:w="7480" w:type="dxa"/>
            <w:vAlign w:val="bottom"/>
          </w:tcPr>
          <w:p>
            <w:pPr>
              <w:spacing w:after="0"/>
              <w:rPr>
                <w:sz w:val="11"/>
                <w:szCs w:val="11"/>
                <w:color w:val="auto"/>
              </w:rPr>
            </w:pPr>
          </w:p>
        </w:tc>
        <w:tc>
          <w:tcPr>
            <w:tcW w:w="1760" w:type="dxa"/>
            <w:vAlign w:val="bottom"/>
            <w:vMerge w:val="restart"/>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35"/>
              <w:spacing w:after="0" w:line="134" w:lineRule="exact"/>
              <w:rPr>
                <w:sz w:val="20"/>
                <w:szCs w:val="20"/>
                <w:color w:val="auto"/>
              </w:rPr>
            </w:pPr>
            <w:r>
              <w:rPr>
                <w:rFonts w:ascii="Times New Roman" w:cs="Times New Roman" w:eastAsia="Times New Roman" w:hAnsi="Times New Roman"/>
                <w:sz w:val="13"/>
                <w:szCs w:val="13"/>
                <w:b w:val="1"/>
                <w:bCs w:val="1"/>
                <w:color w:val="auto"/>
              </w:rPr>
              <w:t>Grant Date Fair Value per</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0" w:type="dxa"/>
            <w:vAlign w:val="bottom"/>
          </w:tcPr>
          <w:p>
            <w:pPr>
              <w:spacing w:after="0"/>
              <w:rPr>
                <w:sz w:val="1"/>
                <w:szCs w:val="1"/>
                <w:color w:val="auto"/>
              </w:rPr>
            </w:pPr>
          </w:p>
        </w:tc>
      </w:tr>
      <w:tr>
        <w:trPr>
          <w:trHeight w:val="22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The total weighted average grant-date fair value of restricted stock awards that vested during the years ended October 31, 2025, 2024 and 2023 was $1.9 million, $1.4 million and $1.0 million, respectively. As of October 31, 2025, total unrecognized compensation cost related to unamortized restricted stock awards totaled $3.0 million. We expect to recognize this expense over the remaining weighted average period of 1.8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2025, 2024 and 2023.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We used the Black-Scholes pricing model to estimate the grant date fair value. The inputs to this model included expected volatility, expected term, a risk-free rate and expected dividend rate at the time of grant. For employees who were nearing retirement-eligibility, we recognized stock option expense ratably over the shorter of the vesting period or the period from the grant-date to the retirement-eligibility date.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years ended October 31, 2025, 2024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20" w:type="dxa"/>
            <w:vAlign w:val="bottom"/>
          </w:tcPr>
          <w:p>
            <w:pPr>
              <w:spacing w:after="0"/>
              <w:rPr>
                <w:sz w:val="12"/>
                <w:szCs w:val="12"/>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52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220" w:type="dxa"/>
            <w:vAlign w:val="bottom"/>
          </w:tcPr>
          <w:p>
            <w:pPr>
              <w:spacing w:after="0"/>
              <w:rPr>
                <w:sz w:val="11"/>
                <w:szCs w:val="11"/>
                <w:color w:val="auto"/>
              </w:rPr>
            </w:pPr>
          </w:p>
        </w:tc>
        <w:tc>
          <w:tcPr>
            <w:tcW w:w="110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 (in years)</w:t>
            </w:r>
          </w:p>
        </w:tc>
        <w:tc>
          <w:tcPr>
            <w:tcW w:w="22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Value (000s)</w:t>
            </w:r>
          </w:p>
        </w:tc>
        <w:tc>
          <w:tcPr>
            <w:tcW w:w="0" w:type="dxa"/>
            <w:vAlign w:val="bottom"/>
          </w:tcPr>
          <w:p>
            <w:pPr>
              <w:spacing w:after="0"/>
              <w:rPr>
                <w:sz w:val="1"/>
                <w:szCs w:val="1"/>
                <w:color w:val="auto"/>
              </w:rPr>
            </w:pPr>
          </w:p>
        </w:tc>
      </w:tr>
      <w:tr>
        <w:trPr>
          <w:trHeight w:val="22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October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68,950</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October 31,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68,950</w:t>
            </w:r>
          </w:p>
        </w:tc>
        <w:tc>
          <w:tcPr>
            <w:tcW w:w="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19.38</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For the years ended October 31, 2025, 2024 and 2023, the total intrinsic value of our stock options that were exercised totaled $0.1 million, $0.4 million and $0.5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years ended October 31, 2025, 2024 and 2023, 28,240, 26,215 and 38,704 restricted stock units, respectively, were granted to non employee directors with corresponding weighted average grant date fair value of $29.02, $26.70, and $20.67, respectively. During the fiscal year ended October 31, 2023, 21,774 restricted stock units, which were awarded to key employees, vested. During the years ended October 31, 2025, 2024 and 2023, we paid $0.6 million, $0.6 million and $0.4 million to settle restricted stock units.</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year ended October 31, 2024, 166,070 restricted stock units were granted to key employees with a weighted average grant date fair value of $31.83. These key employee grants vest in accordance with criteria which extend up to three years. During the years ended October 31, 2025 and 2024, 64,293 and 42,933 of these grants vested, respectively, and 2,756 and 1,242 were forfeited, respectively. During the years ended October 31, 2025 and 2024 we paid approximately $1.4 million and $1.2 million to settle these grants,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w:t>
      </w:r>
      <w:r>
        <w:rPr>
          <w:rFonts w:ascii="Times New Roman" w:cs="Times New Roman" w:eastAsia="Times New Roman" w:hAnsi="Times New Roman"/>
          <w:sz w:val="18"/>
          <w:szCs w:val="18"/>
          <w:color w:val="auto"/>
        </w:rPr>
        <w: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The performance share awards granted in December 2022 and December 2023 vest with return on net assets (RONA) as the vesting condition and pay out 100% in cash, and are accounted for as liability. The performance share awards granted in December 2024 and March 2025 vest with adjusted earnings per share performance as the vesting condition and RONA as a performance modifier and pay out 100% in cash, and are accounted for as a liability.</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December 2022 and December 2023 awarded performance shares may ultimately vest and 0% to 250% of the December 2024 performance shares may ultimately vest.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2"/>
        </w:trPr>
        <w:tc>
          <w:tcPr>
            <w:tcW w:w="75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Based on the results of the performance conditions, none of the December 2022 grants are expected to vest. In December 2024, 78,589 shares vested pursuant to the December 2021 grant, which were settled with a cash payment of $2.4 million. In December 2023, 122,400 shares vested pursuant to the December 2020 grant, which were settled with a cash payment of $3.4 million.</w:t>
      </w:r>
    </w:p>
    <w:p>
      <w:pPr>
        <w:spacing w:after="0" w:line="12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awarded performance restricted stock units to key employees and officers.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2"/>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4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0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280" w:type="dxa"/>
            <w:vAlign w:val="bottom"/>
          </w:tcPr>
          <w:p>
            <w:pPr>
              <w:spacing w:after="0"/>
              <w:rPr>
                <w:sz w:val="13"/>
                <w:szCs w:val="13"/>
                <w:color w:val="auto"/>
              </w:rPr>
            </w:pPr>
          </w:p>
        </w:tc>
        <w:tc>
          <w:tcPr>
            <w:tcW w:w="13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4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9"/>
        </w:trPr>
        <w:tc>
          <w:tcPr>
            <w:tcW w:w="4160" w:type="dxa"/>
            <w:vAlign w:val="bottom"/>
            <w:vMerge w:val="continue"/>
          </w:tcPr>
          <w:p>
            <w:pPr>
              <w:spacing w:after="0"/>
              <w:rPr>
                <w:sz w:val="17"/>
                <w:szCs w:val="17"/>
                <w:color w:val="auto"/>
              </w:rPr>
            </w:pPr>
          </w:p>
        </w:tc>
        <w:tc>
          <w:tcPr>
            <w:tcW w:w="4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4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51,500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4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40,700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30.35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4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50,900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29.75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4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2,200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18.89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Based on the results of the vesting criteria, none of the December 2022 grants are expected to vest.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44"/>
        <w:spacing w:after="0" w:line="310" w:lineRule="auto"/>
        <w:rPr>
          <w:sz w:val="20"/>
          <w:szCs w:val="20"/>
          <w:color w:val="auto"/>
        </w:rPr>
      </w:pPr>
      <w:r>
        <w:rPr>
          <w:rFonts w:ascii="Times New Roman" w:cs="Times New Roman" w:eastAsia="Times New Roman" w:hAnsi="Times New Roman"/>
          <w:sz w:val="17"/>
          <w:szCs w:val="17"/>
          <w:color w:val="auto"/>
        </w:rPr>
        <w:t>The following table summarizes amounts expensed as selling, general and administrative expense related to restricted stock awards, stock options, restricted stock units, performance share awards and performance restricted stock units for the years ended October 31, 2025, 2024 and 2023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28"/>
        </w:trPr>
        <w:tc>
          <w:tcPr>
            <w:tcW w:w="67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8"/>
        </w:trPr>
        <w:tc>
          <w:tcPr>
            <w:tcW w:w="67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Performance share awards</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1,297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47"/>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compensation expense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2,306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right="20" w:hanging="333"/>
        <w:spacing w:after="0" w:line="280" w:lineRule="auto"/>
        <w:tabs>
          <w:tab w:leader="none" w:pos="2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market value of our common stock will have a positive or negative impact on the compensation expense of our share based liability awards, including restricted stock units and performance share awards.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2025, our authorized capital stock consists of 125,000,000 shares of common stock, at par value of $0.01 per share, and 1,000,000 shares of preferred stock, with no par value. As of October 31, 2025 and 2024, we had 51,211,469 and 51,266,501 shares of common stock issued, respectively, and 45,674,726 and 47,252,070 shares of common stock outstanding, respectively. There were no shares of preferred stock issued or outstanding at October 31, 2025 and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 and Treasury Stock</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are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2025 and 2024, we purchased 1,709,119 shares and zero shares, respectively, at a cost of $32.4 million and zero, respectively, under this program.</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paid-in-capital. A deficiency of such proceeds relative to costs would be applied to reduce paid-in-capital associated with prior issuances to the extent available, with the remainder recorded as a charge to retained earnings.</w:t>
      </w:r>
    </w:p>
    <w:p>
      <w:pPr>
        <w:spacing w:after="0" w:line="130"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treasury stock activity for the years ended October 31, 2025, 2024 and 2023, refer to the </w:t>
      </w:r>
      <w:r>
        <w:rPr>
          <w:rFonts w:ascii="Times New Roman" w:cs="Times New Roman" w:eastAsia="Times New Roman" w:hAnsi="Times New Roman"/>
          <w:sz w:val="18"/>
          <w:szCs w:val="18"/>
          <w:i w:val="1"/>
          <w:iCs w:val="1"/>
          <w:color w:val="auto"/>
        </w:rPr>
        <w:t>Consolidated Statements of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located elsewhere herein.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net</w:t>
      </w:r>
    </w:p>
    <w:p>
      <w:pPr>
        <w:spacing w:after="0" w:line="173" w:lineRule="exact"/>
        <w:rPr>
          <w:sz w:val="20"/>
          <w:szCs w:val="20"/>
          <w:color w:val="auto"/>
        </w:rPr>
      </w:pPr>
    </w:p>
    <w:p>
      <w:pPr>
        <w:ind w:right="260" w:firstLine="403"/>
        <w:spacing w:after="0" w:line="268" w:lineRule="auto"/>
        <w:rPr>
          <w:sz w:val="20"/>
          <w:szCs w:val="20"/>
          <w:color w:val="auto"/>
        </w:rPr>
      </w:pPr>
      <w:r>
        <w:rPr>
          <w:rFonts w:ascii="Times New Roman" w:cs="Times New Roman" w:eastAsia="Times New Roman" w:hAnsi="Times New Roman"/>
          <w:sz w:val="18"/>
          <w:szCs w:val="18"/>
          <w:color w:val="auto"/>
        </w:rPr>
        <w:t>Other income included under the caption “Other, net” on the accompanying consolidated statements of income (loss),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derivative (losses) gains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(expense) benefit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2"/>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In our Annual Report on Form 10-K as of October 31, 2024 and our Quarterly Reports on Form 10- Q as of January 31, 2025 and April 30, 2025, respectively, we presented four reportable business segments: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(3) NA Cabinet Components, comprising our cabinet door and components segment; and</w:t>
      </w:r>
    </w:p>
    <w:p>
      <w:pPr>
        <w:spacing w:after="0" w:line="3" w:lineRule="exact"/>
        <w:rPr>
          <w:sz w:val="20"/>
          <w:szCs w:val="20"/>
          <w:color w:val="auto"/>
        </w:rPr>
      </w:pPr>
    </w:p>
    <w:p>
      <w:pPr>
        <w:ind w:right="20" w:firstLine="7"/>
        <w:spacing w:after="0" w:line="258"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Tyman, which was acquired on August 1, 2024, comprising a leading international supplier of engineered fenestration components and access solutions to the construction industry.</w:t>
      </w:r>
    </w:p>
    <w:p>
      <w:pPr>
        <w:spacing w:after="0" w:line="128"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During the third quarter of 2025, we restructured our reportable segments due to changes in our organizational structure and how our CODM makes key operating decisions, allocates resources and assesses the performance of our business. As a result, we now report in three reportable segments: Hardware Solutions, which provides window and door hardware and screens; Extruded Solutions, which supplies insulating glass spacers, vinyl window and door profiles, seals, and weatherstripping; and Custom Solutions, which provides wood, mixing, and building access solutions. 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inter-segment eliminations, and executive incentive compensation and medical expense fluctuations relative to planned costs as determined during annual planning process. Other general and administrative costs associated with the corporate office are allocated to the reportable segments, based upon each segment’s relative operating activity. The accounting policies of our operating segments are the same as those used to prepare the accompanying consolidated financial statements. Corporate general and administrative expenses allocated during the years ended October 31, 2025, 2024 and 2023 were $40.3 million, $27.3 million and $23.5 million, respectively.</w:t>
      </w:r>
    </w:p>
    <w:p>
      <w:pPr>
        <w:spacing w:after="0" w:line="13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CODM, the President and Chief Executive Officer, reviews several measures of segment profitability to assess performance and allocate resources. Segment operating income (loss) is the measure of segment profit or loss that is most consistent with GAAP and is used by the CODM to evaluate segment results, allocate resources, and monitor performance against the annual budget and forecasts. The CODM considers forecast-to-actual variances on a monthly basis using the segment operating income (loss) for each segment when making decisions about allocating capital and personnel to the segments. The CODM also uses segment operating income (loss), along with net sales, to assess the performance for each segment by comparing the results of each segment with one another and in the compensation of certain employees.</w:t>
      </w:r>
    </w:p>
    <w:p>
      <w:pPr>
        <w:spacing w:after="0" w:line="132"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The Company does not provide segment asset information as such information is not provided to the CODM and accordingly, asset information is not used in assessing segment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segment information for the years ended October 31, 2025, 2024 and 2023 was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Hardware Solutions</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Extruded Solutions</w:t>
            </w:r>
          </w:p>
        </w:tc>
        <w:tc>
          <w:tcPr>
            <w:tcW w:w="14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 Solutions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 &amp;</w:t>
            </w:r>
          </w:p>
        </w:tc>
        <w:tc>
          <w:tcPr>
            <w:tcW w:w="320" w:type="dxa"/>
            <w:vAlign w:val="bottom"/>
          </w:tcPr>
          <w:p>
            <w:pPr>
              <w:spacing w:after="0"/>
              <w:rPr>
                <w:sz w:val="13"/>
                <w:szCs w:val="13"/>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56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2025</w:t>
            </w:r>
          </w:p>
        </w:tc>
        <w:tc>
          <w:tcPr>
            <w:tcW w:w="5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841,674</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646,627</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388,210</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1,837,641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277,261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103,444</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(193,952)</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2024</w:t>
            </w: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427,839</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559,995</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309,441</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296,959</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544,585</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298,361</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123,957</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reconcile our segment presentation, as previously reported in our Annual Report on Form 10-K for the twelve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and 2023, to the current presentation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Tyman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2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2024</w:t>
            </w:r>
          </w:p>
        </w:tc>
        <w:tc>
          <w:tcPr>
            <w:tcW w:w="3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650,058</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230,712</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198,424</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203,435</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Extruded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Custom</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20" w:type="dxa"/>
            <w:vAlign w:val="bottom"/>
          </w:tcPr>
          <w:p>
            <w:pPr>
              <w:spacing w:after="0"/>
              <w:rPr>
                <w:sz w:val="24"/>
                <w:szCs w:val="24"/>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r>
              <w:rPr>
                <w:rFonts w:ascii="Times New Roman" w:cs="Times New Roman" w:eastAsia="Times New Roman" w:hAnsi="Times New Roman"/>
                <w:sz w:val="9"/>
                <w:szCs w:val="9"/>
                <w:b w:val="1"/>
                <w:bCs w:val="1"/>
                <w:color w:val="auto"/>
              </w:rPr>
              <w:t>(2)</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r>
              <w:rPr>
                <w:rFonts w:ascii="Times New Roman" w:cs="Times New Roman" w:eastAsia="Times New Roman" w:hAnsi="Times New Roman"/>
                <w:sz w:val="9"/>
                <w:szCs w:val="9"/>
                <w:b w:val="1"/>
                <w:bCs w:val="1"/>
                <w:color w:val="auto"/>
              </w:rPr>
              <w:t>(3)</w:t>
            </w:r>
          </w:p>
        </w:tc>
        <w:tc>
          <w:tcPr>
            <w:tcW w:w="26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2024</w:t>
            </w: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427,839</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559,995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309,441</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180" w:type="dxa"/>
            <w:vAlign w:val="bottom"/>
          </w:tcPr>
          <w:p>
            <w:pPr>
              <w:spacing w:after="0"/>
              <w:rPr>
                <w:sz w:val="24"/>
                <w:szCs w:val="24"/>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Tyman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20" w:type="dxa"/>
            <w:vAlign w:val="bottom"/>
          </w:tcPr>
          <w:p>
            <w:pPr>
              <w:spacing w:after="0"/>
              <w:rPr>
                <w:sz w:val="24"/>
                <w:szCs w:val="24"/>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3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667,482</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250,774</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215,445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123,957</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Extruded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Custom</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20" w:type="dxa"/>
            <w:vAlign w:val="bottom"/>
          </w:tcPr>
          <w:p>
            <w:pPr>
              <w:spacing w:after="0"/>
              <w:rPr>
                <w:sz w:val="24"/>
                <w:szCs w:val="24"/>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r>
              <w:rPr>
                <w:rFonts w:ascii="Times New Roman" w:cs="Times New Roman" w:eastAsia="Times New Roman" w:hAnsi="Times New Roman"/>
                <w:sz w:val="9"/>
                <w:szCs w:val="9"/>
                <w:b w:val="1"/>
                <w:bCs w:val="1"/>
                <w:color w:val="auto"/>
              </w:rPr>
              <w:t>(2)</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r>
              <w:rPr>
                <w:rFonts w:ascii="Times New Roman" w:cs="Times New Roman" w:eastAsia="Times New Roman" w:hAnsi="Times New Roman"/>
                <w:sz w:val="9"/>
                <w:szCs w:val="9"/>
                <w:b w:val="1"/>
                <w:bCs w:val="1"/>
                <w:color w:val="auto"/>
              </w:rPr>
              <w:t>(3)</w:t>
            </w:r>
          </w:p>
        </w:tc>
        <w:tc>
          <w:tcPr>
            <w:tcW w:w="26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296,959</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544,585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298,361</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123,957</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20" w:hanging="25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Hardware Solutions segment contains a portion of the previously reported NA Fenestration and Tyman segments.</w:t>
      </w:r>
    </w:p>
    <w:p>
      <w:pPr>
        <w:spacing w:after="0" w:line="115"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Extruded Solutions segment contains a portion of the NA Fenestration, EU Fenestration, and Tyman segments.</w:t>
      </w:r>
    </w:p>
    <w:p>
      <w:pPr>
        <w:spacing w:after="0" w:line="115"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 Solutions segment contains a portion of the NA Fenestration, NA Cabinet Components, and Tyman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segment for the years ended October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Hardware Solutions</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Extruded Solutions</w:t>
            </w:r>
          </w:p>
        </w:tc>
        <w:tc>
          <w:tcPr>
            <w:tcW w:w="14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 Solutions</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Unallocated Corp. &amp;</w:t>
            </w:r>
          </w:p>
        </w:tc>
        <w:tc>
          <w:tcPr>
            <w:tcW w:w="32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2023</w:t>
            </w:r>
          </w:p>
        </w:tc>
        <w:tc>
          <w:tcPr>
            <w:tcW w:w="42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Tyman acquisition</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4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170,367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160,711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574,711</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(302,284)</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2025</w:t>
            </w: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271,346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 a result of the impairment test performed during the year ended October 31, 2025, we recognized non-cash goodwill impairment losses totaling $302.3 million. Of this amount, $163.2 million pertains to two out of the three reporting units within the Hardware Solutions reportable segment, $54.9 million relates to one of the four reporting units within Extruded Solutions, and $84.2 million impacts all three reporting units within the Custom Solutions reportable segment. One of the reporting units within Hardware Solutions and one reporting unit within Custom Solutions were fully impaired, resulting in seven reporting units remaining with goodwill. For further details of Goodwill, see Note 7, “Goodwill and Intangible Assets”, located herewith.</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did not allocate non-operating expense or income tax expense to the reportable segments. The following table reconciles operating income as reported above to net income for the years ended October 31, 2025, 2024 and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110,701</w:t>
            </w:r>
          </w:p>
        </w:tc>
      </w:tr>
      <w:tr>
        <w:trPr>
          <w:trHeight w:val="22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28"/>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r>
      <w:tr>
        <w:trPr>
          <w:trHeight w:val="247"/>
        </w:trPr>
        <w:tc>
          <w:tcPr>
            <w:tcW w:w="7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manufacturing facilities and all long-lived assets are located primarily in the U.S. and Europe. We attribute our net sales to a geographic region based on the location of the customer. The following tables provide information concerning our net sales for the years ended October 31, 2025, 2024 and 2023, and our long-lived assets as of October 31, 2025 and 2024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1,248,137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926,864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834,525</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271,182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244,560</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25,845</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1,837,641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0"/>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net</w:t>
            </w: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1,003,958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1,229,157</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441,129</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countries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1,386,940</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1,701,801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Long-lived assets, net includes: property, plant and equipment, net; goodwill, intangible assets, net, and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and contingent shares associated with performance share awards, if dilutive.</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for the years ended October 31, 2025, 2024 and 2023 follows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2025</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60" w:type="dxa"/>
            <w:vAlign w:val="bottom"/>
          </w:tcPr>
          <w:p>
            <w:pPr>
              <w:spacing w:after="0"/>
              <w:rPr>
                <w:sz w:val="13"/>
                <w:szCs w:val="13"/>
                <w:color w:val="auto"/>
              </w:rPr>
            </w:pPr>
          </w:p>
        </w:tc>
        <w:tc>
          <w:tcPr>
            <w:tcW w:w="12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2"/>
        </w:trPr>
        <w:tc>
          <w:tcPr>
            <w:tcW w:w="6800" w:type="dxa"/>
            <w:vAlign w:val="bottom"/>
            <w:vMerge w:val="continue"/>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3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(250,806)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46,170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shd w:val="clear" w:color="auto" w:fill="CCEEFF"/>
              </w:rPr>
              <w:t>(5.43)</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5"/>
              </w:rPr>
              <w:t>0.91</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w w:val="95"/>
              </w:rPr>
              <w:t>0.90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October 31, 2023</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w w:val="95"/>
              </w:rPr>
              <w:t>2.51</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w w:val="95"/>
              </w:rPr>
              <w:t>2.50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During the years ended October 31, 2025, 2024 and 2023, we had anti-dilutive restricted stock award equivalents of 23,224, 1,417 and zero, respectively. Such dilution is dependent on the excess of the market price of our stock over the exercise price and other components of the treasury stock method.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New Accounting Guidance</w:t>
      </w:r>
    </w:p>
    <w:p>
      <w:pPr>
        <w:spacing w:after="0" w:line="173" w:lineRule="exact"/>
        <w:rPr>
          <w:sz w:val="20"/>
          <w:szCs w:val="20"/>
          <w:color w:val="auto"/>
        </w:rPr>
      </w:pPr>
    </w:p>
    <w:p>
      <w:pPr>
        <w:jc w:val="both"/>
        <w:ind w:firstLine="242"/>
        <w:spacing w:after="0" w:line="28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w:t>
      </w:r>
    </w:p>
    <w:p>
      <w:pPr>
        <w:spacing w:after="0" w:line="11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Our adoption of this standard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effective for the fiscal year ending October 31, 2025 resulted in increased disclosures in the notes to its financial statements. This guidance was applied retrospectively to all prior periods presented in the financial statements.</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7"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b w:val="1"/>
          <w:bCs w:val="1"/>
          <w:i w:val="1"/>
          <w:iCs w:val="1"/>
          <w:color w:val="auto"/>
        </w:rPr>
        <w:t>.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It is the responsibility of the management of Quanex Building Products Corporation to establish and maintain adequate disclosure controls and procedures. Disclosure controls and procedures are defined in Rules 13a-15(e) and 15d-15(e) under the Exchange Act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7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not effective as a result of the material weakness in internal control over financial reporting as described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Management’s Annual Report on Internal Control Over Financial Reporting</w:t>
      </w:r>
    </w:p>
    <w:p>
      <w:pPr>
        <w:spacing w:after="0" w:line="11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 w:lineRule="exact"/>
        <w:rPr>
          <w:sz w:val="20"/>
          <w:szCs w:val="20"/>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6" w:lineRule="exact"/>
        <w:rPr>
          <w:rFonts w:ascii="Times New Roman" w:cs="Times New Roman" w:eastAsia="Times New Roman" w:hAnsi="Times New Roman"/>
          <w:sz w:val="18"/>
          <w:szCs w:val="18"/>
          <w:color w:val="auto"/>
        </w:rPr>
      </w:pPr>
    </w:p>
    <w:p>
      <w:pPr>
        <w:ind w:left="660" w:right="80" w:hanging="330"/>
        <w:spacing w:after="0" w:line="24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ind w:left="660" w:right="120" w:hanging="330"/>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7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October 31, 2025. In making this assessment, Management used the criteria set forth by the Committee of Sponsoring Organizations of the Treadway Commission (“COSO”) in Internal Control-Integrated Framework (2013). Based on that assessment, Management concluded that, as of October 31, 2025, the Company’s internal control over financial reporting was not effective, due to the material weakness described below.</w:t>
      </w:r>
    </w:p>
    <w:p>
      <w:pPr>
        <w:spacing w:after="0" w:line="74"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As of October 31, 2024, Management identified a material weakness in internal controls, in the design and operation of the controls over the preparation and review of the statement of cash flows.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continued to exist as of October 31, 2025, and will not be considered remediated until such time as management designs and implements effective controls that operate for a sufficient period of time and concludes through testing, that these controls are effective.</w:t>
      </w:r>
    </w:p>
    <w:p>
      <w:pPr>
        <w:spacing w:after="0" w:line="7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As a result of the unremediated material weakness described above, the Company’s management has concluded that, as of October 31, 2025, our internal control over financial reporting was ineffective. The material weakness did not result in any identified misstatements to our consolidated financial statements, and there were no changes to previously released financial results. The Company’s independent registered public accounting firm that audited the consolidated financial statements included in this Annual Report also audited the effectiveness of our internal control over financial reporting and has issued an adverse report on the effectiveness of the Company’s internal control over financial reporting as of October 31, 2025, as set forth in their report in Item 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c) Remediation</w:t>
      </w:r>
    </w:p>
    <w:p>
      <w:pPr>
        <w:spacing w:after="0" w:line="11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Company is committed to remediating the above noted material weakness. Actions with respect to the remediation plan include improved procedures and controls related to our quarterly and annual close processes and enhancement of the quarterly and annual close and reporting checklists. The remediation plan is subject to oversight by the Audit Committee of the Board of Directors and the identified material weakness will not be considered remediated until the remediation plan has been fully implemented, the applicable controls operate for a sufficient period of time, and the Company has concluded that controls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80"/>
        <w:spacing w:after="0" w:line="435" w:lineRule="auto"/>
        <w:rPr>
          <w:sz w:val="20"/>
          <w:szCs w:val="20"/>
          <w:color w:val="auto"/>
        </w:rPr>
      </w:pPr>
      <w:r>
        <w:rPr>
          <w:rFonts w:ascii="Times New Roman" w:cs="Times New Roman" w:eastAsia="Times New Roman" w:hAnsi="Times New Roman"/>
          <w:sz w:val="18"/>
          <w:szCs w:val="18"/>
          <w:color w:val="auto"/>
        </w:rPr>
        <w:t xml:space="preserve">are operating effectively. We expect the remediation of this material weakness to be completed prior to the end of fiscal year 2026. </w:t>
      </w:r>
      <w:r>
        <w:rPr>
          <w:rFonts w:ascii="Times New Roman" w:cs="Times New Roman" w:eastAsia="Times New Roman" w:hAnsi="Times New Roman"/>
          <w:sz w:val="18"/>
          <w:szCs w:val="18"/>
          <w:b w:val="1"/>
          <w:bCs w:val="1"/>
          <w:color w:val="auto"/>
        </w:rPr>
        <w:t>Management’s Annual Report on Internal Control over Financial Reporting</w:t>
      </w:r>
    </w:p>
    <w:p>
      <w:pPr>
        <w:ind w:firstLine="403"/>
        <w:spacing w:after="0" w:line="282" w:lineRule="auto"/>
        <w:rPr>
          <w:sz w:val="20"/>
          <w:szCs w:val="20"/>
          <w:color w:val="auto"/>
        </w:rPr>
      </w:pPr>
      <w:r>
        <w:rPr>
          <w:rFonts w:ascii="Times New Roman" w:cs="Times New Roman" w:eastAsia="Times New Roman" w:hAnsi="Times New Roman"/>
          <w:sz w:val="18"/>
          <w:szCs w:val="18"/>
          <w:color w:val="auto"/>
        </w:rPr>
        <w:t>Refer to Management’s Annual Report on Internal Control over Financial Reporting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of this Annual Report on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Relating to Effectiveness of Internal Control over Financial Reporting</w:t>
      </w:r>
    </w:p>
    <w:p>
      <w:pPr>
        <w:spacing w:after="0" w:line="171" w:lineRule="exact"/>
        <w:rPr>
          <w:sz w:val="20"/>
          <w:szCs w:val="20"/>
          <w:color w:val="auto"/>
        </w:rPr>
      </w:pPr>
    </w:p>
    <w:p>
      <w:pPr>
        <w:ind w:firstLine="403"/>
        <w:spacing w:after="0" w:line="282" w:lineRule="auto"/>
        <w:rPr>
          <w:sz w:val="20"/>
          <w:szCs w:val="20"/>
          <w:color w:val="auto"/>
        </w:rPr>
      </w:pPr>
      <w:r>
        <w:rPr>
          <w:rFonts w:ascii="Times New Roman" w:cs="Times New Roman" w:eastAsia="Times New Roman" w:hAnsi="Times New Roman"/>
          <w:sz w:val="18"/>
          <w:szCs w:val="18"/>
          <w:color w:val="auto"/>
        </w:rPr>
        <w:t>Refer to the Report of Independent Registered Public Accounting Firm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3"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 Other Information.</w:t>
      </w:r>
    </w:p>
    <w:p>
      <w:pPr>
        <w:spacing w:after="0" w:line="93" w:lineRule="exact"/>
        <w:rPr>
          <w:sz w:val="20"/>
          <w:szCs w:val="20"/>
          <w:color w:val="auto"/>
        </w:rPr>
      </w:pPr>
    </w:p>
    <w:p>
      <w:pPr>
        <w:jc w:val="both"/>
        <w:ind w:firstLine="403"/>
        <w:spacing w:after="0" w:line="310" w:lineRule="auto"/>
        <w:rPr>
          <w:sz w:val="20"/>
          <w:szCs w:val="20"/>
          <w:color w:val="auto"/>
        </w:rPr>
      </w:pPr>
      <w:r>
        <w:rPr>
          <w:rFonts w:ascii="Times New Roman" w:cs="Times New Roman" w:eastAsia="Times New Roman" w:hAnsi="Times New Roman"/>
          <w:sz w:val="17"/>
          <w:szCs w:val="17"/>
          <w:color w:val="auto"/>
        </w:rPr>
        <w:t>During the three months ended October 31, 2025,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9" w:lineRule="exact"/>
        <w:rPr>
          <w:sz w:val="20"/>
          <w:szCs w:val="20"/>
          <w:color w:val="auto"/>
        </w:rPr>
      </w:pPr>
    </w:p>
    <w:p>
      <w:pPr>
        <w:ind w:right="2240" w:firstLine="403"/>
        <w:spacing w:after="0" w:line="264" w:lineRule="auto"/>
        <w:rPr>
          <w:sz w:val="20"/>
          <w:szCs w:val="20"/>
          <w:color w:val="auto"/>
        </w:rPr>
      </w:pPr>
      <w:r>
        <w:rPr>
          <w:rFonts w:ascii="Times New Roman" w:cs="Times New Roman" w:eastAsia="Times New Roman" w:hAnsi="Times New Roman"/>
          <w:sz w:val="18"/>
          <w:szCs w:val="18"/>
          <w:color w:val="auto"/>
        </w:rPr>
        <w:t>George Wilson our Chairman, President and CEO, adopted a Rule 10b5-1 trading arrangement on June 11, 2024. Under this arrangement, a total of 37,800 shares of our common stock may be sold, subject to certain conditions, before the plan expires on November 30, 2026.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 Directors, Executive Officers and Corporate Governance.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Directors, Executive Officers and Corporate Governance”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2026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 Executive Compensation.</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is incorporated herein by reference from the Registrant's Definitive Proxy Statement relating to the 2026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 Security Ownership of Certain Beneficial Owners and Management and Related Stockholder Matters.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Security Ownership of Certain Beneficial Owners and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Stockholder Matters” </w:t>
      </w:r>
      <w:r>
        <w:rPr>
          <w:rFonts w:ascii="Times New Roman" w:cs="Times New Roman" w:eastAsia="Times New Roman" w:hAnsi="Times New Roman"/>
          <w:sz w:val="18"/>
          <w:szCs w:val="18"/>
          <w:color w:val="auto"/>
        </w:rPr>
        <w:t>is incorporated herein by reference from the Registrant's Definitive Proxy Statement relating to the 2026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Quanex Building Products Corporation or an amendment to this Form 10-K, which is to be filed with the SEC pursuant to Regulation 14A under the Securities Exchange Act of 1934, as amended, within 120 days after the close of the fiscal year ended October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 Certain Relationships and Related Transactions, and Director Independence.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2026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 Principal Accountant Fees and Services.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Principal Accountant Fees and Services”</w:t>
      </w:r>
      <w:r>
        <w:rPr>
          <w:rFonts w:ascii="Times New Roman" w:cs="Times New Roman" w:eastAsia="Times New Roman" w:hAnsi="Times New Roman"/>
          <w:sz w:val="18"/>
          <w:szCs w:val="18"/>
          <w:color w:val="auto"/>
        </w:rPr>
        <w:t xml:space="preserve"> is incorporated herein by reference from the Registrant's Definitive Proxy Statement relating to the 2026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 Exhibits and Financial Statement Schedules.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located elsewhere in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Schedules for which provision is made in the applicable accounting regulations of the SEC are either not required under the related instructions or inapplicable.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exhibits required to be filed pursuant to Item 15(b) of Form 10-K are listed in the Exhibit Index filed herewith, which Exhibit Index is incorporated herein by reference. Certain of our exhibits as denoted with a † between exhibits 10.1 through 10.40 listed in the Exhibit Index filed herewith, are management or compensatory plans or arrangements required to be filed as exhibits to this Annual Report on Form 10-K pursuant to Item 15(b) thereof.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4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r>
      <w:tr>
        <w:trPr>
          <w:trHeight w:val="28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12, 2025</w:t>
            </w: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217"/>
        </w:trPr>
        <w:tc>
          <w:tcPr>
            <w:tcW w:w="43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 Zuehlke</w:t>
            </w:r>
          </w:p>
        </w:tc>
      </w:tr>
      <w:tr>
        <w:trPr>
          <w:trHeight w:val="188"/>
        </w:trPr>
        <w:tc>
          <w:tcPr>
            <w:tcW w:w="43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 Chief Financial Officer and Treasurer</w:t>
            </w:r>
          </w:p>
        </w:tc>
      </w:tr>
      <w:tr>
        <w:trPr>
          <w:trHeight w:val="234"/>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7" w:lineRule="exact"/>
        <w:rPr>
          <w:sz w:val="20"/>
          <w:szCs w:val="20"/>
          <w:color w:val="auto"/>
        </w:rPr>
      </w:pPr>
    </w:p>
    <w:p>
      <w:pPr>
        <w:ind w:right="440" w:firstLine="403"/>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0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F. Davis</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F. Davis</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R. Maier</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R. Maier</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E. Waltz</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E. Waltz</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D. Lippert</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D. Lippert</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Bradley E. Hughes</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Bradley E. Hughes</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Manish H. Shah</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Manish H. Shah</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Amit Singhi</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Amit Singhi</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Chairman of the Board, President and Chief Executive Officer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 Wilson</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8"/>
              </w:rPr>
              <w:t>Senior Vice President, Chief Financial Officer and Treasurer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M. Zuehlke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Gabriela Garcia</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8"/>
              </w:rPr>
              <w:t>Vice President, Chief Accounting Officer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12, 2025</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Gabriela Garcia</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20" w:type="dxa"/>
            <w:vAlign w:val="bottom"/>
          </w:tcPr>
          <w:p>
            <w:pPr>
              <w:spacing w:after="0"/>
              <w:rPr>
                <w:sz w:val="17"/>
                <w:szCs w:val="17"/>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Distribution Agreement among Quanex Corporation, Quanex Building Products LLC and Quanex Building Products Corporation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8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(incorporated by reference to Exhibit 10.1 to Quanex Corporation’s Current Report on Form 8-K (Reg. No. 001-05725) filed with</w:t>
              </w:r>
            </w:hyperlink>
          </w:p>
        </w:tc>
        <w:tc>
          <w:tcPr>
            <w:tcW w:w="780" w:type="dxa"/>
            <w:vAlign w:val="bottom"/>
            <w:gridSpan w:val="19"/>
          </w:tcPr>
          <w:p>
            <w:pPr>
              <w:ind w:left="60"/>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the</w:t>
              </w:r>
            </w:hyperlink>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60" w:type="dxa"/>
            <w:vAlign w:val="bottom"/>
            <w:tcBorders>
              <w:top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Commission on December 24, 2007).</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Agreement and Plan of Merger, dated as of January 31, 2011, by and among Quanex Building Products Corporation, QSB Inc., Lauren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Holdco Inc., Lauren International, Inc. and Kevin E. Gray, as agent for the shareholders of Lauren Holdco Inc., filed as Exhibit 2.1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the Registrant’s Current Report on Form 8-K (Reg. No. 001-33913) as filed with the Securities and Exchange Commission on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00" w:type="dxa"/>
            <w:vAlign w:val="bottom"/>
            <w:gridSpan w:val="22"/>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2, 2011,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Limited Liability Company Interest Purchase Agreement dated February 7, 2014, by and among Quanex Building Products Corporation,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Nichols Aluminum, LLC and Aleris International Inc., filed as Exhibit 2.1 of the Registrant’s Current Report on Form 8-K (Reg. No.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20" w:type="dxa"/>
            <w:vAlign w:val="bottom"/>
            <w:gridSpan w:val="28"/>
          </w:tcPr>
          <w:p>
            <w:pPr>
              <w:spacing w:after="0" w:line="168"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001-33913) as filed with the Securities and Exchange Commission on February 10, 2014,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4</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First Amendment to Limited Liability Company Interest Purchase Agreement dated April 1, 2014, by and among Quanex Building</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Products Corporation, Nichols Aluminum, LLC and Aleris International Inc., filed as Exhibit 10.1 of the Registrant’s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960" w:type="dxa"/>
            <w:vAlign w:val="bottom"/>
            <w:tcBorders>
              <w:bottom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8-K (Reg. No. 001-33913) as filed with the Securities and Exchange Commission on April 7, 2014, and incorporated herein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Borders>
              <w:bottom w:val="single" w:sz="8" w:color="0000FF"/>
            </w:tcBorders>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reference.</w:t>
              </w:r>
            </w:hyperlink>
          </w:p>
        </w:tc>
        <w:tc>
          <w:tcPr>
            <w:tcW w:w="928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5</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Share Purchase Agreement dated June 15, 2015 by and among R.L. Hartshorn and others, and Quanex Building Products Corporation,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2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filed as Exhibit 2.1 to the Registrant’s Current Report on Form 8-K (Reg. No. 001-33913), as filed with the Securities and Exchange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80" w:type="dxa"/>
            <w:vAlign w:val="bottom"/>
            <w:tcBorders>
              <w:top w:val="single" w:sz="8" w:color="0000FF"/>
            </w:tcBorders>
            <w:gridSpan w:val="21"/>
          </w:tcPr>
          <w:p>
            <w:pPr>
              <w:spacing w:after="0" w:line="168"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Commission on June 16, 2015, and incorporated herein by reference.</w:t>
              </w:r>
            </w:hyperlink>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6</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Agreement and Plan of Merger, dated as of August 30, 2015, by and among Quanex Building Products Corporation, QWMS, Inc., WII</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Holding, Inc., and Olympus Growth Fund IV, L.P, solely in its capacity as the representative of the stockholders of WII Holding, Inc,</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40" w:type="dxa"/>
            <w:vAlign w:val="bottom"/>
            <w:gridSpan w:val="29"/>
          </w:tcPr>
          <w:p>
            <w:pPr>
              <w:spacing w:after="0" w:line="168"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filed as Exhibit 2.1 to the Registrant's Current Report on Form 8-K (Reg. No. 001-33913), as filed with the Securities and Exchange</w:t>
              </w:r>
            </w:hyperlink>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Commission on August 30, 2015, and incorporated herein by reference.</w:t>
              </w:r>
            </w:hyperlink>
          </w:p>
        </w:tc>
        <w:tc>
          <w:tcPr>
            <w:tcW w:w="47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62"/>
        </w:trPr>
        <w:tc>
          <w:tcPr>
            <w:tcW w:w="40" w:type="dxa"/>
            <w:vAlign w:val="bottom"/>
          </w:tcPr>
          <w:p>
            <w:pPr>
              <w:spacing w:after="0"/>
              <w:rPr>
                <w:sz w:val="22"/>
                <w:szCs w:val="22"/>
                <w:color w:val="auto"/>
              </w:rPr>
            </w:pPr>
          </w:p>
        </w:tc>
        <w:tc>
          <w:tcPr>
            <w:tcW w:w="260" w:type="dxa"/>
            <w:vAlign w:val="bottom"/>
            <w:gridSpan w:val="2"/>
          </w:tcPr>
          <w:p>
            <w:pPr>
              <w:jc w:val="center"/>
              <w:ind w:right="40"/>
              <w:spacing w:after="0"/>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7</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Asset Purchase Agreement, dated November 1, 2022, among Quanex IG Systems, Inc., LMI Custom Mixing, LLC, Lauren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2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60" w:type="dxa"/>
            <w:vAlign w:val="bottom"/>
            <w:gridSpan w:val="30"/>
          </w:tcPr>
          <w:p>
            <w:pPr>
              <w:spacing w:after="0" w:line="154"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International, Ltd. and Meteor-US-Beteiligungs GMBH, filed as Exhibit 2.1 to the Registrant's Current Report on Form 8-K (Reg. No.</w:t>
              </w:r>
            </w:hyperlink>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4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001-33913), as filed with the Securities and Exchange Commission on November 1, 2022 and incorporated herein by reference.</w:t>
              </w:r>
            </w:hyperlink>
          </w:p>
        </w:tc>
        <w:tc>
          <w:tcPr>
            <w:tcW w:w="6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9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8</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Rule 2.7 Announcement dated as of April 22, 2024, as filed as Exhibit 2.1 to the Registrant’s Current Report on Form 8-K (Reg. No.</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001-33913), as filed with the Securities and Exchange Commission on April 22, 2024, and incorporated herein by reference.</w:t>
              </w:r>
            </w:hyperlink>
          </w:p>
        </w:tc>
        <w:tc>
          <w:tcPr>
            <w:tcW w:w="58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76"/>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9</w:t>
              </w:r>
            </w:hyperlink>
          </w:p>
        </w:tc>
        <w:tc>
          <w:tcPr>
            <w:tcW w:w="620" w:type="dxa"/>
            <w:vAlign w:val="bottom"/>
          </w:tcPr>
          <w:p>
            <w:pPr>
              <w:spacing w:after="0"/>
              <w:rPr>
                <w:sz w:val="23"/>
                <w:szCs w:val="23"/>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Co-operation Agreement dated as of April 22, 2024, as filed as Exhibit 2.2 to the Registrant’s Current Report on Form 8-K (Reg. No.</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001-33913), as filed with the Securities and Exchange Commission on April 22, 2024, and incorporated herein by reference.</w:t>
              </w:r>
            </w:hyperlink>
          </w:p>
        </w:tc>
        <w:tc>
          <w:tcPr>
            <w:tcW w:w="620" w:type="dxa"/>
            <w:vAlign w:val="bottom"/>
            <w:tcBorders>
              <w:top w:val="single" w:sz="8" w:color="0000FF"/>
            </w:tcBorders>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76"/>
        </w:trPr>
        <w:tc>
          <w:tcPr>
            <w:tcW w:w="920" w:type="dxa"/>
            <w:vAlign w:val="bottom"/>
            <w:gridSpan w:val="4"/>
          </w:tcPr>
          <w:p>
            <w:pPr>
              <w:jc w:val="center"/>
              <w:ind w:right="620"/>
              <w:spacing w:after="0"/>
              <w:rPr>
                <w:rFonts w:ascii="Times New Roman" w:cs="Times New Roman" w:eastAsia="Times New Roman" w:hAnsi="Times New Roman"/>
                <w:sz w:val="18"/>
                <w:szCs w:val="18"/>
                <w:color w:val="0000FF"/>
                <w:w w:val="95"/>
              </w:rPr>
            </w:pPr>
            <w:hyperlink r:id="rId113">
              <w:r>
                <w:rPr>
                  <w:rFonts w:ascii="Times New Roman" w:cs="Times New Roman" w:eastAsia="Times New Roman" w:hAnsi="Times New Roman"/>
                  <w:sz w:val="18"/>
                  <w:szCs w:val="18"/>
                  <w:color w:val="0000FF"/>
                  <w:w w:val="95"/>
                </w:rPr>
                <w:t>2.</w:t>
              </w:r>
              <w:r>
                <w:rPr>
                  <w:rFonts w:ascii="Times New Roman" w:cs="Times New Roman" w:eastAsia="Times New Roman" w:hAnsi="Times New Roman"/>
                  <w:sz w:val="18"/>
                  <w:szCs w:val="18"/>
                  <w:u w:val="single" w:color="auto"/>
                  <w:color w:val="0000FF"/>
                  <w:w w:val="95"/>
                </w:rPr>
                <w:t>10</w:t>
              </w:r>
            </w:hyperlink>
          </w:p>
        </w:tc>
        <w:tc>
          <w:tcPr>
            <w:tcW w:w="10060" w:type="dxa"/>
            <w:vAlign w:val="bottom"/>
            <w:gridSpan w:val="30"/>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Deed of Irrevocable Undertaking dated as of April 22, 2024, as filed as Exhibit 2.3 to the Registrant’s Current Report on Form</w:t>
              </w:r>
            </w:hyperlink>
          </w:p>
        </w:tc>
      </w:tr>
      <w:tr>
        <w:trPr>
          <w:trHeight w:val="155"/>
        </w:trPr>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970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8-K (Reg. No. 001-33913), as filed with the Securities and Exchange Commission on April 22, 2024, and incorporated herein by</w:t>
              </w:r>
            </w:hyperlink>
          </w:p>
        </w:tc>
        <w:tc>
          <w:tcPr>
            <w:tcW w:w="16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reference.</w:t>
              </w:r>
            </w:hyperlink>
          </w:p>
        </w:tc>
        <w:tc>
          <w:tcPr>
            <w:tcW w:w="8520" w:type="dxa"/>
            <w:vAlign w:val="bottom"/>
            <w:tcBorders>
              <w:top w:val="single" w:sz="8" w:color="0000FF"/>
            </w:tcBorders>
            <w:gridSpan w:val="9"/>
          </w:tcPr>
          <w:p>
            <w:pPr>
              <w:spacing w:after="0"/>
              <w:rPr>
                <w:sz w:val="14"/>
                <w:szCs w:val="14"/>
                <w:color w:val="auto"/>
              </w:rPr>
            </w:pPr>
          </w:p>
        </w:tc>
        <w:tc>
          <w:tcPr>
            <w:tcW w:w="620" w:type="dxa"/>
            <w:vAlign w:val="bottom"/>
            <w:gridSpan w:val="10"/>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Restated Certificate of Incorporation of the Registrant dated as of March 4, 2016, filed as Exhibit 3.1 of the Registrant’s Current Report</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on Form 8-K (Reg. No. 001-33913) as filed with the Securities and Exchange Commission on March 7, 2016, and incorporated herein</w:t>
              </w:r>
            </w:hyperlink>
          </w:p>
        </w:tc>
        <w:tc>
          <w:tcPr>
            <w:tcW w:w="1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63" w:lineRule="exact"/>
        <w:rPr>
          <w:sz w:val="20"/>
          <w:szCs w:val="20"/>
          <w:color w:val="auto"/>
        </w:rPr>
      </w:pPr>
    </w:p>
    <w:p>
      <w:pPr>
        <w:ind w:left="540"/>
        <w:spacing w:after="0"/>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3.2</w:t>
        </w:r>
      </w:hyperlink>
    </w:p>
    <w:p>
      <w:pPr>
        <w:spacing w:after="0" w:line="329" w:lineRule="exact"/>
        <w:rPr>
          <w:sz w:val="20"/>
          <w:szCs w:val="20"/>
          <w:color w:val="auto"/>
        </w:rPr>
      </w:pPr>
    </w:p>
    <w:p>
      <w:pPr>
        <w:ind w:left="540"/>
        <w:spacing w:after="0"/>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7"/>
            <w:szCs w:val="17"/>
            <w:u w:val="single" w:color="auto"/>
            <w:color w:val="0000FF"/>
          </w:rPr>
          <w:t>4.1</w:t>
        </w:r>
      </w:hyperlink>
    </w:p>
    <w:p>
      <w:pPr>
        <w:spacing w:after="0" w:line="200" w:lineRule="exact"/>
        <w:rPr>
          <w:sz w:val="20"/>
          <w:szCs w:val="20"/>
          <w:color w:val="auto"/>
        </w:rPr>
      </w:pPr>
    </w:p>
    <w:p>
      <w:pPr>
        <w:spacing w:after="0" w:line="249" w:lineRule="exact"/>
        <w:rPr>
          <w:sz w:val="20"/>
          <w:szCs w:val="20"/>
          <w:color w:val="auto"/>
        </w:rPr>
      </w:pPr>
    </w:p>
    <w:p>
      <w:pPr>
        <w:ind w:left="540"/>
        <w:spacing w:after="0"/>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4.2</w:t>
        </w:r>
      </w:hyperlink>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by reference.</w:t>
        </w:r>
      </w:hyperlink>
    </w:p>
    <w:p>
      <w:pPr>
        <w:spacing w:after="0" w:line="57" w:lineRule="exact"/>
        <w:rPr>
          <w:sz w:val="20"/>
          <w:szCs w:val="20"/>
          <w:color w:val="auto"/>
        </w:rPr>
      </w:pPr>
    </w:p>
    <w:p>
      <w:pPr>
        <w:jc w:val="both"/>
        <w:spacing w:after="0" w:line="236"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Fourth Amended and Restated Bylaws of the Registrant dated as of February 27, 2020, filed as Exhibit 3.2 of the Registrant's Quarterly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Report on Form 10-Q (Reg. No. 001-33913) for the quarter ended January 31, 2020.</w:t>
        </w:r>
      </w:hyperlink>
    </w:p>
    <w:p>
      <w:pPr>
        <w:spacing w:after="0" w:line="117" w:lineRule="exact"/>
        <w:rPr>
          <w:sz w:val="20"/>
          <w:szCs w:val="20"/>
          <w:color w:val="auto"/>
        </w:rPr>
      </w:pPr>
    </w:p>
    <w:p>
      <w:pPr>
        <w:jc w:val="both"/>
        <w:spacing w:after="0" w:line="221"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Form of Registrant’s common stock certificate, filed as Exhibit 4.1 of Amendment No. 1 to the Registrant’s Registration Statement on</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Form 10 (Reg. No. 001-33913), as filed with the Securities and Exchange Commission on February 14, 2008, and incorporated herein</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by reference.</w:t>
        </w:r>
      </w:hyperlink>
    </w:p>
    <w:p>
      <w:pPr>
        <w:spacing w:after="0" w:line="149" w:lineRule="exact"/>
        <w:rPr>
          <w:sz w:val="20"/>
          <w:szCs w:val="20"/>
          <w:color w:val="auto"/>
        </w:rPr>
      </w:pPr>
    </w:p>
    <w:p>
      <w:pPr>
        <w:jc w:val="both"/>
        <w:spacing w:after="0" w:line="225"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Second Amended and Restated Credit Agreement dated as of July 6, 2022, by and among the Company; the lenders party thereto; and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Wells Fargo Bank, National Association, as Agent; filed as Exhibit 10.1 of the Registrant's Current Report on Form 8-K (Reg. No. 001-</w:t>
        </w:r>
      </w:hyperlink>
      <w:hyperlink r:id="rId117">
        <w:r>
          <w:rPr>
            <w:rFonts w:ascii="Times New Roman" w:cs="Times New Roman" w:eastAsia="Times New Roman" w:hAnsi="Times New Roman"/>
            <w:sz w:val="18"/>
            <w:szCs w:val="18"/>
            <w:u w:val="single" w:color="auto"/>
            <w:color w:val="0000FF"/>
          </w:rPr>
          <w:t>33913) as filed with the Securities and Exchange Commission on July 6, 2022,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660"/>
            <w:col w:w="980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35"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right"/>
        <w:ind w:left="540"/>
        <w:spacing w:after="0" w:line="221"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4.3       Amendment No.1 to the Second Amended and Restated Credit Agreement among the Company (acting as borrower), the Company</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subsidiaries acting as guarantors thereto, Wells Fargo Bank, National Association as agent, swingline lender and issuing lender, and the</w:t>
        </w:r>
      </w:hyperlink>
    </w:p>
    <w:p>
      <w:pPr>
        <w:spacing w:after="0" w:line="2" w:lineRule="exact"/>
        <w:rPr>
          <w:sz w:val="20"/>
          <w:szCs w:val="20"/>
          <w:color w:val="auto"/>
        </w:rPr>
      </w:pPr>
    </w:p>
    <w:p>
      <w:pPr>
        <w:ind w:left="1420"/>
        <w:spacing w:after="0" w:line="225"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other parties thereto, dated as of June 12, 2024, filed as Exhibit 10.1 to the Registrant’s Current Report on Form 8-K (Reg. No. 001-</w:t>
        </w:r>
      </w:hyperlink>
      <w:hyperlink r:id="rId119">
        <w:r>
          <w:rPr>
            <w:rFonts w:ascii="Times New Roman" w:cs="Times New Roman" w:eastAsia="Times New Roman" w:hAnsi="Times New Roman"/>
            <w:sz w:val="18"/>
            <w:szCs w:val="18"/>
            <w:u w:val="single" w:color="auto"/>
            <w:color w:val="0000FF"/>
          </w:rPr>
          <w:t>33913), as filed with the Securities and Exchange Commission on June 12, 2024, and incorporated herein by reference.</w:t>
        </w:r>
      </w:hyperlink>
    </w:p>
    <w:p>
      <w:pPr>
        <w:spacing w:after="0" w:line="49"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w:t>
      </w:r>
      <w:r>
        <w:rPr>
          <w:sz w:val="20"/>
          <w:szCs w:val="20"/>
          <w:color w:val="auto"/>
        </w:rPr>
        <w:tab/>
      </w:r>
      <w:hyperlink r:id="rId120">
        <w:r>
          <w:rPr>
            <w:rFonts w:ascii="Times New Roman" w:cs="Times New Roman" w:eastAsia="Times New Roman" w:hAnsi="Times New Roman"/>
            <w:sz w:val="18"/>
            <w:szCs w:val="18"/>
            <w:u w:val="single" w:color="auto"/>
            <w:color w:val="0000FF"/>
          </w:rPr>
          <w:t>Quanex Building Products Corporation Amended and Restated 2008 Omnibus Incentive Plan, filed as Exhibit 10.1 to the Registrant's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Current Report on Form 8-K (Reg. No. 001-33913) as filed with the Securities and Exchange Commission on February 27, 2014,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w:t>
      </w:r>
      <w:r>
        <w:rPr>
          <w:sz w:val="20"/>
          <w:szCs w:val="20"/>
          <w:color w:val="auto"/>
        </w:rPr>
        <w:tab/>
      </w:r>
      <w:hyperlink r:id="rId121">
        <w:r>
          <w:rPr>
            <w:rFonts w:ascii="Times New Roman" w:cs="Times New Roman" w:eastAsia="Times New Roman" w:hAnsi="Times New Roman"/>
            <w:sz w:val="18"/>
            <w:szCs w:val="18"/>
            <w:u w:val="single" w:color="auto"/>
            <w:color w:val="0000FF"/>
          </w:rPr>
          <w:t>Quanex Building Products Corporation Deferred Compensation Plan as amended, filed as Exhibit 10.2 to the Registrant's Quarterly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Report on Form 10-Q (Reg. No. 001-33913) for the quarter ended January 31, 2014,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Commission on March 6, 2014, 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w:t>
      </w:r>
      <w:r>
        <w:rPr>
          <w:sz w:val="20"/>
          <w:szCs w:val="20"/>
          <w:color w:val="auto"/>
        </w:rPr>
        <w:tab/>
      </w:r>
      <w:hyperlink r:id="rId122">
        <w:r>
          <w:rPr>
            <w:rFonts w:ascii="Times New Roman" w:cs="Times New Roman" w:eastAsia="Times New Roman" w:hAnsi="Times New Roman"/>
            <w:sz w:val="18"/>
            <w:szCs w:val="18"/>
            <w:u w:val="single" w:color="auto"/>
            <w:color w:val="0000FF"/>
          </w:rPr>
          <w:t>Quanex Building Products Corporation Restoration Plan, filed as Exhibit 10.8 of Amendment No. 4 to the Registrant’s Registration</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Statement on Form 10 (Reg. No. 001-33913), as filed with the Securities and Exchange Commission on March 17, 2008,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†10.4</w:t>
      </w:r>
      <w:r>
        <w:rPr>
          <w:sz w:val="20"/>
          <w:szCs w:val="20"/>
          <w:color w:val="auto"/>
        </w:rPr>
        <w:tab/>
      </w:r>
      <w:hyperlink r:id="rId123">
        <w:r>
          <w:rPr>
            <w:rFonts w:ascii="Times New Roman" w:cs="Times New Roman" w:eastAsia="Times New Roman" w:hAnsi="Times New Roman"/>
            <w:sz w:val="17"/>
            <w:szCs w:val="17"/>
            <w:u w:val="single" w:color="auto"/>
            <w:color w:val="0000FF"/>
          </w:rPr>
          <w:t>Quanex Building Products Corporation Supplemental Employees Retirement Plan, filed as Exhibit 10.9 of Amendment No. 4 to the</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Registrant’s Registration Statement on Form 10 (Reg. No. 001-33913), as filed with the Securities and Exchange Commission on March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17, 2008, and incorporated herein by reference.</w:t>
        </w:r>
      </w:hyperlink>
    </w:p>
    <w:p>
      <w:pPr>
        <w:spacing w:after="0" w:line="55" w:lineRule="exact"/>
        <w:rPr>
          <w:sz w:val="20"/>
          <w:szCs w:val="20"/>
          <w:color w:val="auto"/>
        </w:rPr>
      </w:pPr>
    </w:p>
    <w:p>
      <w:pPr>
        <w:jc w:val="both"/>
        <w:ind w:left="1420" w:hanging="95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†10.5</w:t>
      </w:r>
      <w:r>
        <w:rPr>
          <w:sz w:val="20"/>
          <w:szCs w:val="20"/>
          <w:color w:val="auto"/>
        </w:rPr>
        <w:tab/>
      </w:r>
      <w:hyperlink r:id="rId124">
        <w:r>
          <w:rPr>
            <w:rFonts w:ascii="Times New Roman" w:cs="Times New Roman" w:eastAsia="Times New Roman" w:hAnsi="Times New Roman"/>
            <w:sz w:val="17"/>
            <w:szCs w:val="17"/>
            <w:u w:val="single" w:color="auto"/>
            <w:color w:val="0000FF"/>
          </w:rPr>
          <w:t>Form of Executive Severance Policy applicable to the Registrant and certain of its executive officers, filed as Exhibit 10.1 of the</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March 2, 2020</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†10.6</w:t>
      </w:r>
      <w:r>
        <w:rPr>
          <w:sz w:val="20"/>
          <w:szCs w:val="20"/>
          <w:color w:val="auto"/>
        </w:rPr>
        <w:tab/>
      </w:r>
      <w:hyperlink r:id="rId125">
        <w:r>
          <w:rPr>
            <w:rFonts w:ascii="Times New Roman" w:cs="Times New Roman" w:eastAsia="Times New Roman" w:hAnsi="Times New Roman"/>
            <w:sz w:val="18"/>
            <w:szCs w:val="18"/>
            <w:u w:val="single" w:color="auto"/>
            <w:color w:val="0000FF"/>
          </w:rPr>
          <w:t>Form of Indemnity Agreement between the Registrant and each of its independent directors, filed as Exhibit 10.1 of the Registrant’s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Current Report on Form 8-K (Reg. No. 001-33913), as filed with the Securities and Exchange Commission on August 29, 2008,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†10.7</w:t>
      </w:r>
      <w:r>
        <w:rPr>
          <w:sz w:val="20"/>
          <w:szCs w:val="20"/>
          <w:color w:val="auto"/>
        </w:rPr>
        <w:tab/>
      </w:r>
      <w:hyperlink r:id="rId126">
        <w:r>
          <w:rPr>
            <w:rFonts w:ascii="Times New Roman" w:cs="Times New Roman" w:eastAsia="Times New Roman" w:hAnsi="Times New Roman"/>
            <w:sz w:val="18"/>
            <w:szCs w:val="18"/>
            <w:u w:val="single" w:color="auto"/>
            <w:color w:val="0000FF"/>
          </w:rPr>
          <w:t>Form of Indemnity Agreement between the Registrant and each of its officers, filed as Exhibit 10.2 of the Registrant’s Current Report</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on Form 8-K (Reg. No. 001-33913), as filed with the Securities and Exchange Commission on August 29, 2008, and incorporated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†10.8</w:t>
      </w:r>
      <w:r>
        <w:rPr>
          <w:sz w:val="20"/>
          <w:szCs w:val="20"/>
          <w:color w:val="auto"/>
        </w:rPr>
        <w:tab/>
      </w:r>
      <w:hyperlink r:id="rId127">
        <w:r>
          <w:rPr>
            <w:rFonts w:ascii="Times New Roman" w:cs="Times New Roman" w:eastAsia="Times New Roman" w:hAnsi="Times New Roman"/>
            <w:sz w:val="18"/>
            <w:szCs w:val="18"/>
            <w:u w:val="single" w:color="auto"/>
            <w:color w:val="0000FF"/>
          </w:rPr>
          <w:t>Form of Stock Option Agreement for Employees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amended, filed as Exhibit 10.1 to the Registrant’s Current Report on Form 8-K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†10.9</w:t>
      </w:r>
      <w:r>
        <w:rPr>
          <w:sz w:val="20"/>
          <w:szCs w:val="20"/>
          <w:color w:val="auto"/>
        </w:rPr>
        <w:tab/>
      </w:r>
      <w:hyperlink r:id="rId128">
        <w:r>
          <w:rPr>
            <w:rFonts w:ascii="Times New Roman" w:cs="Times New Roman" w:eastAsia="Times New Roman" w:hAnsi="Times New Roman"/>
            <w:sz w:val="18"/>
            <w:szCs w:val="18"/>
            <w:u w:val="single" w:color="auto"/>
            <w:color w:val="0000FF"/>
          </w:rPr>
          <w:t>Form of Stock Option Agreement for Section 16 Officers under the Quanex Building Products Corporation 2008 Omnibus Incentive</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Plan, as amended, filed as Exhibit 10.2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†10.10</w:t>
      </w:r>
      <w:r>
        <w:rPr>
          <w:sz w:val="20"/>
          <w:szCs w:val="20"/>
          <w:color w:val="auto"/>
        </w:rPr>
        <w:tab/>
      </w:r>
      <w:hyperlink r:id="rId129">
        <w:r>
          <w:rPr>
            <w:rFonts w:ascii="Times New Roman" w:cs="Times New Roman" w:eastAsia="Times New Roman" w:hAnsi="Times New Roman"/>
            <w:sz w:val="18"/>
            <w:szCs w:val="18"/>
            <w:u w:val="single" w:color="auto"/>
            <w:color w:val="0000FF"/>
          </w:rPr>
          <w:t>Form of Stock Option Agreement for Key Leaders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amended, filed as Exhibit 10.3 to the Registrant’s Current Report on Form 8-K (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†10.11</w:t>
      </w:r>
      <w:r>
        <w:rPr>
          <w:sz w:val="20"/>
          <w:szCs w:val="20"/>
          <w:color w:val="auto"/>
        </w:rPr>
        <w:tab/>
      </w:r>
      <w:hyperlink r:id="rId130">
        <w:r>
          <w:rPr>
            <w:rFonts w:ascii="Times New Roman" w:cs="Times New Roman" w:eastAsia="Times New Roman" w:hAnsi="Times New Roman"/>
            <w:sz w:val="18"/>
            <w:szCs w:val="18"/>
            <w:u w:val="single" w:color="auto"/>
            <w:color w:val="0000FF"/>
          </w:rPr>
          <w:t>Form of Stock Option Agreement for Non-Employee Directors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Incentive Plan, as amended, filed as Exhibit 10.4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†10.12</w:t>
      </w:r>
      <w:r>
        <w:rPr>
          <w:sz w:val="20"/>
          <w:szCs w:val="20"/>
          <w:color w:val="auto"/>
        </w:rPr>
        <w:tab/>
      </w:r>
      <w:hyperlink r:id="rId131">
        <w:r>
          <w:rPr>
            <w:rFonts w:ascii="Times New Roman" w:cs="Times New Roman" w:eastAsia="Times New Roman" w:hAnsi="Times New Roman"/>
            <w:sz w:val="18"/>
            <w:szCs w:val="18"/>
            <w:u w:val="single" w:color="auto"/>
            <w:color w:val="0000FF"/>
          </w:rPr>
          <w:t>Form of Restricted Stock Award Agreement for Section 16 Officers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Incentive Plan, as amended, filed as Exhibit 10.6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†10.13</w:t>
      </w:r>
      <w:r>
        <w:rPr>
          <w:sz w:val="20"/>
          <w:szCs w:val="20"/>
          <w:color w:val="auto"/>
        </w:rPr>
        <w:tab/>
      </w:r>
      <w:hyperlink r:id="rId132">
        <w:r>
          <w:rPr>
            <w:rFonts w:ascii="Times New Roman" w:cs="Times New Roman" w:eastAsia="Times New Roman" w:hAnsi="Times New Roman"/>
            <w:sz w:val="17"/>
            <w:szCs w:val="17"/>
            <w:u w:val="single" w:color="auto"/>
            <w:color w:val="0000FF"/>
          </w:rPr>
          <w:t>Form of Restricted Stock Award Agreement for Key Leaders under the Quanex Building Products Corporation 2008 Omnibus Incentive</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Plan, as amended, filed as Exhibit 10.7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†10.14</w:t>
      </w:r>
      <w:r>
        <w:rPr>
          <w:sz w:val="20"/>
          <w:szCs w:val="20"/>
          <w:color w:val="auto"/>
        </w:rPr>
        <w:tab/>
      </w:r>
      <w:hyperlink r:id="rId134">
        <w:r>
          <w:rPr>
            <w:rFonts w:ascii="Times New Roman" w:cs="Times New Roman" w:eastAsia="Times New Roman" w:hAnsi="Times New Roman"/>
            <w:sz w:val="18"/>
            <w:szCs w:val="18"/>
            <w:u w:val="single" w:color="auto"/>
            <w:color w:val="0000FF"/>
          </w:rPr>
          <w:t>Form of Restricted Stock Unit Award Agreement for Section 16 Officers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Omnibus Incentive Plan, as amended, filed as Exhibit 10.10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†10.15</w:t>
      </w:r>
      <w:r>
        <w:rPr>
          <w:sz w:val="20"/>
          <w:szCs w:val="20"/>
          <w:color w:val="auto"/>
        </w:rPr>
        <w:tab/>
      </w:r>
      <w:hyperlink r:id="rId135">
        <w:r>
          <w:rPr>
            <w:rFonts w:ascii="Times New Roman" w:cs="Times New Roman" w:eastAsia="Times New Roman" w:hAnsi="Times New Roman"/>
            <w:sz w:val="18"/>
            <w:szCs w:val="18"/>
            <w:u w:val="single" w:color="auto"/>
            <w:color w:val="0000FF"/>
          </w:rPr>
          <w:t>Form of Restricted Stock Unit Award Agreement for Key Leaders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Incentive Plan, as amended, filed as Exhibit 10.11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†10.16</w:t>
      </w:r>
      <w:r>
        <w:rPr>
          <w:sz w:val="20"/>
          <w:szCs w:val="20"/>
          <w:color w:val="auto"/>
        </w:rPr>
        <w:tab/>
      </w:r>
      <w:hyperlink r:id="rId136">
        <w:r>
          <w:rPr>
            <w:rFonts w:ascii="Times New Roman" w:cs="Times New Roman" w:eastAsia="Times New Roman" w:hAnsi="Times New Roman"/>
            <w:sz w:val="18"/>
            <w:szCs w:val="18"/>
            <w:u w:val="single" w:color="auto"/>
            <w:color w:val="0000FF"/>
          </w:rPr>
          <w:t>Form of Restricted Stock Unit Award Agreement for Non-Employee Directors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Omnibus Incentive Plan, as amended, filed as Exhibit 10.12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†10.17</w:t>
      </w:r>
      <w:r>
        <w:rPr>
          <w:sz w:val="20"/>
          <w:szCs w:val="20"/>
          <w:color w:val="auto"/>
        </w:rPr>
        <w:tab/>
      </w:r>
      <w:hyperlink r:id="rId137">
        <w:r>
          <w:rPr>
            <w:rFonts w:ascii="Times New Roman" w:cs="Times New Roman" w:eastAsia="Times New Roman" w:hAnsi="Times New Roman"/>
            <w:sz w:val="17"/>
            <w:szCs w:val="17"/>
            <w:u w:val="single" w:color="auto"/>
            <w:color w:val="0000FF"/>
          </w:rPr>
          <w:t>Amended Form of Performance Share Award Agreement for Section 16 Officers under the Quanex Building Products Corporation 2008</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Omnibus Incentive Plan, as amended, filed as Exhibit 10.2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†10.18</w:t>
      </w:r>
      <w:r>
        <w:rPr>
          <w:sz w:val="20"/>
          <w:szCs w:val="20"/>
          <w:color w:val="auto"/>
        </w:rPr>
        <w:tab/>
      </w:r>
      <w:hyperlink r:id="rId138">
        <w:r>
          <w:rPr>
            <w:rFonts w:ascii="Times New Roman" w:cs="Times New Roman" w:eastAsia="Times New Roman" w:hAnsi="Times New Roman"/>
            <w:sz w:val="18"/>
            <w:szCs w:val="18"/>
            <w:u w:val="single" w:color="auto"/>
            <w:color w:val="0000FF"/>
          </w:rPr>
          <w:t>Amended Form of Performance Share Award Agreement for Key Leaders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Omnibus Incentive Plan, as amended, filed as Exhibit 10.3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†10.19</w:t>
      </w:r>
      <w:r>
        <w:rPr>
          <w:sz w:val="20"/>
          <w:szCs w:val="20"/>
          <w:color w:val="auto"/>
        </w:rPr>
        <w:tab/>
      </w:r>
      <w:hyperlink r:id="rId139">
        <w:r>
          <w:rPr>
            <w:rFonts w:ascii="Times New Roman" w:cs="Times New Roman" w:eastAsia="Times New Roman" w:hAnsi="Times New Roman"/>
            <w:sz w:val="17"/>
            <w:szCs w:val="17"/>
            <w:u w:val="single" w:color="auto"/>
            <w:color w:val="0000FF"/>
          </w:rPr>
          <w:t>Agreement between Quanex Building Products Corporation and Scott Zuehlke, effective November 1, 2019, filed as Exhibit 10.1 to the</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2019,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10.20      Lease dated February 9, 2016, between Garner Properties Ltd. and HL Plastics Limited, filed as Exhibit 10.44 to the Registrant's Annual</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Report on Form 10-K (Reg. No. 001-33913) for the year ended October 31, 2016,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Commission on December 16, 2016,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10.21      Amended and Completely Restated Lease Agreement dated August 25, 2016, between Lauren Real Estate Holding LLC and Quanex IG</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Systems, Inc., filed as Exhibit 10.1 to the Registrant’s Current Report on Form 8-K (Reg. No. 001-33913), as filed with the Securities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and Exchange Commission on August 26, 2016,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†10.22</w:t>
      </w:r>
      <w:r>
        <w:rPr>
          <w:sz w:val="20"/>
          <w:szCs w:val="20"/>
          <w:color w:val="auto"/>
        </w:rPr>
        <w:tab/>
      </w:r>
      <w:hyperlink r:id="rId142">
        <w:r>
          <w:rPr>
            <w:rFonts w:ascii="Times New Roman" w:cs="Times New Roman" w:eastAsia="Times New Roman" w:hAnsi="Times New Roman"/>
            <w:sz w:val="18"/>
            <w:szCs w:val="18"/>
            <w:u w:val="single" w:color="auto"/>
            <w:color w:val="0000FF"/>
          </w:rPr>
          <w:t>Amended and Restated Employee Stock Purchase Plan, as amended and restated effective April 1, 2017, filed as Annex A to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Registrant’s Definitive Proxy Statement on Schedule 14A for its 2017 Annual Meeting of Stockholders (Reg. No 001-33919), as filed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with the Securities and Exchange Commission on January 31, 2017,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†10.23</w:t>
      </w:r>
      <w:r>
        <w:rPr>
          <w:sz w:val="20"/>
          <w:szCs w:val="20"/>
          <w:color w:val="auto"/>
        </w:rPr>
        <w:tab/>
      </w:r>
      <w:hyperlink r:id="rId143">
        <w:r>
          <w:rPr>
            <w:rFonts w:ascii="Times New Roman" w:cs="Times New Roman" w:eastAsia="Times New Roman" w:hAnsi="Times New Roman"/>
            <w:sz w:val="18"/>
            <w:szCs w:val="18"/>
            <w:u w:val="single" w:color="auto"/>
            <w:color w:val="0000FF"/>
          </w:rPr>
          <w:t>Agreement between Quanex Building Products Corporation and George Wilson, effective August 1, 2017, filed as Exhibit 10.1 of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Registrant’s Current Report on Form 8-K (Reg. No. 001-33919) as filed with the Securities and Exchange Commission on July 27,</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2017, and herein incorporated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†10.24</w:t>
      </w:r>
      <w:r>
        <w:rPr>
          <w:sz w:val="20"/>
          <w:szCs w:val="20"/>
          <w:color w:val="auto"/>
        </w:rPr>
        <w:tab/>
      </w:r>
      <w:hyperlink r:id="rId144">
        <w:r>
          <w:rPr>
            <w:rFonts w:ascii="Times New Roman" w:cs="Times New Roman" w:eastAsia="Times New Roman" w:hAnsi="Times New Roman"/>
            <w:sz w:val="18"/>
            <w:szCs w:val="18"/>
            <w:u w:val="single" w:color="auto"/>
            <w:color w:val="0000FF"/>
          </w:rPr>
          <w:t>Form of Key Leader Stock Settled Performance Restricted Stock Units Award Agreement filed as Exhibit 10.50 to the Registrant's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Annual Report on Form 10-K (Reg. No. 001-33913) for the year ended October 31, 2017,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Commission on December 12, 2017,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†10.25</w:t>
      </w:r>
      <w:r>
        <w:rPr>
          <w:sz w:val="20"/>
          <w:szCs w:val="20"/>
          <w:color w:val="auto"/>
        </w:rPr>
        <w:tab/>
      </w:r>
      <w:hyperlink r:id="rId145">
        <w:r>
          <w:rPr>
            <w:rFonts w:ascii="Times New Roman" w:cs="Times New Roman" w:eastAsia="Times New Roman" w:hAnsi="Times New Roman"/>
            <w:sz w:val="18"/>
            <w:szCs w:val="18"/>
            <w:u w:val="single" w:color="auto"/>
            <w:color w:val="0000FF"/>
          </w:rPr>
          <w:t>Form of Section 16 Officer Stock Settled Performance Restricted Stock Units Award Agreement filed as Exhibit 10.51 to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Registrant's Annual Report on Form 10-K (Reg. No. 001-33913) for the year ended October 31, 2017,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Exchange Commission on December 12, 2017, and incorporated herein by reference.</w:t>
        </w:r>
      </w:hyperlink>
    </w:p>
    <w:p>
      <w:pPr>
        <w:spacing w:after="0" w:line="109"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10.26      First Amendment to the Amended and Completely Restated Lease Agreement by and among Quanex IG Systems, Inc. and Lauren Real</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Estate Holding LLC, dated November 1, 2022 as filed as Exhibit 10.1 of the Registrant's Current Report on Form 8-K (Reg. No. 001-</w:t>
        </w:r>
      </w:hyperlink>
    </w:p>
    <w:p>
      <w:pPr>
        <w:spacing w:after="0" w:line="2" w:lineRule="exact"/>
        <w:rPr>
          <w:sz w:val="20"/>
          <w:szCs w:val="20"/>
          <w:color w:val="auto"/>
        </w:rPr>
      </w:pPr>
    </w:p>
    <w:p>
      <w:pPr>
        <w:jc w:val="center"/>
        <w:ind w:left="4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33913) as filed with the Securities and Exchange Commission on November 1, 2022, and incorporated herein by reference.</w:t>
        </w:r>
      </w:hyperlink>
    </w:p>
    <w:p>
      <w:pPr>
        <w:spacing w:after="0" w:line="109"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†10.27</w:t>
      </w:r>
      <w:r>
        <w:rPr>
          <w:sz w:val="20"/>
          <w:szCs w:val="20"/>
          <w:color w:val="auto"/>
        </w:rPr>
        <w:tab/>
      </w:r>
      <w:hyperlink r:id="rId147">
        <w:r>
          <w:rPr>
            <w:rFonts w:ascii="Times New Roman" w:cs="Times New Roman" w:eastAsia="Times New Roman" w:hAnsi="Times New Roman"/>
            <w:sz w:val="17"/>
            <w:szCs w:val="17"/>
            <w:u w:val="single" w:color="auto"/>
            <w:color w:val="0000FF"/>
          </w:rPr>
          <w:t>Agreement between Quanex Building Products Corporation and Paul Cornett, effective November 1, 2019, filed as Exhibit 10.4 to the</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2019,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†10.28</w:t>
      </w:r>
      <w:r>
        <w:rPr>
          <w:sz w:val="20"/>
          <w:szCs w:val="20"/>
          <w:color w:val="auto"/>
        </w:rPr>
        <w:tab/>
      </w:r>
      <w:hyperlink r:id="rId149">
        <w:r>
          <w:rPr>
            <w:rFonts w:ascii="Times New Roman" w:cs="Times New Roman" w:eastAsia="Times New Roman" w:hAnsi="Times New Roman"/>
            <w:sz w:val="18"/>
            <w:szCs w:val="18"/>
            <w:u w:val="single" w:color="auto"/>
            <w:color w:val="0000FF"/>
          </w:rPr>
          <w:t>Quanex Building Products Corporation 2020 Omnibus Incentive Plan filed as Exhibit 10.2 to the Registrant's Current Report on Form 8-</w:t>
        </w:r>
      </w:hyperlink>
      <w:hyperlink r:id="rId149">
        <w:r>
          <w:rPr>
            <w:rFonts w:ascii="Times New Roman" w:cs="Times New Roman" w:eastAsia="Times New Roman" w:hAnsi="Times New Roman"/>
            <w:sz w:val="18"/>
            <w:szCs w:val="18"/>
            <w:u w:val="single" w:color="auto"/>
            <w:color w:val="0000FF"/>
          </w:rPr>
          <w:t>K (Reg. No. 001-33913), as filed with the Securities and Exchange Commission on March 2, 2020, and incorporated herein by</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†10.29</w:t>
      </w:r>
      <w:r>
        <w:rPr>
          <w:sz w:val="20"/>
          <w:szCs w:val="20"/>
          <w:color w:val="auto"/>
        </w:rPr>
        <w:tab/>
      </w:r>
      <w:hyperlink r:id="rId150">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Exchange Commission on March 6, 2020,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†10.30</w:t>
      </w:r>
      <w:r>
        <w:rPr>
          <w:sz w:val="20"/>
          <w:szCs w:val="20"/>
          <w:color w:val="auto"/>
        </w:rPr>
        <w:tab/>
      </w:r>
      <w:hyperlink r:id="rId151">
        <w:r>
          <w:rPr>
            <w:rFonts w:ascii="Times New Roman" w:cs="Times New Roman" w:eastAsia="Times New Roman" w:hAnsi="Times New Roman"/>
            <w:sz w:val="18"/>
            <w:szCs w:val="18"/>
            <w:u w:val="single" w:color="auto"/>
            <w:color w:val="0000FF"/>
          </w:rPr>
          <w:t>Form of Annual Incentive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351"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†10.31</w:t>
      </w:r>
      <w:r>
        <w:rPr>
          <w:sz w:val="20"/>
          <w:szCs w:val="20"/>
          <w:color w:val="auto"/>
        </w:rPr>
        <w:tab/>
      </w:r>
      <w:hyperlink r:id="rId152">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Plan, filed as Exhibit 10.2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297"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†10.32</w:t>
      </w:r>
      <w:r>
        <w:rPr>
          <w:sz w:val="20"/>
          <w:szCs w:val="20"/>
          <w:color w:val="auto"/>
        </w:rPr>
        <w:tab/>
      </w:r>
      <w:hyperlink r:id="rId153">
        <w:r>
          <w:rPr>
            <w:rFonts w:ascii="Times New Roman" w:cs="Times New Roman" w:eastAsia="Times New Roman" w:hAnsi="Times New Roman"/>
            <w:sz w:val="18"/>
            <w:szCs w:val="18"/>
            <w:u w:val="single" w:color="auto"/>
            <w:color w:val="0000FF"/>
          </w:rPr>
          <w:t>Form of Restricted Stock Unit Award Agreement for Employees under the Quanex Building Products Corporation 2020 Omnibus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Incentive Plan, filed as Exhibit 10.3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337"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†10.33</w:t>
      </w:r>
      <w:r>
        <w:rPr>
          <w:sz w:val="20"/>
          <w:szCs w:val="20"/>
          <w:color w:val="auto"/>
        </w:rPr>
        <w:tab/>
      </w:r>
      <w:hyperlink r:id="rId154">
        <w:r>
          <w:rPr>
            <w:rFonts w:ascii="Times New Roman" w:cs="Times New Roman" w:eastAsia="Times New Roman" w:hAnsi="Times New Roman"/>
            <w:sz w:val="18"/>
            <w:szCs w:val="18"/>
            <w:u w:val="single" w:color="auto"/>
            <w:color w:val="0000FF"/>
          </w:rPr>
          <w:t>Form of Performance Share Award Agreement for Employees under the Quanex Building Products Corporation 2020 Omnibus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Incentive Plan, filed as Exhibit 10.4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351"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†10.34</w:t>
      </w:r>
      <w:r>
        <w:rPr>
          <w:sz w:val="20"/>
          <w:szCs w:val="20"/>
          <w:color w:val="auto"/>
        </w:rPr>
        <w:tab/>
      </w:r>
      <w:hyperlink r:id="rId155">
        <w:r>
          <w:rPr>
            <w:rFonts w:ascii="Times New Roman" w:cs="Times New Roman" w:eastAsia="Times New Roman" w:hAnsi="Times New Roman"/>
            <w:sz w:val="17"/>
            <w:szCs w:val="17"/>
            <w:u w:val="single" w:color="auto"/>
            <w:color w:val="0000FF"/>
          </w:rPr>
          <w:t>Form of Performance Restricted Stock Unit Award Agreement for Employees under the Quanex Building Products Corporation 2020</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Omnibus Incentive Plan, filed as Exhibit 10.5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†10.35</w:t>
      </w:r>
      <w:r>
        <w:rPr>
          <w:sz w:val="20"/>
          <w:szCs w:val="20"/>
          <w:color w:val="auto"/>
        </w:rPr>
        <w:tab/>
      </w:r>
      <w:hyperlink r:id="rId156">
        <w:r>
          <w:rPr>
            <w:rFonts w:ascii="Times New Roman" w:cs="Times New Roman" w:eastAsia="Times New Roman" w:hAnsi="Times New Roman"/>
            <w:sz w:val="18"/>
            <w:szCs w:val="18"/>
            <w:u w:val="single" w:color="auto"/>
            <w:color w:val="0000FF"/>
          </w:rPr>
          <w:t>Form of Restricted Stock Unit Award Agreement for independent Directors under the Quanex Building Products Corporation 2020</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Omnibus Incentive Plan, filed as Exhibit 10.39 of the Registrant’s Annual Report on Form 10-K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Securities and Exchange Commission on December 11, 2020, and incorporated herein by reference.</w:t>
        </w:r>
      </w:hyperlink>
    </w:p>
    <w:p>
      <w:pPr>
        <w:spacing w:after="0" w:line="109"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10.36      Lease Relating to Land and Buildings at Denby Hall Business Park, Denby, Ripley, Derbyshire, DE5 8JX, dated as of October 21, 2022,</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by and among Garner Holdings Limited, Liniar Limited, and Ryfields Close Management Company Limited, filed as Exhibit 10.1 of the</w:t>
        </w:r>
      </w:hyperlink>
    </w:p>
    <w:p>
      <w:pPr>
        <w:spacing w:after="0" w:line="2" w:lineRule="exact"/>
        <w:rPr>
          <w:sz w:val="20"/>
          <w:szCs w:val="20"/>
          <w:color w:val="auto"/>
        </w:rPr>
      </w:pPr>
    </w:p>
    <w:p>
      <w:pPr>
        <w:ind w:left="1420"/>
        <w:spacing w:after="0" w:line="225"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Registrant’s Current Report on Form 8-K (Reg. No. 001-33913) as filed with the Securities and Exchange Commission on October 26,</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2022 and incorporated herein by reference.</w:t>
        </w:r>
      </w:hyperlink>
    </w:p>
    <w:p>
      <w:pPr>
        <w:spacing w:after="0" w:line="49"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10.37      First Amendment to the Amended and Completely Restated Lease Agreement by and among Quanex IG Systems, Inc. and Lauren Real</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Estate Holding LLC, dated November 1, 2022, filed as Exhibit 10.1 to the Registrant's Current Report on Form 8-K (Reg. No. 001-</w:t>
        </w:r>
      </w:hyperlink>
    </w:p>
    <w:p>
      <w:pPr>
        <w:spacing w:after="0" w:line="2" w:lineRule="exact"/>
        <w:rPr>
          <w:sz w:val="20"/>
          <w:szCs w:val="20"/>
          <w:color w:val="auto"/>
        </w:rPr>
      </w:pPr>
    </w:p>
    <w:p>
      <w:pPr>
        <w:jc w:val="center"/>
        <w:ind w:left="4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33913), as filed with the Securities and Exchange Commission on November 1, 2022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†10.38</w:t>
      </w:r>
      <w:r>
        <w:rPr>
          <w:sz w:val="20"/>
          <w:szCs w:val="20"/>
          <w:color w:val="auto"/>
        </w:rPr>
        <w:tab/>
      </w:r>
      <w:hyperlink r:id="rId158">
        <w:r>
          <w:rPr>
            <w:rFonts w:ascii="Times New Roman" w:cs="Times New Roman" w:eastAsia="Times New Roman" w:hAnsi="Times New Roman"/>
            <w:sz w:val="18"/>
            <w:szCs w:val="18"/>
            <w:u w:val="single" w:color="auto"/>
            <w:color w:val="0000FF"/>
          </w:rPr>
          <w:t>Amended Form of Rest</w:t>
        </w:r>
        <w:r>
          <w:rPr>
            <w:rFonts w:ascii="Times New Roman" w:cs="Times New Roman" w:eastAsia="Times New Roman" w:hAnsi="Times New Roman"/>
            <w:sz w:val="18"/>
            <w:szCs w:val="18"/>
            <w:color w:val="0000FF"/>
          </w:rPr>
          <w:t>ricted Stock A</w:t>
        </w:r>
        <w:r>
          <w:rPr>
            <w:rFonts w:ascii="Times New Roman" w:cs="Times New Roman" w:eastAsia="Times New Roman" w:hAnsi="Times New Roman"/>
            <w:sz w:val="18"/>
            <w:szCs w:val="18"/>
            <w:u w:val="single" w:color="auto"/>
            <w:color w:val="0000FF"/>
          </w:rPr>
          <w:t>ward Agreement under the Quanex Building Products Corporation 2020 Omnibus Incentive Plan,</w:t>
        </w:r>
      </w:hyperlink>
      <w:r>
        <w:rPr>
          <w:rFonts w:ascii="Times New Roman" w:cs="Times New Roman" w:eastAsia="Times New Roman" w:hAnsi="Times New Roman"/>
          <w:sz w:val="18"/>
          <w:szCs w:val="18"/>
          <w:color w:val="0000FF"/>
        </w:rPr>
        <w:t xml:space="preserve"> </w:t>
      </w:r>
      <w:hyperlink r:id="rId158">
        <w:r>
          <w:rPr>
            <w:rFonts w:ascii="Times New Roman" w:cs="Times New Roman" w:eastAsia="Times New Roman" w:hAnsi="Times New Roman"/>
            <w:sz w:val="18"/>
            <w:szCs w:val="18"/>
            <w:u w:val="single" w:color="auto"/>
            <w:color w:val="0000FF"/>
          </w:rPr>
          <w:t>as amended, filed as Ex</w:t>
        </w:r>
        <w:r>
          <w:rPr>
            <w:rFonts w:ascii="Times New Roman" w:cs="Times New Roman" w:eastAsia="Times New Roman" w:hAnsi="Times New Roman"/>
            <w:sz w:val="18"/>
            <w:szCs w:val="18"/>
            <w:u w:val="single" w:color="auto"/>
            <w:color w:val="0000FF"/>
            <w:highlight w:val="white"/>
          </w:rPr>
          <w:t>hibit 10.1 of th</w:t>
        </w:r>
        <w:r>
          <w:rPr>
            <w:rFonts w:ascii="Times New Roman" w:cs="Times New Roman" w:eastAsia="Times New Roman" w:hAnsi="Times New Roman"/>
            <w:sz w:val="18"/>
            <w:szCs w:val="18"/>
            <w:u w:val="single" w:color="auto"/>
            <w:color w:val="0000FF"/>
          </w:rPr>
          <w:t>e Registrant’s Current Report on Form 8-K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Exchange Commission on December 9, 2022 and incorporated herein by reference.</w:t>
        </w:r>
      </w:hyperlink>
    </w:p>
    <w:p>
      <w:pPr>
        <w:spacing w:after="0" w:line="95" w:lineRule="exact"/>
        <w:rPr>
          <w:sz w:val="20"/>
          <w:szCs w:val="20"/>
          <w:color w:val="auto"/>
        </w:rPr>
      </w:pPr>
    </w:p>
    <w:p>
      <w:pPr>
        <w:ind w:left="1420" w:hanging="1019"/>
        <w:spacing w:after="0" w:line="236"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†10.39</w:t>
      </w:r>
      <w:r>
        <w:rPr>
          <w:sz w:val="20"/>
          <w:szCs w:val="20"/>
          <w:color w:val="auto"/>
        </w:rPr>
        <w:tab/>
      </w:r>
      <w:hyperlink r:id="rId159">
        <w:r>
          <w:rPr>
            <w:rFonts w:ascii="Times New Roman" w:cs="Times New Roman" w:eastAsia="Times New Roman" w:hAnsi="Times New Roman"/>
            <w:sz w:val="18"/>
            <w:szCs w:val="18"/>
            <w:u w:val="single" w:color="auto"/>
            <w:color w:val="0000FF"/>
          </w:rPr>
          <w:t>Amendment to Quanex Building Products Corporation Restoration Plan, dated June 1, 2023, as filed as Exhibit 10.1 on Form 10-Q</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(Reg. No. 001-33913) as filed with the Securities and Exchange Commission on June 2, 2023, and incorporated herein by reference.</w:t>
        </w:r>
      </w:hyperlink>
    </w:p>
    <w:p>
      <w:pPr>
        <w:spacing w:after="0" w:line="104"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†10.40</w:t>
      </w:r>
      <w:r>
        <w:rPr>
          <w:sz w:val="20"/>
          <w:szCs w:val="20"/>
          <w:color w:val="auto"/>
        </w:rPr>
        <w:tab/>
      </w:r>
      <w:hyperlink r:id="rId160">
        <w:r>
          <w:rPr>
            <w:rFonts w:ascii="Times New Roman" w:cs="Times New Roman" w:eastAsia="Times New Roman" w:hAnsi="Times New Roman"/>
            <w:sz w:val="18"/>
            <w:szCs w:val="18"/>
            <w:u w:val="single" w:color="auto"/>
            <w:color w:val="0000FF"/>
          </w:rPr>
          <w:t>Amendment to Quanex Building Products Corporation Supplemental Employees Retirement Plan, dated June 1, 2023, as filed as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Exhibit 10.2 on Form 10-Q (Reg. No. 001-33913) as filed with the Securities and Exchange Commission on June 2, 2023,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right="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†10.41</w:t>
      </w:r>
      <w:r>
        <w:rPr>
          <w:sz w:val="20"/>
          <w:szCs w:val="20"/>
          <w:color w:val="auto"/>
        </w:rPr>
        <w:tab/>
      </w:r>
      <w:hyperlink r:id="rId162">
        <w:r>
          <w:rPr>
            <w:rFonts w:ascii="Times New Roman" w:cs="Times New Roman" w:eastAsia="Times New Roman" w:hAnsi="Times New Roman"/>
            <w:sz w:val="18"/>
            <w:szCs w:val="18"/>
            <w:u w:val="single" w:color="auto"/>
            <w:color w:val="0000FF"/>
          </w:rPr>
          <w:t>Agreement between Quanex Building Products Corporation and Gabriela Garcia, effective October 20, 2025, the form of which is filed</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as Exhibit 10.1 of the Registrant’s Current Report on Form 8-K (Reg. No. 001-33913),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Commission on October 20, 2025 and incorporated herein by reference.</w:t>
        </w:r>
      </w:hyperlink>
    </w:p>
    <w:p>
      <w:pPr>
        <w:spacing w:after="0" w:line="55" w:lineRule="exact"/>
        <w:rPr>
          <w:sz w:val="20"/>
          <w:szCs w:val="20"/>
          <w:color w:val="auto"/>
        </w:rPr>
      </w:pPr>
    </w:p>
    <w:p>
      <w:pPr>
        <w:jc w:val="both"/>
        <w:ind w:left="1420" w:right="20" w:hanging="857"/>
        <w:spacing w:after="0" w:line="230" w:lineRule="auto"/>
        <w:tabs>
          <w:tab w:leader="none" w:pos="1420" w:val="left"/>
        </w:tabs>
        <w:numPr>
          <w:ilvl w:val="0"/>
          <w:numId w:val="17"/>
        </w:numPr>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Insider Trading and Treatment of Material Non-Public Information Policy, filed as Exhibit 19 of the Registrant’s Registration Statement</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on Form 10-Q (Reg. No. 001-33913) as filed with the Securities and Exchange Commission on March 11, 2025, and incorporated herein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by reference.</w:t>
        </w:r>
      </w:hyperlink>
    </w:p>
    <w:p>
      <w:pPr>
        <w:spacing w:after="0" w:line="36" w:lineRule="exact"/>
        <w:rPr>
          <w:rFonts w:ascii="Times New Roman" w:cs="Times New Roman" w:eastAsia="Times New Roman" w:hAnsi="Times New Roman"/>
          <w:sz w:val="18"/>
          <w:szCs w:val="18"/>
          <w:u w:val="single" w:color="auto"/>
          <w:color w:val="0000FF"/>
        </w:rPr>
      </w:pPr>
    </w:p>
    <w:tbl>
      <w:tblPr>
        <w:tblLayout w:type="fixed"/>
        <w:tblInd w:w="280" w:type="dxa"/>
        <w:tblCellMar>
          <w:top w:w="0" w:type="dxa"/>
          <w:left w:w="0" w:type="dxa"/>
          <w:bottom w:w="0" w:type="dxa"/>
          <w:right w:w="0" w:type="dxa"/>
        </w:tblCellMar>
      </w:tblPr>
      <w:tr>
        <w:trPr>
          <w:trHeight w:val="207"/>
        </w:trPr>
        <w:tc>
          <w:tcPr>
            <w:tcW w:w="5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560" w:type="dxa"/>
            <w:vAlign w:val="bottom"/>
          </w:tcPr>
          <w:p>
            <w:pPr>
              <w:spacing w:after="0"/>
              <w:rPr>
                <w:sz w:val="17"/>
                <w:szCs w:val="17"/>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560" w:type="dxa"/>
            <w:vAlign w:val="bottom"/>
          </w:tcPr>
          <w:p>
            <w:pPr>
              <w:spacing w:after="0"/>
              <w:rPr>
                <w:sz w:val="22"/>
                <w:szCs w:val="22"/>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560" w:type="dxa"/>
            <w:vAlign w:val="bottom"/>
          </w:tcPr>
          <w:p>
            <w:pPr>
              <w:spacing w:after="0"/>
              <w:rPr>
                <w:sz w:val="22"/>
                <w:szCs w:val="22"/>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560" w:type="dxa"/>
            <w:vAlign w:val="bottom"/>
          </w:tcPr>
          <w:p>
            <w:pPr>
              <w:spacing w:after="0"/>
              <w:rPr>
                <w:sz w:val="22"/>
                <w:szCs w:val="22"/>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r>
      <w:tr>
        <w:trPr>
          <w:trHeight w:val="262"/>
        </w:trPr>
        <w:tc>
          <w:tcPr>
            <w:tcW w:w="24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6"/>
              </w:rPr>
              <w:t>*32</w:t>
            </w:r>
          </w:p>
        </w:tc>
        <w:tc>
          <w:tcPr>
            <w:tcW w:w="8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5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4280" w:type="dxa"/>
            <w:vAlign w:val="bottom"/>
            <w:gridSpan w:val="3"/>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80" w:type="dxa"/>
            <w:vAlign w:val="bottom"/>
            <w:gridSpan w:val="3"/>
          </w:tcPr>
          <w:p>
            <w:pPr>
              <w:jc w:val="center"/>
              <w:ind w:left="70"/>
              <w:spacing w:after="0"/>
              <w:rPr>
                <w:rFonts w:ascii="Times New Roman" w:cs="Times New Roman" w:eastAsia="Times New Roman" w:hAnsi="Times New Roman"/>
                <w:sz w:val="18"/>
                <w:szCs w:val="18"/>
                <w:color w:val="0000FF"/>
                <w:w w:val="95"/>
              </w:rPr>
            </w:pPr>
            <w:hyperlink r:id="rId164">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560" w:type="dxa"/>
            <w:vAlign w:val="bottom"/>
          </w:tcPr>
          <w:p>
            <w:pPr>
              <w:spacing w:after="0"/>
              <w:rPr>
                <w:sz w:val="22"/>
                <w:szCs w:val="22"/>
                <w:color w:val="auto"/>
              </w:rPr>
            </w:pPr>
          </w:p>
        </w:tc>
        <w:tc>
          <w:tcPr>
            <w:tcW w:w="9840" w:type="dxa"/>
            <w:vAlign w:val="bottom"/>
            <w:gridSpan w:val="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Quanex Building Products Corporation Clawback Policy filed as Exhibit 97.1 to the Registrant's Annual Report on Form 10-K (Reg.</w:t>
              </w:r>
            </w:hyperlink>
          </w:p>
        </w:tc>
      </w:tr>
      <w:tr>
        <w:trPr>
          <w:trHeight w:val="155"/>
        </w:trPr>
        <w:tc>
          <w:tcPr>
            <w:tcW w:w="24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No. 001-33913) for the year ended October 31, 2023, as filed with the Securities and Exchange Commission on December 15, 2023,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bottom w:val="single" w:sz="8" w:color="0000FF"/>
            </w:tcBorders>
            <w:gridSpan w:val="3"/>
          </w:tcPr>
          <w:p>
            <w:pPr>
              <w:spacing w:after="0" w:line="168"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incorporated herein by reference.</w:t>
              </w:r>
            </w:hyperlink>
          </w:p>
        </w:tc>
        <w:tc>
          <w:tcPr>
            <w:tcW w:w="74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49"/>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1"/>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*101.SCH</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2"/>
        </w:trPr>
        <w:tc>
          <w:tcPr>
            <w:tcW w:w="1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*101.CAL</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2"/>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*101.DEF</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2"/>
        </w:trPr>
        <w:tc>
          <w:tcPr>
            <w:tcW w:w="1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*101.LAB</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2"/>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or Incentive Plan</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Annual Report on Form 10-K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sectPr>
      </w:pPr>
    </w:p>
    <w:bookmarkStart w:id="92" w:name="page93"/>
    <w:bookmarkEnd w:id="92"/>
    <w:p>
      <w:pPr>
        <w:ind w:left="10100"/>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883" w:right="339" w:bottom="1440" w:gutter="0" w:footer="0" w:header="0"/>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 OF QUANEX BUILDING PRODUCTS CORPORATION</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LOCATION OF INCORPORATION</w:t>
      </w:r>
    </w:p>
    <w:p>
      <w:pPr>
        <w:spacing w:after="0" w:line="47" w:lineRule="exact"/>
        <w:rPr>
          <w:sz w:val="20"/>
          <w:szCs w:val="20"/>
          <w:color w:val="auto"/>
        </w:rPr>
      </w:pPr>
    </w:p>
    <w:p>
      <w:pPr>
        <w:sectPr>
          <w:pgSz w:w="11900" w:h="16838" w:orient="portrait"/>
          <w:cols w:equalWidth="0" w:num="2">
            <w:col w:w="7140" w:space="720"/>
            <w:col w:w="3360"/>
          </w:cols>
          <w:pgMar w:left="340" w:top="8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Amesbury Acquisition Holdings (2)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Mexico S de RL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Amesburytruth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Ashland Hardware And Casting Systems De Mexico, S. 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1" w:lineRule="exact"/>
        <w:rPr>
          <w:sz w:val="20"/>
          <w:szCs w:val="20"/>
          <w:color w:val="auto"/>
        </w:rPr>
      </w:pPr>
    </w:p>
    <w:p>
      <w:pPr>
        <w:sectPr>
          <w:pgSz w:w="11900" w:h="16838" w:orient="portrait"/>
          <w:cols w:equalWidth="0" w:num="2">
            <w:col w:w="7140" w:space="720"/>
            <w:col w:w="3360"/>
          </w:cols>
          <w:pgMar w:left="340" w:top="8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R.L. de C.V.</w:t>
      </w:r>
    </w:p>
    <w:p>
      <w:pPr>
        <w:sectPr>
          <w:pgSz w:w="11900" w:h="16838" w:orient="portrait"/>
          <w:cols w:equalWidth="0" w:num="1">
            <w:col w:w="11220"/>
          </w:cols>
          <w:pgMar w:left="340" w:top="883"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Ashland Hardware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Ashland Hardware,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Avantek Machinery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Systems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G Lawrence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 Holdco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 Trading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Bilcomex Commercializadora S de RL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Bilcomex S de RL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(UK)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Europe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ERA Home Security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Flamstead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 Group Argentina 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 Group Hellas S.A.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 S.p.A.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HL Plastics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Liniar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Washington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Access Solution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Custom Components,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Custom Mixing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Do Brasil LTDA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Homeshield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IG Systems,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North American Cabinet Components,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North American Fenestration,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Acquisition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PTY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Schlegel Giesse Middle East Building Materials Trading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Bilco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Bilco Holding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Truth Hardware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TSA (Ningbo) Hardware co.,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Dakota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UAE - Dubai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ectPr>
          <w:pgSz w:w="11900" w:h="16838" w:orient="portrait"/>
          <w:cols w:equalWidth="0" w:num="2">
            <w:col w:w="7140" w:space="720"/>
            <w:col w:w="3360"/>
          </w:cols>
          <w:pgMar w:left="340" w:top="883"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issued our reports dated December 12, 2025, with respect to the consolidated financial statements and internal control over financial reporting included in the Annual Report of Quanex Building Products Corporation on Form 10-K for the year ended October 31, 2025. We hereby consent to the incorporation by reference of said reports in the Registration Statements of Quanex Building Products Corporation on Forms S-8 (File No. 333-150392, File No. 333-173245, File No. 333-194812, File No. 333-217118 and File No. 333-237032).</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ectPr>
          <w:pgSz w:w="11900" w:h="16838" w:orient="portrait"/>
          <w:cols w:equalWidth="0" w:num="1">
            <w:col w:w="11240"/>
          </w:cols>
          <w:pgMar w:left="320" w:top="93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15" w:lineRule="exact"/>
        <w:rPr>
          <w:sz w:val="20"/>
          <w:szCs w:val="20"/>
          <w:color w:val="auto"/>
        </w:rPr>
      </w:pPr>
    </w:p>
    <w:p>
      <w:pPr>
        <w:ind w:left="980" w:hanging="650"/>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4863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4863465" cy="825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GEORGE L. WILSON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15" w:lineRule="exact"/>
        <w:rPr>
          <w:sz w:val="20"/>
          <w:szCs w:val="20"/>
          <w:color w:val="auto"/>
        </w:rPr>
      </w:pPr>
    </w:p>
    <w:p>
      <w:pPr>
        <w:ind w:left="980" w:hanging="650"/>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25400</wp:posOffset>
            </wp:positionV>
            <wp:extent cx="3694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Scott M. Zuehlke</w:t>
      </w:r>
    </w:p>
    <w:p>
      <w:pPr>
        <w:ind w:left="60"/>
        <w:spacing w:after="0" w:line="218"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 (Principal</w:t>
      </w:r>
    </w:p>
    <w:p>
      <w:pPr>
        <w:ind w:left="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1"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George L. Wilson, President and Chief Executive Officer of Quanex Building Products Corporation (the Company) and Scott M. Zuehlke, Senior Vice President – Chief Financial Officer and Treasurer of the Company, each hereby certify that, to the best of their knowledge:</w:t>
      </w:r>
    </w:p>
    <w:p>
      <w:pPr>
        <w:spacing w:after="0" w:line="123" w:lineRule="exact"/>
        <w:rPr>
          <w:sz w:val="20"/>
          <w:szCs w:val="20"/>
          <w:color w:val="auto"/>
        </w:rPr>
      </w:pPr>
    </w:p>
    <w:p>
      <w:pPr>
        <w:jc w:val="both"/>
        <w:ind w:left="660" w:hanging="330"/>
        <w:spacing w:after="0" w:line="264"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October 31, 2025 as filed with the Securities and Exchange Commission on the date hereof (the Report), fully complies with the requirements of Section 13(a) or 15(d), as applicable, of the Securities Exchange Act of 1934, as amended; and</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12, 2025</w:t>
            </w:r>
          </w:p>
        </w:tc>
        <w:tc>
          <w:tcPr>
            <w:tcW w:w="5460" w:type="dxa"/>
            <w:vAlign w:val="bottom"/>
          </w:tcPr>
          <w:p>
            <w:pPr>
              <w:spacing w:after="0"/>
              <w:rPr>
                <w:sz w:val="20"/>
                <w:szCs w:val="20"/>
                <w:color w:val="auto"/>
              </w:rPr>
            </w:pPr>
          </w:p>
        </w:tc>
      </w:tr>
      <w:tr>
        <w:trPr>
          <w:trHeight w:val="443"/>
        </w:trPr>
        <w:tc>
          <w:tcPr>
            <w:tcW w:w="20" w:type="dxa"/>
            <w:vAlign w:val="bottom"/>
          </w:tcPr>
          <w:p>
            <w:pPr>
              <w:spacing w:after="0"/>
              <w:rPr>
                <w:sz w:val="24"/>
                <w:szCs w:val="24"/>
                <w:color w:val="auto"/>
              </w:rPr>
            </w:pPr>
          </w:p>
        </w:tc>
        <w:tc>
          <w:tcPr>
            <w:tcW w:w="5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 GEORGE L. WILSON</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r>
      <w:tr>
        <w:trPr>
          <w:trHeight w:val="202"/>
        </w:trPr>
        <w:tc>
          <w:tcPr>
            <w:tcW w:w="20" w:type="dxa"/>
            <w:vAlign w:val="bottom"/>
          </w:tcPr>
          <w:p>
            <w:pPr>
              <w:spacing w:after="0"/>
              <w:rPr>
                <w:sz w:val="17"/>
                <w:szCs w:val="17"/>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GEORGE L. WILSON</w:t>
            </w:r>
          </w:p>
        </w:tc>
        <w:tc>
          <w:tcPr>
            <w:tcW w:w="36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 M. ZUEHLKE</w:t>
            </w:r>
          </w:p>
        </w:tc>
      </w:tr>
      <w:tr>
        <w:trPr>
          <w:trHeight w:val="236"/>
        </w:trPr>
        <w:tc>
          <w:tcPr>
            <w:tcW w:w="20" w:type="dxa"/>
            <w:vAlign w:val="bottom"/>
          </w:tcPr>
          <w:p>
            <w:pPr>
              <w:spacing w:after="0"/>
              <w:rPr>
                <w:sz w:val="20"/>
                <w:szCs w:val="20"/>
                <w:color w:val="auto"/>
              </w:rPr>
            </w:pPr>
          </w:p>
        </w:tc>
        <w:tc>
          <w:tcPr>
            <w:tcW w:w="5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bl>
    <w:p>
      <w:pPr>
        <w:spacing w:after="0" w:line="237" w:lineRule="exact"/>
        <w:rPr>
          <w:sz w:val="20"/>
          <w:szCs w:val="20"/>
          <w:color w:val="auto"/>
        </w:rPr>
      </w:pPr>
    </w:p>
    <w:p>
      <w:pPr>
        <w:ind w:right="160" w:firstLine="444"/>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Quanex Building Products Corporation and will be retained by Quanex Building Products Corporation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amp;"/>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4"/>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9"/>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8" Type="http://schemas.openxmlformats.org/officeDocument/2006/relationships/image" Target="media/image97.png"/><Relationship Id="rId133" Type="http://schemas.openxmlformats.org/officeDocument/2006/relationships/image" Target="media/image98.png"/><Relationship Id="rId148" Type="http://schemas.openxmlformats.org/officeDocument/2006/relationships/image" Target="media/image99.png"/><Relationship Id="rId161"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04" Type="http://schemas.openxmlformats.org/officeDocument/2006/relationships/hyperlink" Target="https://www.sec.gov/Archives/edgar/data/276889/000136231007003514/c71844exv10w1.htm" TargetMode="External"/><Relationship Id="rId105" Type="http://schemas.openxmlformats.org/officeDocument/2006/relationships/hyperlink" Target="https://www.sec.gov/Archives/edgar/data/1423221/000095012311008220/c11749exv2w1.htm" TargetMode="External"/><Relationship Id="rId106" Type="http://schemas.openxmlformats.org/officeDocument/2006/relationships/hyperlink" Target="https://www.sec.gov/Archives/edgar/data/1423221/000119312514042001/d673720dex21.htm" TargetMode="External"/><Relationship Id="rId107" Type="http://schemas.openxmlformats.org/officeDocument/2006/relationships/hyperlink" Target="https://www.sec.gov/Archives/edgar/data/1423221/000119312514133069/d705907dex101.htm" TargetMode="External"/><Relationship Id="rId108" Type="http://schemas.openxmlformats.org/officeDocument/2006/relationships/hyperlink" Target="https://www.sec.gov/Archives/edgar/data/1423221/000119312515223912/d942344dex21.htm" TargetMode="External"/><Relationship Id="rId109" Type="http://schemas.openxmlformats.org/officeDocument/2006/relationships/hyperlink" Target="https://www.sec.gov/Archives/edgar/data/1423221/000119312515307548/d61044dex21.htm" TargetMode="External"/><Relationship Id="rId110" Type="http://schemas.openxmlformats.org/officeDocument/2006/relationships/hyperlink" Target="https://www.sec.gov/Archives/edgar/data/1423221/000110465922113504/tm2228962d2_ex2-1.htm" TargetMode="External"/><Relationship Id="rId111" Type="http://schemas.openxmlformats.org/officeDocument/2006/relationships/hyperlink" Target="https://www.sec.gov/Archives/edgar/data/1423221/000110465924049723/tm2412350d1_ex2-1.htm" TargetMode="External"/><Relationship Id="rId112" Type="http://schemas.openxmlformats.org/officeDocument/2006/relationships/hyperlink" Target="https://www.sec.gov/Archives/edgar/data/1423221/000110465924049723/tm2412350d1_ex2-2.htm" TargetMode="External"/><Relationship Id="rId113" Type="http://schemas.openxmlformats.org/officeDocument/2006/relationships/hyperlink" Target="https://www.sec.gov/Archives/edgar/data/1423221/000110465924049723/tm2412350d1_ex2-3.htm" TargetMode="External"/><Relationship Id="rId114" Type="http://schemas.openxmlformats.org/officeDocument/2006/relationships/hyperlink" Target="https://www.sec.gov/Archives/edgar/data/1423221/000119312516495257/d156158dex31.htm" TargetMode="External"/><Relationship Id="rId115" Type="http://schemas.openxmlformats.org/officeDocument/2006/relationships/hyperlink" Target="https://www.sec.gov/Archives/edgar/data/1423221/000142322120000005/nx01312020ex32.htm" TargetMode="External"/><Relationship Id="rId116" Type="http://schemas.openxmlformats.org/officeDocument/2006/relationships/hyperlink" Target="https://www.sec.gov/Archives/edgar/data/1423221/000095012908000988/h52992a1exv4w1.htm" TargetMode="External"/><Relationship Id="rId117" Type="http://schemas.openxmlformats.org/officeDocument/2006/relationships/hyperlink" Target="https://www.sec.gov/Archives/edgar/data/1423221/000110465922077705/tm2220473d1_ex10-1.htm" TargetMode="External"/><Relationship Id="rId119" Type="http://schemas.openxmlformats.org/officeDocument/2006/relationships/hyperlink" Target="https://www.sec.gov/Archives/edgar/data/1423221/000110465924071335/tm2417183d1_ex10-1.htm" TargetMode="External"/><Relationship Id="rId120" Type="http://schemas.openxmlformats.org/officeDocument/2006/relationships/hyperlink" Target="https://www.sec.gov/Archives/edgar/data/1423221/000119312514077357/d687962d8k.htm" TargetMode="External"/><Relationship Id="rId121" Type="http://schemas.openxmlformats.org/officeDocument/2006/relationships/hyperlink" Target="https://www.sec.gov/Archives/edgar/data/1423221/000142322114000003/a102qbpdeferredcompplan.htm" TargetMode="External"/><Relationship Id="rId122" Type="http://schemas.openxmlformats.org/officeDocument/2006/relationships/hyperlink" Target="https://www.sec.gov/Archives/edgar/data/1423221/000095013408004851/h52992a4exv10w8.htm" TargetMode="External"/><Relationship Id="rId123" Type="http://schemas.openxmlformats.org/officeDocument/2006/relationships/hyperlink" Target="https://www.sec.gov/Archives/edgar/data/1423221/000095013408004851/h52992a4exv10w9.htm" TargetMode="External"/><Relationship Id="rId124" Type="http://schemas.openxmlformats.org/officeDocument/2006/relationships/hyperlink" Target="https://www.sec.gov/Archives/edgar/data/1423221/000110465920027879/tm2011414d1_ex10-1.htm" TargetMode="External"/><Relationship Id="rId125" Type="http://schemas.openxmlformats.org/officeDocument/2006/relationships/hyperlink" Target="https://www.sec.gov/Archives/edgar/data/1423221/000136231008004916/c75000exv10w1.htm" TargetMode="External"/><Relationship Id="rId126" Type="http://schemas.openxmlformats.org/officeDocument/2006/relationships/hyperlink" Target="https://www.sec.gov/Archives/edgar/data/1423221/000136231008004916/c75000exv10w2.htm" TargetMode="External"/><Relationship Id="rId127" Type="http://schemas.openxmlformats.org/officeDocument/2006/relationships/hyperlink" Target="https://www.sec.gov/Archives/edgar/data/1423221/000119312514167680/d716408dex101.htm" TargetMode="External"/><Relationship Id="rId128" Type="http://schemas.openxmlformats.org/officeDocument/2006/relationships/hyperlink" Target="https://www.sec.gov/Archives/edgar/data/1423221/000119312514167680/d716408dex102.htm" TargetMode="External"/><Relationship Id="rId129" Type="http://schemas.openxmlformats.org/officeDocument/2006/relationships/hyperlink" Target="https://www.sec.gov/Archives/edgar/data/1423221/000119312514167680/d716408dex103.htm" TargetMode="External"/><Relationship Id="rId130" Type="http://schemas.openxmlformats.org/officeDocument/2006/relationships/hyperlink" Target="https://www.sec.gov/Archives/edgar/data/1423221/000119312514167680/d716408dex104.htm" TargetMode="External"/><Relationship Id="rId131" Type="http://schemas.openxmlformats.org/officeDocument/2006/relationships/hyperlink" Target="https://www.sec.gov/Archives/edgar/data/1423221/000119312514167680/d716408dex106.htm" TargetMode="External"/><Relationship Id="rId132" Type="http://schemas.openxmlformats.org/officeDocument/2006/relationships/hyperlink" Target="https://www.sec.gov/Archives/edgar/data/1423221/000119312514167680/d716408dex107.htm" TargetMode="External"/><Relationship Id="rId134" Type="http://schemas.openxmlformats.org/officeDocument/2006/relationships/hyperlink" Target="https://www.sec.gov/Archives/edgar/data/1423221/000119312514167680/d716408dex1010.htm" TargetMode="External"/><Relationship Id="rId135" Type="http://schemas.openxmlformats.org/officeDocument/2006/relationships/hyperlink" Target="https://www.sec.gov/Archives/edgar/data/1423221/000119312514167680/d716408dex1011.htm" TargetMode="External"/><Relationship Id="rId136" Type="http://schemas.openxmlformats.org/officeDocument/2006/relationships/hyperlink" Target="https://www.sec.gov/Archives/edgar/data/1423221/000119312514167680/d716408dex1012.htm" TargetMode="External"/><Relationship Id="rId137" Type="http://schemas.openxmlformats.org/officeDocument/2006/relationships/hyperlink" Target="https://www.sec.gov/Archives/edgar/data/1423221/000119312515396048/d40657dex102.htm" TargetMode="External"/><Relationship Id="rId138" Type="http://schemas.openxmlformats.org/officeDocument/2006/relationships/hyperlink" Target="https://www.sec.gov/Archives/edgar/data/1423221/000119312515396048/d40657dex103.htm" TargetMode="External"/><Relationship Id="rId139" Type="http://schemas.openxmlformats.org/officeDocument/2006/relationships/hyperlink" Target="https://www.sec.gov/Archives/edgar/data/1423221/000110465919059039/tm1921707d1_ex10-1.htm" TargetMode="External"/><Relationship Id="rId140" Type="http://schemas.openxmlformats.org/officeDocument/2006/relationships/hyperlink" Target="https://www.sec.gov/Archives/edgar/data/1423221/000142322116000026/nxexhibit1044.htm" TargetMode="External"/><Relationship Id="rId141" Type="http://schemas.openxmlformats.org/officeDocument/2006/relationships/hyperlink" Target="https://www.sec.gov/Archives/edgar/data/1423221/000119312516693844/d233962dex101.htm" TargetMode="External"/><Relationship Id="rId142" Type="http://schemas.openxmlformats.org/officeDocument/2006/relationships/hyperlink" Target="https://www.sec.gov/Archives/edgar/data/1423221/000119312517024657/d333747ddef14a.htm" TargetMode="External"/><Relationship Id="rId143" Type="http://schemas.openxmlformats.org/officeDocument/2006/relationships/hyperlink" Target="https://www.sec.gov/Archives/edgar/data/1423221/000119312517238506/d417234dex101.htm" TargetMode="External"/><Relationship Id="rId144" Type="http://schemas.openxmlformats.org/officeDocument/2006/relationships/hyperlink" Target="https://www.sec.gov/Archives/edgar/data/1423221/000142322117000018/nx-exhibit1050201710xk.htm" TargetMode="External"/><Relationship Id="rId145" Type="http://schemas.openxmlformats.org/officeDocument/2006/relationships/hyperlink" Target="https://www.sec.gov/Archives/edgar/data/1423221/000142322117000018/nx-exhibit1051201710xk.htm" TargetMode="External"/><Relationship Id="rId146" Type="http://schemas.openxmlformats.org/officeDocument/2006/relationships/hyperlink" Target="https://www.sec.gov/Archives/edgar/data/1423221/000110465922113504/tm2228962d2_ex10-1.htm" TargetMode="External"/><Relationship Id="rId147" Type="http://schemas.openxmlformats.org/officeDocument/2006/relationships/hyperlink" Target="https://www.sec.gov/Archives/edgar/data/1423221/000110465919059039/tm1921707d1_ex10-4.htm" TargetMode="External"/><Relationship Id="rId149" Type="http://schemas.openxmlformats.org/officeDocument/2006/relationships/hyperlink" Target="https://www.sec.gov/Archives/edgar/data/1423221/000110465920027879/tm2011414d1_ex10-2.htm" TargetMode="External"/><Relationship Id="rId150" Type="http://schemas.openxmlformats.org/officeDocument/2006/relationships/hyperlink" Target="https://www.sec.gov/Archives/edgar/data/1423221/000142322120000005/nx01312020ex101.htm" TargetMode="External"/><Relationship Id="rId151" Type="http://schemas.openxmlformats.org/officeDocument/2006/relationships/hyperlink" Target="https://www.sec.gov/Archives/edgar/data/1423221/000142322120000010/nx04302020ex101.htm" TargetMode="External"/><Relationship Id="rId152" Type="http://schemas.openxmlformats.org/officeDocument/2006/relationships/hyperlink" Target="https://www.sec.gov/Archives/edgar/data/1423221/000142322120000010/nx04302020ex102.htm" TargetMode="External"/><Relationship Id="rId153" Type="http://schemas.openxmlformats.org/officeDocument/2006/relationships/hyperlink" Target="https://www.sec.gov/Archives/edgar/data/1423221/000142322120000010/nx04302020ex103.htm" TargetMode="External"/><Relationship Id="rId154" Type="http://schemas.openxmlformats.org/officeDocument/2006/relationships/hyperlink" Target="https://www.sec.gov/Archives/edgar/data/1423221/000142322120000010/nx04302020ex104.htm" TargetMode="External"/><Relationship Id="rId155" Type="http://schemas.openxmlformats.org/officeDocument/2006/relationships/hyperlink" Target="https://www.sec.gov/Archives/edgar/data/1423221/000142322120000010/nx04302020ex105.htm" TargetMode="External"/><Relationship Id="rId156" Type="http://schemas.openxmlformats.org/officeDocument/2006/relationships/hyperlink" Target="https://www.sec.gov/Archives/edgar/data/1423221/000142322120000021/nx-exhibit1039.htm" TargetMode="External"/><Relationship Id="rId157" Type="http://schemas.openxmlformats.org/officeDocument/2006/relationships/hyperlink" Target="https://www.sec.gov/Archives/edgar/data/1423221/000110465922111577/tm2228962d1_ex10-1.htm" TargetMode="External"/><Relationship Id="rId158" Type="http://schemas.openxmlformats.org/officeDocument/2006/relationships/hyperlink" Target="https://www.sec.gov/Archives/edgar/data/1423221/000110465922125856/tm2232362d1_ex10-1.htm" TargetMode="External"/><Relationship Id="rId159" Type="http://schemas.openxmlformats.org/officeDocument/2006/relationships/hyperlink" Target="https://www.sec.gov/Archives/edgar/data/1423221/000142322123000007/nx04302023ex101.htm" TargetMode="External"/><Relationship Id="rId160" Type="http://schemas.openxmlformats.org/officeDocument/2006/relationships/hyperlink" Target="https://www.sec.gov/Archives/edgar/data/1423221/000142322123000007/nx04302023ex102.htm" TargetMode="External"/><Relationship Id="rId162" Type="http://schemas.openxmlformats.org/officeDocument/2006/relationships/hyperlink" Target="https://www.sec.gov/Archives/edgar/data/1423221/000110465925100856/tm2529083d1_ex10-1.htm" TargetMode="External"/><Relationship Id="rId163" Type="http://schemas.openxmlformats.org/officeDocument/2006/relationships/hyperlink" Target="https://www.sec.gov/Archives/edgar/data/1423221/000142322125000003/nx1312025ex19.htm" TargetMode="External"/><Relationship Id="rId164" Type="http://schemas.openxmlformats.org/officeDocument/2006/relationships/hyperlink" Target="https://www.sec.gov/Archives/edgar/data/1423221/000142322123000016/nx-exhibit9712023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2025-12-12T16:14:45Z</dcterms:created>
  <dcterms:modified xsi:type="dcterms:W3CDTF">2025-12-12T16:14:45Z</dcterms:modified>
</cp:coreProperties>
</file>