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414655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125"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2022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1"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130" w:lineRule="exact"/>
        <w:rPr>
          <w:sz w:val="24"/>
          <w:szCs w:val="24"/>
          <w:color w:val="auto"/>
        </w:rPr>
      </w:pPr>
    </w:p>
    <w:tbl>
      <w:tblPr>
        <w:tblLayout w:type="fixed"/>
        <w:tblInd w:w="1860" w:type="dxa"/>
        <w:tblCellMar>
          <w:top w:w="0" w:type="dxa"/>
          <w:left w:w="0" w:type="dxa"/>
          <w:bottom w:w="0" w:type="dxa"/>
          <w:right w:w="0" w:type="dxa"/>
        </w:tblCellMar>
      </w:tblPr>
      <w:tr>
        <w:trPr>
          <w:trHeight w:val="207"/>
        </w:trPr>
        <w:tc>
          <w:tcPr>
            <w:tcW w:w="3940" w:type="dxa"/>
            <w:vAlign w:val="bottom"/>
          </w:tcPr>
          <w:p>
            <w:pPr>
              <w:jc w:val="center"/>
              <w:ind w:right="2005"/>
              <w:spacing w:after="0"/>
              <w:rPr>
                <w:sz w:val="20"/>
                <w:szCs w:val="20"/>
                <w:color w:val="auto"/>
              </w:rPr>
            </w:pPr>
            <w:r>
              <w:rPr>
                <w:rFonts w:ascii="Arial" w:cs="Arial" w:eastAsia="Arial" w:hAnsi="Arial"/>
                <w:sz w:val="16"/>
                <w:szCs w:val="16"/>
                <w:b w:val="1"/>
                <w:bCs w:val="1"/>
                <w:color w:val="auto"/>
                <w:w w:val="93"/>
              </w:rPr>
              <w:t>Delaware</w:t>
            </w:r>
          </w:p>
        </w:tc>
        <w:tc>
          <w:tcPr>
            <w:tcW w:w="3200" w:type="dxa"/>
            <w:vAlign w:val="bottom"/>
          </w:tcPr>
          <w:p>
            <w:pPr>
              <w:jc w:val="center"/>
              <w:ind w:left="2025"/>
              <w:spacing w:after="0"/>
              <w:rPr>
                <w:sz w:val="20"/>
                <w:szCs w:val="20"/>
                <w:color w:val="auto"/>
              </w:rPr>
            </w:pPr>
            <w:r>
              <w:rPr>
                <w:rFonts w:ascii="Arial" w:cs="Arial" w:eastAsia="Arial" w:hAnsi="Arial"/>
                <w:sz w:val="16"/>
                <w:szCs w:val="16"/>
                <w:b w:val="1"/>
                <w:bCs w:val="1"/>
                <w:color w:val="auto"/>
                <w:w w:val="91"/>
              </w:rPr>
              <w:t>26-1561397</w:t>
            </w:r>
          </w:p>
        </w:tc>
      </w:tr>
      <w:tr>
        <w:trPr>
          <w:trHeight w:val="144"/>
        </w:trPr>
        <w:tc>
          <w:tcPr>
            <w:tcW w:w="3940" w:type="dxa"/>
            <w:vAlign w:val="bottom"/>
          </w:tcPr>
          <w:p>
            <w:pPr>
              <w:jc w:val="center"/>
              <w:ind w:right="2005"/>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3200" w:type="dxa"/>
            <w:vAlign w:val="bottom"/>
          </w:tcPr>
          <w:p>
            <w:pPr>
              <w:jc w:val="center"/>
              <w:ind w:left="2005"/>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2005"/>
              <w:spacing w:after="0"/>
              <w:rPr>
                <w:sz w:val="20"/>
                <w:szCs w:val="20"/>
                <w:color w:val="auto"/>
              </w:rPr>
            </w:pPr>
            <w:r>
              <w:rPr>
                <w:rFonts w:ascii="Arial" w:cs="Arial" w:eastAsia="Arial" w:hAnsi="Arial"/>
                <w:sz w:val="14"/>
                <w:szCs w:val="14"/>
                <w:b w:val="1"/>
                <w:bCs w:val="1"/>
                <w:color w:val="auto"/>
                <w:w w:val="93"/>
              </w:rPr>
              <w:t>incorporation or organization)</w:t>
            </w:r>
          </w:p>
        </w:tc>
        <w:tc>
          <w:tcPr>
            <w:tcW w:w="3200" w:type="dxa"/>
            <w:vAlign w:val="bottom"/>
          </w:tcPr>
          <w:p>
            <w:pPr>
              <w:jc w:val="center"/>
              <w:ind w:left="200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8"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5"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50"/>
        </w:trPr>
        <w:tc>
          <w:tcPr>
            <w:tcW w:w="388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Common Stock, par value $0.01 per share</w:t>
            </w:r>
          </w:p>
        </w:tc>
        <w:tc>
          <w:tcPr>
            <w:tcW w:w="860" w:type="dxa"/>
            <w:vAlign w:val="bottom"/>
          </w:tcPr>
          <w:p>
            <w:pPr>
              <w:spacing w:after="0"/>
              <w:rPr>
                <w:sz w:val="21"/>
                <w:szCs w:val="21"/>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8"/>
                <w:szCs w:val="18"/>
                <w:color w:val="auto"/>
              </w:rPr>
              <w:t>NX</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87" w:right="339" w:bottom="1440" w:gutter="0" w:footer="0" w:header="0"/>
        </w:sectPr>
      </w:pPr>
    </w:p>
    <w:p>
      <w:pPr>
        <w:spacing w:after="0" w:line="70"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65"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6"/>
          <w:szCs w:val="16"/>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49" w:lineRule="exact"/>
        <w:rPr>
          <w:sz w:val="24"/>
          <w:szCs w:val="24"/>
          <w:color w:val="auto"/>
        </w:rPr>
      </w:pPr>
    </w:p>
    <w:p>
      <w:pPr>
        <w:ind w:right="1260"/>
        <w:spacing w:after="0" w:line="25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February 28, 2022 was 33,387,400.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40" w:space="140"/>
            <w:col w:w="360"/>
          </w:cols>
          <w:pgMar w:left="320" w:top="78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880" w:type="dxa"/>
            <w:vAlign w:val="bottom"/>
            <w:gridSpan w:val="9"/>
          </w:tcPr>
          <w:p>
            <w:pPr>
              <w:jc w:val="center"/>
              <w:ind w:right="960"/>
              <w:spacing w:after="0"/>
              <w:rPr>
                <w:sz w:val="20"/>
                <w:szCs w:val="20"/>
                <w:color w:val="auto"/>
              </w:rPr>
            </w:pPr>
            <w:r>
              <w:rPr>
                <w:rFonts w:ascii="Arial" w:cs="Arial" w:eastAsia="Arial" w:hAnsi="Arial"/>
                <w:sz w:val="18"/>
                <w:szCs w:val="18"/>
                <w:b w:val="1"/>
                <w:bCs w:val="1"/>
                <w:color w:val="auto"/>
              </w:rPr>
              <w:t>QUANEX BUILDING PRODUCTS CORPORATION</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20" w:type="dxa"/>
            <w:vAlign w:val="bottom"/>
            <w:gridSpan w:val="7"/>
          </w:tcPr>
          <w:p>
            <w:pPr>
              <w:jc w:val="center"/>
              <w:ind w:right="5000"/>
              <w:spacing w:after="0"/>
              <w:rPr>
                <w:sz w:val="20"/>
                <w:szCs w:val="20"/>
                <w:color w:val="auto"/>
              </w:rPr>
            </w:pPr>
            <w:r>
              <w:rPr>
                <w:rFonts w:ascii="Arial" w:cs="Arial" w:eastAsia="Arial" w:hAnsi="Arial"/>
                <w:sz w:val="18"/>
                <w:szCs w:val="18"/>
                <w:b w:val="1"/>
                <w:bCs w:val="1"/>
                <w:color w:val="auto"/>
              </w:rPr>
              <w:t>INDEX</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160" w:type="dxa"/>
            <w:vAlign w:val="bottom"/>
          </w:tcPr>
          <w:p>
            <w:pPr>
              <w:ind w:left="20"/>
              <w:spacing w:after="0"/>
              <w:rPr>
                <w:sz w:val="20"/>
                <w:szCs w:val="20"/>
                <w:color w:val="auto"/>
              </w:rPr>
            </w:pPr>
            <w:r>
              <w:rPr>
                <w:rFonts w:ascii="Arial" w:cs="Arial" w:eastAsia="Arial" w:hAnsi="Arial"/>
                <w:sz w:val="18"/>
                <w:szCs w:val="18"/>
                <w:color w:val="auto"/>
              </w:rPr>
              <w:t>PART I.</w:t>
            </w:r>
          </w:p>
        </w:tc>
        <w:tc>
          <w:tcPr>
            <w:tcW w:w="9880" w:type="dxa"/>
            <w:vAlign w:val="bottom"/>
            <w:gridSpan w:val="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80" w:type="dxa"/>
            <w:vAlign w:val="bottom"/>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40" w:type="dxa"/>
            <w:vAlign w:val="bottom"/>
            <w:gridSpan w:val="10"/>
            <w:vMerge w:val="restart"/>
          </w:tcPr>
          <w:p>
            <w:pPr>
              <w:ind w:left="300"/>
              <w:spacing w:after="0"/>
              <w:rPr>
                <w:sz w:val="20"/>
                <w:szCs w:val="20"/>
                <w:color w:val="auto"/>
              </w:rPr>
            </w:pPr>
            <w:r>
              <w:rPr>
                <w:rFonts w:ascii="Arial" w:cs="Arial" w:eastAsia="Arial" w:hAnsi="Arial"/>
                <w:sz w:val="18"/>
                <w:szCs w:val="18"/>
                <w:b w:val="1"/>
                <w:bCs w:val="1"/>
                <w:color w:val="auto"/>
              </w:rPr>
              <w:t>Item 1:   Financial Statements (Unaudited)</w:t>
            </w: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040" w:type="dxa"/>
            <w:vAlign w:val="bottom"/>
            <w:gridSpan w:val="10"/>
            <w:vMerge w:val="continue"/>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5960" w:type="dxa"/>
            <w:vAlign w:val="bottom"/>
            <w:gridSpan w:val="4"/>
          </w:tcPr>
          <w:p>
            <w:pPr>
              <w:spacing w:after="0"/>
              <w:rPr>
                <w:rFonts w:ascii="Arial" w:cs="Arial" w:eastAsia="Arial" w:hAnsi="Arial"/>
                <w:sz w:val="18"/>
                <w:szCs w:val="18"/>
                <w:color w:val="0E32E1"/>
                <w:w w:val="88"/>
              </w:rPr>
            </w:pPr>
            <w:hyperlink w:anchor="page3">
              <w:r>
                <w:rPr>
                  <w:rFonts w:ascii="Arial" w:cs="Arial" w:eastAsia="Arial" w:hAnsi="Arial"/>
                  <w:sz w:val="18"/>
                  <w:szCs w:val="18"/>
                  <w:color w:val="0E32E1"/>
                  <w:w w:val="88"/>
                </w:rPr>
                <w:t xml:space="preserve">Condensed </w:t>
              </w:r>
            </w:hyperlink>
            <w:r>
              <w:rPr>
                <w:rFonts w:ascii="Arial" w:cs="Arial" w:eastAsia="Arial" w:hAnsi="Arial"/>
                <w:sz w:val="18"/>
                <w:szCs w:val="18"/>
                <w:color w:val="0E32E1"/>
                <w:w w:val="88"/>
              </w:rPr>
              <w:t xml:space="preserve">Consolidated </w:t>
            </w:r>
            <w:hyperlink w:anchor="page3">
              <w:r>
                <w:rPr>
                  <w:rFonts w:ascii="Arial" w:cs="Arial" w:eastAsia="Arial" w:hAnsi="Arial"/>
                  <w:sz w:val="18"/>
                  <w:szCs w:val="18"/>
                  <w:color w:val="0E32E1"/>
                  <w:w w:val="88"/>
                </w:rPr>
                <w:t xml:space="preserve">Balance Sheets – </w:t>
              </w:r>
            </w:hyperlink>
            <w:r>
              <w:rPr>
                <w:rFonts w:ascii="Arial" w:cs="Arial" w:eastAsia="Arial" w:hAnsi="Arial"/>
                <w:sz w:val="18"/>
                <w:szCs w:val="18"/>
                <w:color w:val="0E32E1"/>
                <w:w w:val="88"/>
              </w:rPr>
              <w:t>January 31, 2022 and October 31, 2021</w:t>
            </w:r>
          </w:p>
        </w:tc>
        <w:tc>
          <w:tcPr>
            <w:tcW w:w="3920" w:type="dxa"/>
            <w:vAlign w:val="bottom"/>
            <w:gridSpan w:val="5"/>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E32E1"/>
              </w:rPr>
            </w:pPr>
            <w:hyperlink w:anchor="page3">
              <w:r>
                <w:rPr>
                  <w:rFonts w:ascii="Arial" w:cs="Arial" w:eastAsia="Arial" w:hAnsi="Arial"/>
                  <w:sz w:val="18"/>
                  <w:szCs w:val="18"/>
                  <w:color w:val="0E32E1"/>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720" w:type="dxa"/>
            <w:vAlign w:val="bottom"/>
            <w:shd w:val="clear" w:color="auto" w:fill="0E32E1"/>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right w:val="single" w:sz="8" w:color="0E32E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880" w:type="dxa"/>
            <w:vAlign w:val="bottom"/>
            <w:gridSpan w:val="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Income – Three </w:t>
              </w:r>
            </w:hyperlink>
            <w:r>
              <w:rPr>
                <w:rFonts w:ascii="Arial" w:cs="Arial" w:eastAsia="Arial" w:hAnsi="Arial"/>
                <w:sz w:val="18"/>
                <w:szCs w:val="18"/>
                <w:color w:val="0000FF"/>
              </w:rPr>
              <w:t>Months Ended January 31, 2022 and 2021</w:t>
            </w:r>
          </w:p>
        </w:tc>
        <w:tc>
          <w:tcPr>
            <w:tcW w:w="18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240" w:type="dxa"/>
            <w:vAlign w:val="bottom"/>
            <w:gridSpan w:val="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Comprehensive Income - Three Months Ended January 31, </w:t>
              </w:r>
            </w:hyperlink>
            <w:r>
              <w:rPr>
                <w:rFonts w:ascii="Arial" w:cs="Arial" w:eastAsia="Arial" w:hAnsi="Arial"/>
                <w:sz w:val="18"/>
                <w:szCs w:val="18"/>
                <w:color w:val="0000FF"/>
                <w:w w:val="89"/>
              </w:rPr>
              <w:t xml:space="preserve">2022 </w:t>
            </w:r>
            <w:hyperlink w:anchor="page4">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2021</w:t>
            </w:r>
          </w:p>
        </w:tc>
        <w:tc>
          <w:tcPr>
            <w:tcW w:w="1640" w:type="dxa"/>
            <w:vAlign w:val="bottom"/>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240" w:type="dxa"/>
            <w:vAlign w:val="bottom"/>
            <w:gridSpan w:val="8"/>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 xml:space="preserve">Condensed Consolidated Statements of Cash Flows – </w:t>
              </w:r>
            </w:hyperlink>
            <w:r>
              <w:rPr>
                <w:rFonts w:ascii="Arial" w:cs="Arial" w:eastAsia="Arial" w:hAnsi="Arial"/>
                <w:sz w:val="18"/>
                <w:szCs w:val="18"/>
                <w:color w:val="0000FF"/>
                <w:w w:val="99"/>
              </w:rPr>
              <w:t>Three Months Ended January 31, 2022 and 2021</w:t>
            </w:r>
          </w:p>
        </w:tc>
        <w:tc>
          <w:tcPr>
            <w:tcW w:w="1640" w:type="dxa"/>
            <w:vAlign w:val="bottom"/>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020" w:type="dxa"/>
            <w:vAlign w:val="bottom"/>
            <w:gridSpan w:val="7"/>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 xml:space="preserve">Condensed Consolidated Statement of Stockholders’ Equity – </w:t>
              </w:r>
            </w:hyperlink>
            <w:r>
              <w:rPr>
                <w:rFonts w:ascii="Arial" w:cs="Arial" w:eastAsia="Arial" w:hAnsi="Arial"/>
                <w:sz w:val="18"/>
                <w:szCs w:val="18"/>
                <w:color w:val="0000FF"/>
                <w:w w:val="89"/>
              </w:rPr>
              <w:t>Three Months Ended January 31, 2022 and 2021</w:t>
            </w:r>
          </w:p>
        </w:tc>
        <w:tc>
          <w:tcPr>
            <w:tcW w:w="1860" w:type="dxa"/>
            <w:vAlign w:val="bottom"/>
            <w:gridSpan w:val="2"/>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8020" w:type="dxa"/>
            <w:vAlign w:val="bottom"/>
            <w:gridSpan w:val="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Unaudited Condensed Consolidated Financial Statements</w:t>
              </w:r>
            </w:hyperlink>
          </w:p>
        </w:tc>
        <w:tc>
          <w:tcPr>
            <w:tcW w:w="1860" w:type="dxa"/>
            <w:vAlign w:val="bottom"/>
            <w:gridSpan w:val="2"/>
          </w:tcPr>
          <w:p>
            <w:pPr>
              <w:spacing w:after="0"/>
              <w:rPr>
                <w:sz w:val="24"/>
                <w:szCs w:val="24"/>
                <w:color w:val="auto"/>
              </w:rPr>
            </w:pPr>
          </w:p>
        </w:tc>
        <w:tc>
          <w:tcPr>
            <w:tcW w:w="180" w:type="dxa"/>
            <w:vAlign w:val="bottom"/>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80" w:type="dxa"/>
            <w:vAlign w:val="bottom"/>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040" w:type="dxa"/>
            <w:vAlign w:val="bottom"/>
            <w:gridSpan w:val="10"/>
          </w:tcPr>
          <w:p>
            <w:pPr>
              <w:ind w:left="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2:   </w:t>
            </w:r>
            <w:hyperlink w:anchor="page24">
              <w:r>
                <w:rPr>
                  <w:rFonts w:ascii="Arial" w:cs="Arial" w:eastAsia="Arial" w:hAnsi="Arial"/>
                  <w:sz w:val="18"/>
                  <w:szCs w:val="18"/>
                  <w:b w:val="1"/>
                  <w:bCs w:val="1"/>
                  <w:color w:val="0000FF"/>
                </w:rPr>
                <w:t>Management’s Discussion and Analysis of Financial Condition and Results of Operations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040" w:type="dxa"/>
            <w:vAlign w:val="bottom"/>
            <w:gridSpan w:val="10"/>
          </w:tcPr>
          <w:p>
            <w:pPr>
              <w:ind w:left="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3:   </w:t>
            </w:r>
            <w:hyperlink w:anchor="page31">
              <w:r>
                <w:rPr>
                  <w:rFonts w:ascii="Arial" w:cs="Arial" w:eastAsia="Arial" w:hAnsi="Arial"/>
                  <w:sz w:val="18"/>
                  <w:szCs w:val="18"/>
                  <w:b w:val="1"/>
                  <w:bCs w:val="1"/>
                  <w:color w:val="0000FF"/>
                </w:rPr>
                <w:t>Quantitative and Qualitative Disclosures About Market Risk</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040" w:type="dxa"/>
            <w:vAlign w:val="bottom"/>
            <w:gridSpan w:val="10"/>
          </w:tcPr>
          <w:p>
            <w:pPr>
              <w:ind w:left="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4:   </w:t>
            </w:r>
            <w:hyperlink w:anchor="page32">
              <w:r>
                <w:rPr>
                  <w:rFonts w:ascii="Arial" w:cs="Arial" w:eastAsia="Arial" w:hAnsi="Arial"/>
                  <w:sz w:val="18"/>
                  <w:szCs w:val="18"/>
                  <w:b w:val="1"/>
                  <w:bCs w:val="1"/>
                  <w:color w:val="0000FF"/>
                </w:rPr>
                <w:t>Controls and Procedures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60" w:type="dxa"/>
            <w:vAlign w:val="bottom"/>
          </w:tcPr>
          <w:p>
            <w:pPr>
              <w:ind w:left="20"/>
              <w:spacing w:after="0"/>
              <w:rPr>
                <w:sz w:val="20"/>
                <w:szCs w:val="20"/>
                <w:color w:val="auto"/>
              </w:rPr>
            </w:pPr>
            <w:r>
              <w:rPr>
                <w:rFonts w:ascii="Arial" w:cs="Arial" w:eastAsia="Arial" w:hAnsi="Arial"/>
                <w:sz w:val="18"/>
                <w:szCs w:val="18"/>
                <w:color w:val="auto"/>
              </w:rPr>
              <w:t>PART II.</w:t>
            </w:r>
          </w:p>
        </w:tc>
        <w:tc>
          <w:tcPr>
            <w:tcW w:w="9880" w:type="dxa"/>
            <w:vAlign w:val="bottom"/>
            <w:gridSpan w:val="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OTHER INFORMATION</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6:</w:t>
            </w:r>
          </w:p>
        </w:tc>
        <w:tc>
          <w:tcPr>
            <w:tcW w:w="9880" w:type="dxa"/>
            <w:vAlign w:val="bottom"/>
            <w:gridSpan w:val="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Exhibits</w:t>
              </w:r>
            </w:hyperlink>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8"/>
        </w:trPr>
        <w:tc>
          <w:tcPr>
            <w:tcW w:w="11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300" w:type="dxa"/>
            <w:vAlign w:val="bottom"/>
          </w:tcPr>
          <w:p>
            <w:pPr>
              <w:spacing w:after="0"/>
              <w:rPr>
                <w:sz w:val="14"/>
                <w:szCs w:val="14"/>
                <w:color w:val="auto"/>
              </w:rPr>
            </w:pPr>
          </w:p>
        </w:tc>
        <w:tc>
          <w:tcPr>
            <w:tcW w:w="1140" w:type="dxa"/>
            <w:vAlign w:val="bottom"/>
          </w:tcPr>
          <w:p>
            <w:pPr>
              <w:jc w:val="right"/>
              <w:ind w:right="271"/>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88"/>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30"/>
        </w:trPr>
        <w:tc>
          <w:tcPr>
            <w:tcW w:w="8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80" w:type="dxa"/>
            <w:vAlign w:val="bottom"/>
            <w:gridSpan w:val="4"/>
          </w:tcPr>
          <w:p>
            <w:pPr>
              <w:jc w:val="right"/>
              <w:ind w:right="591"/>
              <w:spacing w:after="0" w:line="130" w:lineRule="exact"/>
              <w:rPr>
                <w:sz w:val="20"/>
                <w:szCs w:val="20"/>
                <w:color w:val="auto"/>
              </w:rPr>
            </w:pPr>
            <w:r>
              <w:rPr>
                <w:rFonts w:ascii="Arial" w:cs="Arial" w:eastAsia="Arial" w:hAnsi="Arial"/>
                <w:sz w:val="14"/>
                <w:szCs w:val="14"/>
                <w:b w:val="1"/>
                <w:bCs w:val="1"/>
                <w:color w:val="auto"/>
              </w:rPr>
              <w:t>(In thousands, except share</w:t>
            </w:r>
          </w:p>
        </w:tc>
        <w:tc>
          <w:tcPr>
            <w:tcW w:w="0" w:type="dxa"/>
            <w:vAlign w:val="bottom"/>
          </w:tcPr>
          <w:p>
            <w:pPr>
              <w:spacing w:after="0"/>
              <w:rPr>
                <w:sz w:val="1"/>
                <w:szCs w:val="1"/>
                <w:color w:val="auto"/>
              </w:rPr>
            </w:pPr>
          </w:p>
        </w:tc>
      </w:tr>
      <w:tr>
        <w:trPr>
          <w:trHeight w:val="188"/>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220" w:type="dxa"/>
            <w:vAlign w:val="bottom"/>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40,061</w:t>
            </w: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Accounts receivable, net of allowance for credit losses of $521 and $340</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99,355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108,309</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92,529</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260,079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249,047</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Property, plant and equipment, net of accumulated depreciation of $340,120 and $336,493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175,294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178,630</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52,708</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147,793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149,205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82,410</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718,272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717,323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16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75,457</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86,765</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56,156</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7,473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131,628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158,001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76,691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52,094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45,367</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Deferred pension and postretirement benefits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4,658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21,965</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15,377</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293,773</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297,541</w:t>
            </w: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2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Common stock, $0.01 par value, shares authorized 125,000,000; issued 37,212,391 and 37,273,510,</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 outstanding 33,388,735 and 33,274,785, respectively</w:t>
            </w: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250,204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254,162</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268,370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259,718</w:t>
            </w:r>
          </w:p>
        </w:tc>
        <w:tc>
          <w:tcPr>
            <w:tcW w:w="0" w:type="dxa"/>
            <w:vAlign w:val="bottom"/>
          </w:tcPr>
          <w:p>
            <w:pPr>
              <w:spacing w:after="0"/>
              <w:rPr>
                <w:sz w:val="1"/>
                <w:szCs w:val="1"/>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(24,929)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(21,770)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Treasury stock at cost, 3,823,656 and 3,998,725 shares, respectively</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(69,519)</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424,499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419,782</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718,272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717,323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tcPr>
          <w:p>
            <w:pPr>
              <w:jc w:val="center"/>
              <w:ind w:left="634"/>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Pr>
          <w:p>
            <w:pPr>
              <w:spacing w:after="0"/>
              <w:rPr>
                <w:sz w:val="16"/>
                <w:szCs w:val="16"/>
                <w:color w:val="auto"/>
              </w:rPr>
            </w:pPr>
          </w:p>
        </w:tc>
      </w:tr>
      <w:tr>
        <w:trPr>
          <w:trHeight w:val="195"/>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left="634"/>
              <w:spacing w:after="0"/>
              <w:rPr>
                <w:sz w:val="20"/>
                <w:szCs w:val="20"/>
                <w:color w:val="auto"/>
              </w:rPr>
            </w:pPr>
            <w:r>
              <w:rPr>
                <w:rFonts w:ascii="Arial" w:cs="Arial" w:eastAsia="Arial" w:hAnsi="Arial"/>
                <w:sz w:val="14"/>
                <w:szCs w:val="14"/>
                <w:b w:val="1"/>
                <w:bCs w:val="1"/>
                <w:color w:val="auto"/>
                <w:w w:val="93"/>
              </w:rPr>
              <w:t>January 31,</w:t>
            </w:r>
          </w:p>
        </w:tc>
        <w:tc>
          <w:tcPr>
            <w:tcW w:w="960" w:type="dxa"/>
            <w:vAlign w:val="bottom"/>
            <w:tcBorders>
              <w:bottom w:val="single" w:sz="8" w:color="auto"/>
            </w:tcBorders>
          </w:tcPr>
          <w:p>
            <w:pPr>
              <w:spacing w:after="0"/>
              <w:rPr>
                <w:sz w:val="16"/>
                <w:szCs w:val="16"/>
                <w:color w:val="auto"/>
              </w:rPr>
            </w:pPr>
          </w:p>
        </w:tc>
      </w:tr>
      <w:tr>
        <w:trPr>
          <w:trHeight w:val="187"/>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96"/>
              </w:rPr>
              <w:t>2021</w:t>
            </w:r>
          </w:p>
        </w:tc>
      </w:tr>
      <w:tr>
        <w:trPr>
          <w:trHeight w:val="183"/>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4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0"/>
              </w:rPr>
              <w:t>(In thousands, except per share amounts)</w:t>
            </w:r>
          </w:p>
        </w:tc>
      </w:tr>
      <w:tr>
        <w:trPr>
          <w:trHeight w:val="231"/>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267,040</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230,147</w:t>
            </w: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Cost and expenses: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(excluding depreciation and amortization)</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211,834</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176,397</w:t>
            </w: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30,823</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30,861</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11,015</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11,835</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13,657</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70"/>
        </w:trPr>
        <w:tc>
          <w:tcPr>
            <w:tcW w:w="7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70"/>
        </w:trPr>
        <w:tc>
          <w:tcPr>
            <w:tcW w:w="7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960" w:type="dxa"/>
            <w:vAlign w:val="bottom"/>
          </w:tcPr>
          <w:p>
            <w:pPr>
              <w:ind w:left="5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33,124</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32,872</w:t>
            </w:r>
          </w:p>
        </w:tc>
      </w:tr>
      <w:tr>
        <w:trPr>
          <w:trHeight w:val="230"/>
        </w:trPr>
        <w:tc>
          <w:tcPr>
            <w:tcW w:w="7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33,212</w:t>
            </w:r>
          </w:p>
        </w:tc>
      </w:tr>
      <w:tr>
        <w:trPr>
          <w:trHeight w:val="270"/>
        </w:trPr>
        <w:tc>
          <w:tcPr>
            <w:tcW w:w="7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per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left="340" w:right="230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INCOME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44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6"/>
                <w:szCs w:val="16"/>
                <w:color w:val="auto"/>
              </w:rPr>
            </w:pPr>
          </w:p>
        </w:tc>
      </w:tr>
      <w:tr>
        <w:trPr>
          <w:trHeight w:val="195"/>
        </w:trPr>
        <w:tc>
          <w:tcPr>
            <w:tcW w:w="8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w w:val="93"/>
              </w:rPr>
              <w:t>January 31,</w:t>
            </w:r>
          </w:p>
        </w:tc>
        <w:tc>
          <w:tcPr>
            <w:tcW w:w="560" w:type="dxa"/>
            <w:vAlign w:val="bottom"/>
            <w:tcBorders>
              <w:bottom w:val="single" w:sz="8" w:color="auto"/>
            </w:tcBorders>
          </w:tcPr>
          <w:p>
            <w:pPr>
              <w:spacing w:after="0"/>
              <w:rPr>
                <w:sz w:val="16"/>
                <w:szCs w:val="16"/>
                <w:color w:val="auto"/>
              </w:rPr>
            </w:pPr>
          </w:p>
        </w:tc>
      </w:tr>
      <w:tr>
        <w:trPr>
          <w:trHeight w:val="187"/>
        </w:trPr>
        <w:tc>
          <w:tcPr>
            <w:tcW w:w="82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183"/>
        </w:trPr>
        <w:tc>
          <w:tcPr>
            <w:tcW w:w="8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gridSpan w:val="3"/>
          </w:tcPr>
          <w:p>
            <w:pPr>
              <w:jc w:val="center"/>
              <w:ind w:right="216"/>
              <w:spacing w:after="0"/>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5"/>
                <w:szCs w:val="15"/>
                <w:color w:val="auto"/>
              </w:rPr>
            </w:pPr>
          </w:p>
        </w:tc>
      </w:tr>
      <w:tr>
        <w:trPr>
          <w:trHeight w:val="23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11,239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i w:val="1"/>
                <w:iCs w:val="1"/>
                <w:color w:val="auto"/>
              </w:rPr>
              <w:t>Other comprehensive (loss)income:</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(loss) gain</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(3,159)</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r>
      <w:tr>
        <w:trPr>
          <w:trHeight w:val="223"/>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(loss) income</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(3,159)</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16,452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6"/>
                <w:szCs w:val="16"/>
                <w:color w:val="auto"/>
              </w:rPr>
            </w:pPr>
          </w:p>
        </w:tc>
      </w:tr>
      <w:tr>
        <w:trPr>
          <w:trHeight w:val="195"/>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3"/>
              </w:rPr>
              <w:t>January 31,</w:t>
            </w:r>
          </w:p>
        </w:tc>
        <w:tc>
          <w:tcPr>
            <w:tcW w:w="860" w:type="dxa"/>
            <w:vAlign w:val="bottom"/>
            <w:tcBorders>
              <w:bottom w:val="single" w:sz="8" w:color="auto"/>
            </w:tcBorders>
          </w:tcPr>
          <w:p>
            <w:pPr>
              <w:spacing w:after="0"/>
              <w:rPr>
                <w:sz w:val="16"/>
                <w:szCs w:val="16"/>
                <w:color w:val="auto"/>
              </w:rPr>
            </w:pPr>
          </w:p>
        </w:tc>
      </w:tr>
      <w:tr>
        <w:trPr>
          <w:trHeight w:val="187"/>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2021</w:t>
            </w:r>
          </w:p>
        </w:tc>
      </w:tr>
      <w:tr>
        <w:trPr>
          <w:trHeight w:val="183"/>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93"/>
              </w:rPr>
              <w:t>(In thousands)</w:t>
            </w:r>
          </w:p>
        </w:tc>
        <w:tc>
          <w:tcPr>
            <w:tcW w:w="860" w:type="dxa"/>
            <w:vAlign w:val="bottom"/>
          </w:tcPr>
          <w:p>
            <w:pPr>
              <w:spacing w:after="0"/>
              <w:rPr>
                <w:sz w:val="15"/>
                <w:szCs w:val="15"/>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11,239</w:t>
            </w:r>
          </w:p>
        </w:tc>
        <w:tc>
          <w:tcPr>
            <w:tcW w:w="16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7,852</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cash used for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2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11,015</w:t>
            </w:r>
          </w:p>
        </w:tc>
      </w:tr>
      <w:tr>
        <w:trPr>
          <w:trHeight w:val="230"/>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29"/>
        </w:trPr>
        <w:tc>
          <w:tcPr>
            <w:tcW w:w="8220" w:type="dxa"/>
            <w:vAlign w:val="bottom"/>
          </w:tcPr>
          <w:p>
            <w:pPr>
              <w:ind w:left="480"/>
              <w:spacing w:after="0"/>
              <w:rPr>
                <w:sz w:val="20"/>
                <w:szCs w:val="20"/>
                <w:color w:val="auto"/>
              </w:rPr>
            </w:pPr>
            <w:r>
              <w:rPr>
                <w:rFonts w:ascii="Arial" w:cs="Arial" w:eastAsia="Arial" w:hAnsi="Arial"/>
                <w:sz w:val="18"/>
                <w:szCs w:val="18"/>
                <w:color w:val="auto"/>
              </w:rPr>
              <w:t>Deferred income tax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1,925</w:t>
            </w:r>
          </w:p>
        </w:tc>
      </w:tr>
      <w:tr>
        <w:trPr>
          <w:trHeight w:val="229"/>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r>
      <w:tr>
        <w:trPr>
          <w:trHeight w:val="229"/>
        </w:trPr>
        <w:tc>
          <w:tcPr>
            <w:tcW w:w="8220" w:type="dxa"/>
            <w:vAlign w:val="bottom"/>
          </w:tcPr>
          <w:p>
            <w:pPr>
              <w:ind w:left="480"/>
              <w:spacing w:after="0"/>
              <w:rPr>
                <w:sz w:val="20"/>
                <w:szCs w:val="20"/>
                <w:color w:val="auto"/>
              </w:rPr>
            </w:pPr>
            <w:r>
              <w:rPr>
                <w:rFonts w:ascii="Arial" w:cs="Arial" w:eastAsia="Arial" w:hAnsi="Arial"/>
                <w:sz w:val="18"/>
                <w:szCs w:val="18"/>
                <w:color w:val="auto"/>
              </w:rPr>
              <w:t>Increase in 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(25,318)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(14,061)</w:t>
            </w:r>
          </w:p>
        </w:tc>
      </w:tr>
      <w:tr>
        <w:trPr>
          <w:trHeight w:val="230"/>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in other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29"/>
        </w:trPr>
        <w:tc>
          <w:tcPr>
            <w:tcW w:w="8220" w:type="dxa"/>
            <w:vAlign w:val="bottom"/>
          </w:tcPr>
          <w:p>
            <w:pPr>
              <w:ind w:left="480"/>
              <w:spacing w:after="0"/>
              <w:rPr>
                <w:sz w:val="20"/>
                <w:szCs w:val="20"/>
                <w:color w:val="auto"/>
              </w:rPr>
            </w:pPr>
            <w:r>
              <w:rPr>
                <w:rFonts w:ascii="Arial" w:cs="Arial" w:eastAsia="Arial" w:hAnsi="Arial"/>
                <w:sz w:val="18"/>
                <w:szCs w:val="18"/>
                <w:color w:val="auto"/>
              </w:rPr>
              <w:t>Decrease in 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(8,391)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(14,577)</w:t>
            </w:r>
          </w:p>
        </w:tc>
      </w:tr>
      <w:tr>
        <w:trPr>
          <w:trHeight w:val="230"/>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r>
      <w:tr>
        <w:trPr>
          <w:trHeight w:val="229"/>
        </w:trPr>
        <w:tc>
          <w:tcPr>
            <w:tcW w:w="8220" w:type="dxa"/>
            <w:vAlign w:val="bottom"/>
          </w:tcPr>
          <w:p>
            <w:pPr>
              <w:ind w:left="480"/>
              <w:spacing w:after="0"/>
              <w:rPr>
                <w:sz w:val="20"/>
                <w:szCs w:val="20"/>
                <w:color w:val="auto"/>
              </w:rPr>
            </w:pPr>
            <w:r>
              <w:rPr>
                <w:rFonts w:ascii="Arial" w:cs="Arial" w:eastAsia="Arial" w:hAnsi="Arial"/>
                <w:sz w:val="18"/>
                <w:szCs w:val="18"/>
                <w:color w:val="auto"/>
              </w:rPr>
              <w:t>Increase (decrease) in income taxes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(2,790)</w:t>
            </w:r>
          </w:p>
        </w:tc>
      </w:tr>
      <w:tr>
        <w:trPr>
          <w:trHeight w:val="229"/>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deferred pension and postretirement benefits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8220" w:type="dxa"/>
            <w:vAlign w:val="bottom"/>
          </w:tcPr>
          <w:p>
            <w:pPr>
              <w:ind w:left="480"/>
              <w:spacing w:after="0"/>
              <w:rPr>
                <w:sz w:val="20"/>
                <w:szCs w:val="20"/>
                <w:color w:val="auto"/>
              </w:rPr>
            </w:pPr>
            <w:r>
              <w:rPr>
                <w:rFonts w:ascii="Arial" w:cs="Arial" w:eastAsia="Arial" w:hAnsi="Arial"/>
                <w:sz w:val="18"/>
                <w:szCs w:val="18"/>
                <w:color w:val="auto"/>
              </w:rPr>
              <w:t>Increase (decrease) in other long-term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8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Cash used for operating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(21,651)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(3,395)</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(5,246)</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disposition of capital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(7,360)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(5,182)</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Borrowings under credit facilities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28,000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credit facility borrowings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Repayments of other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dividends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Issuance of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10,030</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(1,927)</w:t>
            </w:r>
          </w:p>
        </w:tc>
      </w:tr>
      <w:tr>
        <w:trPr>
          <w:trHeight w:val="223"/>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20,857</w:t>
            </w:r>
          </w:p>
        </w:tc>
        <w:tc>
          <w:tcPr>
            <w:tcW w:w="16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40,061</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31,719</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tcPr>
          <w:p>
            <w:pPr>
              <w:spacing w:after="0"/>
              <w:rPr>
                <w:sz w:val="14"/>
                <w:szCs w:val="14"/>
                <w:color w:val="auto"/>
              </w:rPr>
            </w:pPr>
          </w:p>
        </w:tc>
        <w:tc>
          <w:tcPr>
            <w:tcW w:w="12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vMerge w:val="continue"/>
          </w:tcPr>
          <w:p>
            <w:pPr>
              <w:spacing w:after="0"/>
              <w:rPr>
                <w:sz w:val="11"/>
                <w:szCs w:val="11"/>
                <w:color w:val="auto"/>
              </w:rPr>
            </w:pPr>
          </w:p>
        </w:tc>
        <w:tc>
          <w:tcPr>
            <w:tcW w:w="10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Retained</w:t>
            </w: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Treasury</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vMerge w:val="restart"/>
          </w:tcPr>
          <w:p>
            <w:pPr>
              <w:spacing w:after="0"/>
              <w:rPr>
                <w:sz w:val="20"/>
                <w:szCs w:val="20"/>
                <w:color w:val="auto"/>
              </w:rPr>
            </w:pPr>
            <w:r>
              <w:rPr>
                <w:rFonts w:ascii="Arial" w:cs="Arial" w:eastAsia="Arial" w:hAnsi="Arial"/>
                <w:sz w:val="16"/>
                <w:szCs w:val="16"/>
                <w:b w:val="1"/>
                <w:bCs w:val="1"/>
                <w:color w:val="auto"/>
                <w:w w:val="92"/>
              </w:rPr>
              <w:t>Three Months Ended January 31, 2022</w:t>
            </w:r>
          </w:p>
        </w:tc>
        <w:tc>
          <w:tcPr>
            <w:tcW w:w="16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vMerge w:val="continue"/>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vMerge w:val="continue"/>
          </w:tcPr>
          <w:p>
            <w:pPr>
              <w:spacing w:after="0"/>
              <w:rPr>
                <w:sz w:val="11"/>
                <w:szCs w:val="11"/>
                <w:color w:val="auto"/>
              </w:rPr>
            </w:pPr>
          </w:p>
        </w:tc>
        <w:tc>
          <w:tcPr>
            <w:tcW w:w="120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3"/>
        </w:trPr>
        <w:tc>
          <w:tcPr>
            <w:tcW w:w="2700" w:type="dxa"/>
            <w:vAlign w:val="bottom"/>
            <w:tcBorders>
              <w:bottom w:val="single" w:sz="8" w:color="auto"/>
            </w:tcBorders>
            <w:vMerge w:val="continue"/>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0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Earnings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88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3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Balance at January 31, 2022</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250,204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268,370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(69,519)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424,499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Three Months Ended January 31, 2021</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9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00" w:type="dxa"/>
            <w:vAlign w:val="bottom"/>
            <w:gridSpan w:val="11"/>
          </w:tcPr>
          <w:p>
            <w:pPr>
              <w:ind w:left="240"/>
              <w:spacing w:after="0"/>
              <w:rPr>
                <w:sz w:val="20"/>
                <w:szCs w:val="20"/>
                <w:color w:val="auto"/>
              </w:rPr>
            </w:pPr>
            <w:r>
              <w:rPr>
                <w:rFonts w:ascii="Arial" w:cs="Arial" w:eastAsia="Arial" w:hAnsi="Arial"/>
                <w:sz w:val="14"/>
                <w:szCs w:val="14"/>
                <w:b w:val="1"/>
                <w:bCs w:val="1"/>
                <w:color w:val="auto"/>
                <w:w w:val="99"/>
              </w:rPr>
              <w:t>(In thousands, no per share amounts shown except in verbiage)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 purchased, at cost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stock awards granted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120"/>
              <w:spacing w:after="0"/>
              <w:rPr>
                <w:sz w:val="20"/>
                <w:szCs w:val="20"/>
                <w:color w:val="auto"/>
              </w:rPr>
            </w:pPr>
            <w:r>
              <w:rPr>
                <w:rFonts w:ascii="Arial" w:cs="Arial" w:eastAsia="Arial" w:hAnsi="Arial"/>
                <w:sz w:val="18"/>
                <w:szCs w:val="18"/>
                <w:color w:val="auto"/>
              </w:rPr>
              <w:t>Performance restricted stock units vested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Balance at January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252,277</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218,732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377,708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water retention barriers, and conservatory roof components. We have organized our business into three reportable business segments. For additional discussion of our reportable business segments, see Note 11,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2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2021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2021.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1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summarizes our product sales for the three months ended January 31, 2022 and 2021 into groupings by segment which we believe depicts how the nature, amount, timing and uncertainty of our revenues and cash flows are affected by economic factors. For further details regarding our results by segment, refer to Note 11, “Segment Information”.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93"/>
              </w:rPr>
              <w:t>Three Months Ended</w:t>
            </w:r>
          </w:p>
        </w:tc>
        <w:tc>
          <w:tcPr>
            <w:tcW w:w="860" w:type="dxa"/>
            <w:vAlign w:val="bottom"/>
          </w:tcPr>
          <w:p>
            <w:pPr>
              <w:spacing w:after="0"/>
              <w:rPr>
                <w:sz w:val="16"/>
                <w:szCs w:val="16"/>
                <w:color w:val="auto"/>
              </w:rPr>
            </w:pPr>
          </w:p>
        </w:tc>
      </w:tr>
      <w:tr>
        <w:trPr>
          <w:trHeight w:val="195"/>
        </w:trPr>
        <w:tc>
          <w:tcPr>
            <w:tcW w:w="8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5"/>
              </w:rPr>
              <w:t>January 31,</w:t>
            </w:r>
          </w:p>
        </w:tc>
        <w:tc>
          <w:tcPr>
            <w:tcW w:w="860" w:type="dxa"/>
            <w:vAlign w:val="bottom"/>
            <w:tcBorders>
              <w:bottom w:val="single" w:sz="8" w:color="auto"/>
            </w:tcBorders>
          </w:tcPr>
          <w:p>
            <w:pPr>
              <w:spacing w:after="0"/>
              <w:rPr>
                <w:sz w:val="16"/>
                <w:szCs w:val="16"/>
                <w:color w:val="auto"/>
              </w:rPr>
            </w:pPr>
          </w:p>
        </w:tc>
      </w:t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3"/>
              </w:rPr>
              <w:t>2021</w:t>
            </w:r>
          </w:p>
        </w:tc>
      </w:tr>
      <w:tr>
        <w:trPr>
          <w:trHeight w:val="187"/>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93"/>
              </w:rPr>
              <w:t>(In thousands)</w:t>
            </w:r>
          </w:p>
        </w:tc>
        <w:tc>
          <w:tcPr>
            <w:tcW w:w="860" w:type="dxa"/>
            <w:vAlign w:val="bottom"/>
          </w:tcPr>
          <w:p>
            <w:pPr>
              <w:spacing w:after="0"/>
              <w:rPr>
                <w:sz w:val="16"/>
                <w:szCs w:val="16"/>
                <w:color w:val="auto"/>
              </w:rPr>
            </w:pPr>
          </w:p>
        </w:tc>
      </w:tr>
      <w:tr>
        <w:trPr>
          <w:trHeight w:val="23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Fenestration:</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128,367</w:t>
            </w:r>
          </w:p>
        </w:tc>
        <w:tc>
          <w:tcPr>
            <w:tcW w:w="16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112,300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United States - non-fenestration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6,716</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5,398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r>
      <w:tr>
        <w:trPr>
          <w:trHeight w:val="223"/>
        </w:trPr>
        <w:tc>
          <w:tcPr>
            <w:tcW w:w="8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146,631</w:t>
            </w:r>
          </w:p>
        </w:tc>
        <w:tc>
          <w:tcPr>
            <w:tcW w:w="16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128,116</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European 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International - fenestration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44,621</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41,354</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r>
      <w:tr>
        <w:trPr>
          <w:trHeight w:val="223"/>
        </w:trPr>
        <w:tc>
          <w:tcPr>
            <w:tcW w:w="82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58,914</w:t>
            </w:r>
          </w:p>
        </w:tc>
        <w:tc>
          <w:tcPr>
            <w:tcW w:w="16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49,091</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Cabinet Components: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3,765</w:t>
            </w:r>
          </w:p>
        </w:tc>
        <w:tc>
          <w:tcPr>
            <w:tcW w:w="16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2,974</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non-fenestration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57,767</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50,502</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 non-fenestration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r>
      <w:tr>
        <w:trPr>
          <w:trHeight w:val="223"/>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62,353</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53,994</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Unallocated Corporate &amp; Other</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6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267,040</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230,147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Net sales for the three months ended January 31, 2022 included approximately $0.4 million of transactions with a customer which is a related party with one of our non-employee directors. We performed a review of these transactions, of which no single transaction or series of related transactions exceeded $120,000 in amount, and determined that these transactions were enacted independently of each other in fair transactions. We are not aware of any other related party transactions with any of our current non-employee directors or officers outside of their normal business functions or expected contractual duties.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Impact</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March 11, 2020, the World Health Organization (WHO) declared the outbreak of COVID-19 as a global pandemic and advised aggressive containment action. The COVID-19 pandemic and its impacts are continuing to have an adverse effect on many sectors of the economy, including negative impacts to the global supply chain and increased inflation. Measures providing for business shutdowns generally exclude certain essential services commonly including critical infrastructure such as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and the businesses that support that critical infrastructure. To date, we have not experienced significant challenges or expenses implementing crisis management plans intended for containment and prevention.</w:t>
      </w:r>
    </w:p>
    <w:p>
      <w:pPr>
        <w:spacing w:after="0" w:line="11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health and safety of our employees are high priority. In response to the COVID-19 pandemic, we have taken additional measures to limit possible infections at the workplace by implementing social distancing, sanitizing the workspace, and requiring employees to report any COVID-19 symptoms to ensure safety as infection surges dictate. We continue to assess and refine these measures on an ongoing basis as public health guidance and applicable laws and regulations continue to evolve.</w:t>
      </w:r>
    </w:p>
    <w:p>
      <w:pPr>
        <w:spacing w:after="0" w:line="133"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a result of the economic and business impact of COVID-19, we may be required to revise certain accounting estimates and judgments such as, but not limited to, those related to the valuation of goodwill, intangibles, right-of-use assets, long-lived assets, accounts receivable (including allowances for credit losses), and inventory, which could have a material adverse effect on our financial position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at January 31, 2022 and October 31, 2021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rPr>
              <w:t>October 31,</w:t>
            </w:r>
          </w:p>
        </w:tc>
      </w:tr>
      <w:tr>
        <w:trPr>
          <w:trHeight w:val="188"/>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49,867</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Finished goods and work in process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43,499</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119,910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95,465</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Inventory reserves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w:t>
            </w:r>
          </w:p>
        </w:tc>
      </w:tr>
      <w:tr>
        <w:trPr>
          <w:trHeight w:val="223"/>
        </w:trPr>
        <w:tc>
          <w:tcPr>
            <w:tcW w:w="814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117,384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92,529</w:t>
            </w: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for the three months ended January 31, 2022 was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275"/>
              <w:spacing w:after="0"/>
              <w:rPr>
                <w:sz w:val="20"/>
                <w:szCs w:val="20"/>
                <w:color w:val="auto"/>
              </w:rPr>
            </w:pPr>
            <w:r>
              <w:rPr>
                <w:rFonts w:ascii="Arial" w:cs="Arial" w:eastAsia="Arial" w:hAnsi="Arial"/>
                <w:sz w:val="16"/>
                <w:szCs w:val="16"/>
                <w:b w:val="1"/>
                <w:bCs w:val="1"/>
                <w:color w:val="auto"/>
                <w:w w:val="99"/>
              </w:rPr>
              <w:t>Three Months Ended</w:t>
            </w:r>
          </w:p>
        </w:tc>
      </w:tr>
      <w:tr>
        <w:trPr>
          <w:trHeight w:val="192"/>
        </w:trPr>
        <w:tc>
          <w:tcPr>
            <w:tcW w:w="9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January 31, 2022</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149,205</w:t>
            </w:r>
          </w:p>
        </w:tc>
      </w:tr>
      <w:tr>
        <w:trPr>
          <w:trHeight w:val="230"/>
        </w:trPr>
        <w:tc>
          <w:tcPr>
            <w:tcW w:w="9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the end of the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At our last annual test date, August 31, 2021, we evaluated the recoverability of goodwill at each of our five reporting units with goodwill balances and determined that our goodwill was not impaired. We evaluated for indicators of impairment during the three months ended January 31, 2022 and determined that there were no triggering events. For a summary of the change in the carrying amount of goodwill by segment, see Note 11, “Segment Information.”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January 31, 2022 and October 31, 2021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ind w:left="860"/>
              <w:spacing w:after="0"/>
              <w:rPr>
                <w:sz w:val="20"/>
                <w:szCs w:val="20"/>
                <w:color w:val="auto"/>
              </w:rPr>
            </w:pPr>
            <w:r>
              <w:rPr>
                <w:rFonts w:ascii="Arial" w:cs="Arial" w:eastAsia="Arial" w:hAnsi="Arial"/>
                <w:sz w:val="14"/>
                <w:szCs w:val="14"/>
                <w:b w:val="1"/>
                <w:bCs w:val="1"/>
                <w:color w:val="auto"/>
              </w:rPr>
              <w:t>January 31, 2022</w:t>
            </w:r>
          </w:p>
        </w:tc>
        <w:tc>
          <w:tcPr>
            <w:tcW w:w="160" w:type="dxa"/>
            <w:vAlign w:val="bottom"/>
          </w:tcPr>
          <w:p>
            <w:pPr>
              <w:spacing w:after="0"/>
              <w:rPr>
                <w:sz w:val="16"/>
                <w:szCs w:val="16"/>
                <w:color w:val="auto"/>
              </w:rPr>
            </w:pPr>
          </w:p>
        </w:tc>
        <w:tc>
          <w:tcPr>
            <w:tcW w:w="294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October 31, 2021</w:t>
            </w:r>
          </w:p>
        </w:tc>
      </w:tr>
      <w:tr>
        <w:trPr>
          <w:trHeight w:val="134"/>
        </w:trPr>
        <w:tc>
          <w:tcPr>
            <w:tcW w:w="4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35"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35" w:lineRule="exact"/>
              <w:rPr>
                <w:sz w:val="20"/>
                <w:szCs w:val="20"/>
                <w:color w:val="auto"/>
              </w:rPr>
            </w:pPr>
            <w:r>
              <w:rPr>
                <w:rFonts w:ascii="Arial" w:cs="Arial" w:eastAsia="Arial" w:hAnsi="Arial"/>
                <w:sz w:val="14"/>
                <w:szCs w:val="14"/>
                <w:b w:val="1"/>
                <w:bCs w:val="1"/>
                <w:color w:val="auto"/>
              </w:rPr>
              <w:t>Accumulated</w:t>
            </w:r>
          </w:p>
        </w:tc>
      </w:tr>
      <w:tr>
        <w:trPr>
          <w:trHeight w:val="188"/>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rPr>
              <w:t>Amortization</w:t>
            </w: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145,485</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83,345</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146,207</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81,086</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56,213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39,589</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 and other technology</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22,504</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22,109</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22,084</w:t>
            </w: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224,202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145,452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225,169</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142,759</w:t>
            </w: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had aggregate amortization expense related to intangible assets for the three months ended January 31, 2022 of $3.0 million and $3.4 million for the comparable prior year period.</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Estimated remaining amortization expense, based on current intangible balances, for each of the fiscal years ending October 31, is as follows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 (remaining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 and Finance Lease Obligations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Long-term debt consisted of the following at January 31, 2022 and October 31, 2021 (in thousands):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5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20" w:type="dxa"/>
            <w:vAlign w:val="bottom"/>
          </w:tcPr>
          <w:p>
            <w:pPr>
              <w:jc w:val="right"/>
              <w:ind w:right="694"/>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Amortization Expense</w:t>
            </w:r>
          </w:p>
        </w:tc>
      </w:tr>
      <w:tr>
        <w:trPr>
          <w:trHeight w:val="224"/>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9,049</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11,324</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10,573</w:t>
            </w:r>
          </w:p>
        </w:tc>
      </w:tr>
      <w:tr>
        <w:trPr>
          <w:trHeight w:val="229"/>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9,347</w:t>
            </w:r>
          </w:p>
        </w:tc>
      </w:tr>
      <w:tr>
        <w:trPr>
          <w:trHeight w:val="230"/>
        </w:trPr>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9,277</w:t>
            </w:r>
          </w:p>
        </w:tc>
      </w:tr>
      <w:tr>
        <w:trPr>
          <w:trHeight w:val="230"/>
        </w:trPr>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29,180</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580" w:val="left"/>
        </w:tabs>
        <w:rPr>
          <w:sz w:val="20"/>
          <w:szCs w:val="20"/>
          <w:color w:val="auto"/>
        </w:rPr>
      </w:pPr>
      <w:r>
        <w:rPr>
          <w:rFonts w:ascii="Arial" w:cs="Arial" w:eastAsia="Arial" w:hAnsi="Arial"/>
          <w:sz w:val="14"/>
          <w:szCs w:val="14"/>
          <w:b w:val="1"/>
          <w:bCs w:val="1"/>
          <w:color w:val="auto"/>
        </w:rPr>
        <w:t>January 31,</w:t>
      </w:r>
      <w:r>
        <w:rPr>
          <w:sz w:val="20"/>
          <w:szCs w:val="20"/>
          <w:color w:val="auto"/>
        </w:rPr>
        <w:tab/>
      </w:r>
      <w:r>
        <w:rPr>
          <w:rFonts w:ascii="Arial" w:cs="Arial" w:eastAsia="Arial" w:hAnsi="Arial"/>
          <w:sz w:val="13"/>
          <w:szCs w:val="13"/>
          <w:b w:val="1"/>
          <w:bCs w:val="1"/>
          <w:color w:val="auto"/>
        </w:rPr>
        <w:t>October 31,</w:t>
      </w:r>
    </w:p>
    <w:p>
      <w:pPr>
        <w:ind w:left="220"/>
        <w:spacing w:after="0"/>
        <w:tabs>
          <w:tab w:leader="none" w:pos="18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9" w:lineRule="exact"/>
        <w:rPr>
          <w:sz w:val="20"/>
          <w:szCs w:val="20"/>
          <w:color w:val="auto"/>
        </w:rPr>
      </w:pPr>
    </w:p>
    <w:p>
      <w:pPr>
        <w:sectPr>
          <w:pgSz w:w="11900" w:h="16838" w:orient="portrait"/>
          <w:cols w:equalWidth="0" w:num="2">
            <w:col w:w="7840" w:space="720"/>
            <w:col w:w="26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Finance lease obligations and other</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15,048</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15,537</w:t>
            </w:r>
          </w:p>
        </w:tc>
      </w:tr>
      <w:tr>
        <w:trPr>
          <w:trHeight w:val="22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fees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77,527</w:t>
            </w:r>
          </w:p>
        </w:tc>
        <w:tc>
          <w:tcPr>
            <w:tcW w:w="16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52,940</w:t>
            </w:r>
          </w:p>
        </w:tc>
      </w:tr>
      <w:tr>
        <w:trPr>
          <w:trHeight w:val="230"/>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23"/>
        </w:trPr>
        <w:tc>
          <w:tcPr>
            <w:tcW w:w="8200" w:type="dxa"/>
            <w:vAlign w:val="bottom"/>
          </w:tcPr>
          <w:p>
            <w:pPr>
              <w:ind w:left="480"/>
              <w:spacing w:after="0"/>
              <w:rPr>
                <w:sz w:val="20"/>
                <w:szCs w:val="20"/>
                <w:color w:val="auto"/>
              </w:rPr>
            </w:pPr>
            <w:r>
              <w:rPr>
                <w:rFonts w:ascii="Arial" w:cs="Arial" w:eastAsia="Arial" w:hAnsi="Arial"/>
                <w:sz w:val="18"/>
                <w:szCs w:val="18"/>
                <w:color w:val="auto"/>
              </w:rPr>
              <w:t>Long-term debt</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76,691</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52,094</w:t>
            </w:r>
          </w:p>
        </w:tc>
      </w:tr>
      <w:tr>
        <w:trPr>
          <w:trHeight w:val="21"/>
        </w:trPr>
        <w:tc>
          <w:tcPr>
            <w:tcW w:w="8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more fully described in our Annual Report on Form 10-K for the fiscal year ended October 31, 2021, on October 18, 2018, we amended and extended our prior credit facility by entering into a $325.0 million revolving credit facility (the “Credit Facility”), with Wells Fargo Bank, National Association, as Agent, Swingline Lender and Issuing Lender, and Bank of America, N.A. serving as Syndication Agent. The Credit Facility has a five-year term, maturing on October 18, 2023.</w:t>
      </w:r>
    </w:p>
    <w:p>
      <w:pPr>
        <w:spacing w:after="0" w:line="11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On December 28, 2021, we entered into a second amendment (the “Amendment”) of the Credit Facility. Pursuant to the Amendment, (a) the definition of “Capital Lease” was modified and clarified to provide an exclusion of certain agreed leases of the Company and its subsidiaries from the Credit Facility’s financial covenants and other provisions and (b) secured overnight financing rate, interest rate mechanics and interest rate reference benchmark replacement provisions were implemented to effectuate the transition from LIBOR as a reference interest rate. We will, however, continue to use the One Month LIBOR Rate plus applicable margin for the Credit Facility until June of 2023 when One Month LIBOR will no longer be available.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Following the Amendment, interest payments are calculated, at our election and depending upon the Consolidated Leverage Ratio, at a Base Rate plus an applicable margin or at the same rate as One Month LIBOR for domestic borrowings, Eurocurrency Rate Loan, Transitioned RFR Loan or RFR Loan plus an applicable margin. In addition, we are subject to commitment fees for the unused portion of the Credit Facility.</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26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rPr>
              <w:t>LIBOR,</w:t>
            </w:r>
          </w:p>
        </w:tc>
        <w:tc>
          <w:tcPr>
            <w:tcW w:w="17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Eurocurrency Rate</w:t>
            </w:r>
          </w:p>
        </w:tc>
        <w:tc>
          <w:tcPr>
            <w:tcW w:w="1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60" w:type="dxa"/>
            <w:vAlign w:val="bottom"/>
            <w:vMerge w:val="restart"/>
          </w:tcPr>
          <w:p>
            <w:pPr>
              <w:jc w:val="center"/>
              <w:ind w:right="310"/>
              <w:spacing w:after="0"/>
              <w:rPr>
                <w:sz w:val="20"/>
                <w:szCs w:val="20"/>
                <w:color w:val="auto"/>
              </w:rPr>
            </w:pPr>
            <w:r>
              <w:rPr>
                <w:rFonts w:ascii="Arial" w:cs="Arial" w:eastAsia="Arial" w:hAnsi="Arial"/>
                <w:sz w:val="18"/>
                <w:szCs w:val="18"/>
                <w:b w:val="1"/>
                <w:bCs w:val="1"/>
                <w:color w:val="auto"/>
                <w:w w:val="91"/>
              </w:rPr>
              <w:t>Pricing</w:t>
            </w:r>
          </w:p>
        </w:tc>
        <w:tc>
          <w:tcPr>
            <w:tcW w:w="2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Loans and</w:t>
            </w:r>
          </w:p>
        </w:tc>
        <w:tc>
          <w:tcPr>
            <w:tcW w:w="17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60" w:type="dxa"/>
            <w:vAlign w:val="bottom"/>
            <w:vMerge w:val="continue"/>
          </w:tcPr>
          <w:p>
            <w:pPr>
              <w:spacing w:after="0"/>
              <w:rPr>
                <w:sz w:val="15"/>
                <w:szCs w:val="15"/>
                <w:color w:val="auto"/>
              </w:rPr>
            </w:pPr>
          </w:p>
        </w:tc>
        <w:tc>
          <w:tcPr>
            <w:tcW w:w="29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Consolidated Leverage Ratio</w:t>
            </w:r>
          </w:p>
        </w:tc>
        <w:tc>
          <w:tcPr>
            <w:tcW w:w="18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Commitment Fee</w:t>
            </w: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Transitioned RFR</w:t>
            </w:r>
          </w:p>
        </w:tc>
        <w:tc>
          <w:tcPr>
            <w:tcW w:w="17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Initial RFR Loans</w:t>
            </w:r>
          </w:p>
        </w:tc>
        <w:tc>
          <w:tcPr>
            <w:tcW w:w="146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86"/>
              </w:rPr>
              <w:t>Base Rate Loans</w:t>
            </w:r>
          </w:p>
        </w:tc>
        <w:tc>
          <w:tcPr>
            <w:tcW w:w="0" w:type="dxa"/>
            <w:vAlign w:val="bottom"/>
          </w:tcPr>
          <w:p>
            <w:pPr>
              <w:spacing w:after="0"/>
              <w:rPr>
                <w:sz w:val="1"/>
                <w:szCs w:val="1"/>
                <w:color w:val="auto"/>
              </w:rPr>
            </w:pPr>
          </w:p>
        </w:tc>
      </w:tr>
      <w:tr>
        <w:trPr>
          <w:trHeight w:val="234"/>
        </w:trPr>
        <w:tc>
          <w:tcPr>
            <w:tcW w:w="9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Level</w:t>
            </w:r>
          </w:p>
        </w:tc>
        <w:tc>
          <w:tcPr>
            <w:tcW w:w="2960" w:type="dxa"/>
            <w:vAlign w:val="bottom"/>
            <w:vMerge w:val="continue"/>
          </w:tcPr>
          <w:p>
            <w:pPr>
              <w:spacing w:after="0"/>
              <w:rPr>
                <w:sz w:val="20"/>
                <w:szCs w:val="20"/>
                <w:color w:val="auto"/>
              </w:rPr>
            </w:pPr>
          </w:p>
        </w:tc>
        <w:tc>
          <w:tcPr>
            <w:tcW w:w="1880" w:type="dxa"/>
            <w:vAlign w:val="bottom"/>
            <w:vMerge w:val="continue"/>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6"/>
              </w:rPr>
              <w:t>Loans</w:t>
            </w:r>
          </w:p>
        </w:tc>
        <w:tc>
          <w:tcPr>
            <w:tcW w:w="1760" w:type="dxa"/>
            <w:vAlign w:val="bottom"/>
            <w:vMerge w:val="continue"/>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III</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Less than or equal to 1.50 to 1.00</w:t>
      </w:r>
    </w:p>
    <w:p>
      <w:pPr>
        <w:spacing w:after="0" w:line="2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Greater than 1.50 to 1.00, but less than or equal to 2.25 to 1.00</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Greater than 2.25 to 1.00, but less than or equal to 3.00 to 1.00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Greater than 3.00 to 1.00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570"/>
              <w:spacing w:after="0"/>
              <w:rPr>
                <w:sz w:val="20"/>
                <w:szCs w:val="20"/>
                <w:color w:val="auto"/>
              </w:rPr>
            </w:pPr>
            <w:r>
              <w:rPr>
                <w:rFonts w:ascii="Arial" w:cs="Arial" w:eastAsia="Arial" w:hAnsi="Arial"/>
                <w:sz w:val="18"/>
                <w:szCs w:val="18"/>
                <w:color w:val="auto"/>
                <w:w w:val="85"/>
              </w:rPr>
              <w:t>0.200%</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1.25%</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1.2826%</w:t>
            </w:r>
          </w:p>
        </w:tc>
        <w:tc>
          <w:tcPr>
            <w:tcW w:w="10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311"/>
        </w:trPr>
        <w:tc>
          <w:tcPr>
            <w:tcW w:w="1200" w:type="dxa"/>
            <w:vAlign w:val="bottom"/>
          </w:tcPr>
          <w:p>
            <w:pPr>
              <w:jc w:val="right"/>
              <w:ind w:right="570"/>
              <w:spacing w:after="0"/>
              <w:rPr>
                <w:sz w:val="20"/>
                <w:szCs w:val="20"/>
                <w:color w:val="auto"/>
              </w:rPr>
            </w:pPr>
            <w:r>
              <w:rPr>
                <w:rFonts w:ascii="Arial" w:cs="Arial" w:eastAsia="Arial" w:hAnsi="Arial"/>
                <w:sz w:val="18"/>
                <w:szCs w:val="18"/>
                <w:color w:val="auto"/>
                <w:w w:val="85"/>
              </w:rPr>
              <w:t>0.225%</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1.50%</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1.5326%</w:t>
            </w:r>
          </w:p>
        </w:tc>
        <w:tc>
          <w:tcPr>
            <w:tcW w:w="102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405"/>
        </w:trPr>
        <w:tc>
          <w:tcPr>
            <w:tcW w:w="1200" w:type="dxa"/>
            <w:vAlign w:val="bottom"/>
          </w:tcPr>
          <w:p>
            <w:pPr>
              <w:jc w:val="right"/>
              <w:ind w:right="570"/>
              <w:spacing w:after="0"/>
              <w:rPr>
                <w:sz w:val="20"/>
                <w:szCs w:val="20"/>
                <w:color w:val="auto"/>
              </w:rPr>
            </w:pPr>
            <w:r>
              <w:rPr>
                <w:rFonts w:ascii="Arial" w:cs="Arial" w:eastAsia="Arial" w:hAnsi="Arial"/>
                <w:sz w:val="18"/>
                <w:szCs w:val="18"/>
                <w:color w:val="auto"/>
                <w:w w:val="85"/>
              </w:rPr>
              <w:t>0.250%</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1.75%</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1.7826%</w:t>
            </w:r>
          </w:p>
        </w:tc>
        <w:tc>
          <w:tcPr>
            <w:tcW w:w="102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324"/>
        </w:trPr>
        <w:tc>
          <w:tcPr>
            <w:tcW w:w="1200" w:type="dxa"/>
            <w:vAlign w:val="bottom"/>
          </w:tcPr>
          <w:p>
            <w:pPr>
              <w:jc w:val="right"/>
              <w:ind w:right="570"/>
              <w:spacing w:after="0"/>
              <w:rPr>
                <w:sz w:val="20"/>
                <w:szCs w:val="20"/>
                <w:color w:val="auto"/>
              </w:rPr>
            </w:pPr>
            <w:r>
              <w:rPr>
                <w:rFonts w:ascii="Arial" w:cs="Arial" w:eastAsia="Arial" w:hAnsi="Arial"/>
                <w:sz w:val="18"/>
                <w:szCs w:val="18"/>
                <w:color w:val="auto"/>
                <w:w w:val="85"/>
              </w:rPr>
              <w:t>0.300%</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2.00%</w:t>
            </w:r>
          </w:p>
        </w:tc>
        <w:tc>
          <w:tcPr>
            <w:tcW w:w="1840" w:type="dxa"/>
            <w:vAlign w:val="bottom"/>
          </w:tcPr>
          <w:p>
            <w:pPr>
              <w:jc w:val="right"/>
              <w:ind w:right="490"/>
              <w:spacing w:after="0"/>
              <w:rPr>
                <w:sz w:val="20"/>
                <w:szCs w:val="20"/>
                <w:color w:val="auto"/>
              </w:rPr>
            </w:pPr>
            <w:r>
              <w:rPr>
                <w:rFonts w:ascii="Arial" w:cs="Arial" w:eastAsia="Arial" w:hAnsi="Arial"/>
                <w:sz w:val="18"/>
                <w:szCs w:val="18"/>
                <w:color w:val="auto"/>
              </w:rPr>
              <w:t>2.0326%</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-402590</wp:posOffset>
            </wp:positionV>
            <wp:extent cx="713232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3">
            <w:col w:w="600" w:space="580"/>
            <w:col w:w="3000" w:space="720"/>
            <w:col w:w="6340"/>
          </w:cols>
          <w:pgMar w:left="320" w:top="125" w:right="339" w:bottom="1440" w:gutter="0" w:footer="0" w:header="0"/>
          <w:type w:val="continuous"/>
        </w:sect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Facility provides for incremental revolving credit commitments for a minimum principal amount of $10.0 million, up to an aggregate amount of $150.0 million, subject to the lender's discretion to elect or decline the incremental increase. We can also borrow up to the lesser of $15.0 million or the revolving credit commitment, as defined, under a Swingline feature of the Credit Facility.</w:t>
      </w:r>
    </w:p>
    <w:p>
      <w:pPr>
        <w:spacing w:after="0" w:line="11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1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are used as collateral for the Credit Agreement.</w:t>
      </w:r>
    </w:p>
    <w:p>
      <w:pPr>
        <w:spacing w:after="0" w:line="12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of January 31, 2022, we had $63.0 million of borrowings outstanding under the Credit Facility (reduced by unamortized debt issuance costs of $0.5 million), $4.5 million of outstanding letters of credit and $15.0 million outstanding primarily under finance leases and other debt. We had $257.5 million available for use under the 2018 Credit Facility at January 31, 2022. Outstanding borrowings under the 2018 Credit Facility accrue interest at 1.36% per annum. Our weighted average borrowing rate for borrowings outstanding during the three months ended January 31, 2022 and 2021 was 1.35% and 1.56%, respectively. We were in compliance with our debt covenants as of January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Our non-contributory, single employer defined benefit pension plan covers certain of our employees in the U.S. The net periodic pension cost for this plan for the three months ended January 31, 2022 and 2021 was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48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r>
      <w:tr>
        <w:trPr>
          <w:trHeight w:val="195"/>
        </w:trPr>
        <w:tc>
          <w:tcPr>
            <w:tcW w:w="8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January 31,</w:t>
            </w:r>
          </w:p>
        </w:tc>
        <w:tc>
          <w:tcPr>
            <w:tcW w:w="50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loss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periodic pension benefit</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September 2021, we contributed $0.5 million to fund our plan. During fiscal 2022</w:t>
      </w:r>
      <w:r>
        <w:rPr>
          <w:rFonts w:ascii="Arial" w:cs="Arial" w:eastAsia="Arial" w:hAnsi="Arial"/>
          <w:sz w:val="16"/>
          <w:szCs w:val="16"/>
          <w:color w:val="auto"/>
        </w:rPr>
        <w:t>,</w:t>
      </w:r>
      <w:r>
        <w:rPr>
          <w:rFonts w:ascii="Arial" w:cs="Arial" w:eastAsia="Arial" w:hAnsi="Arial"/>
          <w:sz w:val="18"/>
          <w:szCs w:val="18"/>
          <w:color w:val="auto"/>
        </w:rPr>
        <w:t xml:space="preserve"> we do not expect to need to make a contribution to the pension plan to maintain targeted funding levels and meet minimum contribution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also have a supplemental benefit plan covering certain executive officers and key employees and a non-qualified deferred compensation plan covering members of the Board of Directors and certain key employees. As of January 31, 2022 and October 31, 2021, our liability under the supplemental benefit plan was approximately $2.9 million. As of January 31, 2022 and October 31, 2021, the liability associated with the deferred compensation plan was approximately $3.4 million. We record the current portion of liabilities associated with these plans under the caption “Accrued Liabilities,” and the long-term portion under the caption “Other Liabilities” in the accompanying condensed consolidated balance sheets.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To determine our income tax expense or benefit for interim periods, consistent with accounting standards, we apply the estimated annual effective income tax rate to year-to-date results, adjusted for any applicable discrete items. Our estimated annual effective tax rates from continuing operations for the three months ended January 31, 2022 and 2021 were 25.3% and 26.0%, respectively. The difference between our effective income tax rate and the U.S. federal statutory rate of 21% principally results from discrete tax items, U.S. state tax, non-U.S. tax rate differential and other permanent differences. The primary discrete items affecting the </w:t>
      </w:r>
      <w:r>
        <w:rPr>
          <w:rFonts w:ascii="Arial" w:cs="Arial" w:eastAsia="Arial" w:hAnsi="Arial"/>
          <w:sz w:val="15"/>
          <w:szCs w:val="15"/>
          <w:color w:val="auto"/>
        </w:rPr>
        <w:t>2022</w:t>
      </w:r>
      <w:r>
        <w:rPr>
          <w:rFonts w:ascii="Arial" w:cs="Arial" w:eastAsia="Arial" w:hAnsi="Arial"/>
          <w:sz w:val="17"/>
          <w:szCs w:val="17"/>
          <w:color w:val="auto"/>
        </w:rPr>
        <w:t xml:space="preserve"> effective rate were a charge of $0.5 million related to the vesting or exercise of equity-based compensation awards and a benefit of $0.3 million for the true-up of our accruals and related deferred taxes from prior year. The 2021 effective tax rate was primarily impacted by a discrete benefit of $0.5 million related to the vesting or exercise of equity-based compensation awards and a charge of $0.8 million for the true-up of our deferred taxes from prior year filings.</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January 31, 2022, our liability for uncertain tax positions (UTP) of $1.4 million relates to certain U.S. federal and state tax items regarding the interpretation of tax laws and regulations, including a minimal amount of interest and penalties.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 Our total unrecognized tax benefits, if recognized, would not materially affect our effective tax rate. We do not believe that the recorded amount of unrecognized tax benefits will decrease significantly within the next twelve months.</w:t>
      </w:r>
    </w:p>
    <w:p>
      <w:pPr>
        <w:spacing w:after="0" w:line="13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maintain a valuation allowance for certain state net operating losses which totaled $1.3 million as of January 31, 2022 and October 31,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2022.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3"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 of Assets and Liabilities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8" w:lineRule="exact"/>
        <w:rPr>
          <w:sz w:val="20"/>
          <w:szCs w:val="20"/>
          <w:color w:val="auto"/>
        </w:rPr>
      </w:pPr>
    </w:p>
    <w:p>
      <w:pPr>
        <w:ind w:left="480" w:hanging="148"/>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59"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8" w:lineRule="exact"/>
        <w:rPr>
          <w:rFonts w:ascii="Arial" w:cs="Arial" w:eastAsia="Arial" w:hAnsi="Arial"/>
          <w:sz w:val="18"/>
          <w:szCs w:val="18"/>
          <w:color w:val="auto"/>
        </w:rPr>
      </w:pPr>
    </w:p>
    <w:p>
      <w:pPr>
        <w:ind w:left="480" w:hanging="148"/>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prices frequently, thereby limiting our exposure to significant change in interest rate risk. As a result, the fair value of our debt instrument approximates carrying value at January 31, 2022, and October 31, 2021 (Level 2 measurement).</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performance share awards are marked-to-market on a quarterly basis during a three-year vesting period based on market data (Level 2 measurement). For further information, refer to Note 9, “Stock-Based Compensation - Performance Share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restricted stock units,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non-vested restricted stock awards activity during the three months ended January 31, 2022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Restricted Stock Awards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ind w:right="41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714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Grant Date Fair Value per Share</w:t>
            </w: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October 31, 2021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30"/>
        </w:trPr>
        <w:tc>
          <w:tcPr>
            <w:tcW w:w="71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84,400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31, 2022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216,600</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total weighted average grant-date fair value of restricted stock awards that vested during each of the three months ended January 31, 2022 and 2021 was $1.1 million and $0.9 million, respectively. As of January 31, 2022, total unrecognized compensation cost related to unamortized restricted stock awards was $3.0 million. We expect to recognize this expense over the remaining weighted average vesting period of 2.4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and performance shares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recognized stock option expense ratably over the shorter of the vesting period or the period from the grant-date to the retirement-eligibility date.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2021.</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three months ended January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Stock Options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7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200" w:type="dxa"/>
            <w:vAlign w:val="bottom"/>
          </w:tcPr>
          <w:p>
            <w:pPr>
              <w:spacing w:after="0"/>
              <w:rPr>
                <w:sz w:val="11"/>
                <w:szCs w:val="11"/>
                <w:color w:val="auto"/>
              </w:rPr>
            </w:pPr>
          </w:p>
        </w:tc>
        <w:tc>
          <w:tcPr>
            <w:tcW w:w="112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6"/>
                <w:szCs w:val="16"/>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Value (000s)</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31, 2021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218,304</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18.22</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215,054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Vested at January 31, 2022</w:t>
            </w: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215,054</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19.37</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January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215,054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Intrinsic value is the amount by which the market price of the common stock on the date of exercise exceeds the exercise price of the stock option. The total intrinsic value of stock options exercised during the three months ended January 31, 2022 and 2021 was less than $0.1 million and $2.3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three months ended January 31, 2022 and 2021, non-employee directors received 33,579 and 28,826 restricted stock units, respectively, at a grant date fair value of $22.54 per share and $18.79 per share, respectively, which vested immediately. As of January 31, 2022, there were 21,774 non-vested restricted stock units, which were awarded in January 2020 to key employees at a weighted average grant date fair value of $17.08. During the three months ended January 31, 2022 and January 31, 2021, we paid $0.1 million to settle vested restricted 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awarded annual grants of performance shares to key employees and officers. Performance share awards vest with return on net assets (RONA) as the vesting condition and pay out 100% in cash, and are accounted for as liability.</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Grant Date</w:t>
            </w:r>
          </w:p>
        </w:tc>
        <w:tc>
          <w:tcPr>
            <w:tcW w:w="290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89"/>
        </w:trPr>
        <w:tc>
          <w:tcPr>
            <w:tcW w:w="6120" w:type="dxa"/>
            <w:vAlign w:val="bottom"/>
            <w:vMerge w:val="continue"/>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2019</w:t>
            </w:r>
          </w:p>
        </w:tc>
        <w:tc>
          <w:tcPr>
            <w:tcW w:w="2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December 2, 2020</w:t>
            </w:r>
          </w:p>
        </w:tc>
        <w:tc>
          <w:tcPr>
            <w:tcW w:w="2780" w:type="dxa"/>
            <w:vAlign w:val="bottom"/>
          </w:tcPr>
          <w:p>
            <w:pPr>
              <w:jc w:val="right"/>
              <w:spacing w:after="0"/>
              <w:rPr>
                <w:sz w:val="20"/>
                <w:szCs w:val="20"/>
                <w:color w:val="auto"/>
              </w:rPr>
            </w:pPr>
            <w:r>
              <w:rPr>
                <w:rFonts w:ascii="Arial" w:cs="Arial" w:eastAsia="Arial" w:hAnsi="Arial"/>
                <w:sz w:val="18"/>
                <w:szCs w:val="18"/>
                <w:color w:val="auto"/>
              </w:rPr>
              <w:t>65,300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9, 2021</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December 2021, 183,000 shares vested pursuant to the December 2018 grant, which were settled with a cash payment of $3.8 million.</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Performance share awards are payable in cash based upon the number of performance shares ultimately earned, and are therefore not considered outstanding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Criteria</w:t>
            </w:r>
          </w:p>
        </w:tc>
        <w:tc>
          <w:tcPr>
            <w:tcW w:w="3460" w:type="dxa"/>
            <w:vAlign w:val="bottom"/>
          </w:tcPr>
          <w:p>
            <w:pPr>
              <w:ind w:left="660"/>
              <w:spacing w:after="0"/>
              <w:rPr>
                <w:sz w:val="20"/>
                <w:szCs w:val="20"/>
                <w:color w:val="auto"/>
              </w:rPr>
            </w:pPr>
            <w:r>
              <w:rPr>
                <w:rFonts w:ascii="Arial" w:cs="Arial" w:eastAsia="Arial" w:hAnsi="Arial"/>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29"/>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29"/>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-20%</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Arial" w:cs="Arial" w:eastAsia="Arial" w:hAnsi="Arial"/>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w:t>
            </w: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89"/>
        </w:trPr>
        <w:tc>
          <w:tcPr>
            <w:tcW w:w="78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2019</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December 2, 2020</w:t>
            </w:r>
          </w:p>
        </w:tc>
        <w:tc>
          <w:tcPr>
            <w:tcW w:w="1040" w:type="dxa"/>
            <w:vAlign w:val="bottom"/>
          </w:tcPr>
          <w:p>
            <w:pPr>
              <w:jc w:val="right"/>
              <w:spacing w:after="0"/>
              <w:rPr>
                <w:sz w:val="20"/>
                <w:szCs w:val="20"/>
                <w:color w:val="auto"/>
              </w:rPr>
            </w:pPr>
            <w:r>
              <w:rPr>
                <w:rFonts w:ascii="Arial" w:cs="Arial" w:eastAsia="Arial" w:hAnsi="Arial"/>
                <w:sz w:val="18"/>
                <w:szCs w:val="18"/>
                <w:color w:val="auto"/>
              </w:rPr>
              <w:t>38,400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9, 2021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January 31, 2022, 87,919 performance restricted stock units vested.</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January 31, 2022, we have deemed 33,093 shares related to the December 2019 grant of performance restricted stock units as probable to vest.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amounts expensed as selling, general and administrative expense related to restricted stock awards, stock options, restricted stock units, performance share awards and performance restricted stock units for the three months ended January 31, 2022 and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6"/>
                <w:szCs w:val="16"/>
                <w:color w:val="auto"/>
              </w:rPr>
            </w:pPr>
          </w:p>
        </w:tc>
      </w:tr>
      <w:tr>
        <w:trPr>
          <w:trHeight w:val="195"/>
        </w:trPr>
        <w:tc>
          <w:tcPr>
            <w:tcW w:w="8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January 31,</w:t>
            </w:r>
          </w:p>
        </w:tc>
        <w:tc>
          <w:tcPr>
            <w:tcW w:w="880" w:type="dxa"/>
            <w:vAlign w:val="bottom"/>
            <w:tcBorders>
              <w:bottom w:val="single" w:sz="8" w:color="auto"/>
            </w:tcBorders>
          </w:tcPr>
          <w:p>
            <w:pPr>
              <w:spacing w:after="0"/>
              <w:rPr>
                <w:sz w:val="16"/>
                <w:szCs w:val="16"/>
                <w:color w:val="auto"/>
              </w:rPr>
            </w:pPr>
          </w:p>
        </w:tc>
      </w:tr>
      <w:tr>
        <w:trPr>
          <w:trHeight w:val="187"/>
        </w:trPr>
        <w:tc>
          <w:tcPr>
            <w:tcW w:w="81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8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Performance share awards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1,340</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2,685</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units</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compensation expense</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4,442</w:t>
            </w:r>
          </w:p>
        </w:tc>
      </w:tr>
      <w:tr>
        <w:trPr>
          <w:trHeight w:val="21"/>
        </w:trPr>
        <w:tc>
          <w:tcPr>
            <w:tcW w:w="8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three months ended January 31, 2022.</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treasury stock activity during the three months ended January 31, 2022:</w:t>
      </w:r>
    </w:p>
    <w:p>
      <w:pPr>
        <w:spacing w:after="0" w:line="122"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Balance as of November 1, 2021</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Restricted stock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Performance restricted stock units vested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January 31, 2022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net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3,998,725</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(84,400)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(87,919)</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(2,750)</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3,823,656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47625</wp:posOffset>
            </wp:positionV>
            <wp:extent cx="13887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046" w:lineRule="exact"/>
        <w:rPr>
          <w:sz w:val="20"/>
          <w:szCs w:val="20"/>
          <w:color w:val="auto"/>
        </w:rPr>
      </w:pPr>
    </w:p>
    <w:p>
      <w:pPr>
        <w:sectPr>
          <w:pgSz w:w="11900" w:h="16838" w:orient="portrait"/>
          <w:cols w:equalWidth="0" w:num="2">
            <w:col w:w="9720" w:space="720"/>
            <w:col w:w="800"/>
          </w:cols>
          <w:pgMar w:left="320" w:top="125" w:right="339" w:bottom="1440" w:gutter="0" w:footer="0" w:header="0"/>
          <w:type w:val="continuous"/>
        </w:sectPr>
      </w:pPr>
    </w:p>
    <w:p>
      <w:pPr>
        <w:ind w:firstLine="445"/>
        <w:spacing w:after="0" w:line="277" w:lineRule="auto"/>
        <w:rPr>
          <w:sz w:val="20"/>
          <w:szCs w:val="20"/>
          <w:color w:val="auto"/>
        </w:rPr>
      </w:pPr>
      <w:r>
        <w:rPr>
          <w:rFonts w:ascii="Arial" w:cs="Arial" w:eastAsia="Arial" w:hAnsi="Arial"/>
          <w:sz w:val="18"/>
          <w:szCs w:val="18"/>
          <w:color w:val="auto"/>
        </w:rPr>
        <w:t>Other, net on the condensed consolidated statements of income consisted of the following for the three months ended January 31, 2022 and 2021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54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r>
      <w:tr>
        <w:trPr>
          <w:trHeight w:val="195"/>
        </w:trPr>
        <w:tc>
          <w:tcPr>
            <w:tcW w:w="82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January 31,</w:t>
            </w:r>
          </w:p>
        </w:tc>
        <w:tc>
          <w:tcPr>
            <w:tcW w:w="460" w:type="dxa"/>
            <w:vAlign w:val="bottom"/>
            <w:tcBorders>
              <w:bottom w:val="single" w:sz="8" w:color="auto"/>
            </w:tcBorders>
          </w:tcPr>
          <w:p>
            <w:pPr>
              <w:spacing w:after="0"/>
              <w:rPr>
                <w:sz w:val="16"/>
                <w:szCs w:val="16"/>
                <w:color w:val="auto"/>
              </w:rPr>
            </w:pPr>
          </w:p>
        </w:tc>
      </w:tr>
      <w:tr>
        <w:trPr>
          <w:trHeight w:val="187"/>
        </w:trPr>
        <w:tc>
          <w:tcPr>
            <w:tcW w:w="8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Pension service benefit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7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present three reportable business segments (1) NA Fenestration, comprising three operating segments primarily focused on the fenestration market in North America including vinyl profiles, insulating glass spacers, screens &amp;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month period ended January 31, 2022 was $5.8 million, and $5.2 million for the comparable prior year period.</w:t>
      </w:r>
    </w:p>
    <w:p>
      <w:pPr>
        <w:spacing w:after="0" w:line="1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13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Segment information for the three months ended January 31, 2022 and 2021, and total assets as of January 31, 2022 and October 31, 2021 are summarized in the following table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 Cabinet Comp.</w:t>
            </w: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4260" w:type="dxa"/>
            <w:vAlign w:val="bottom"/>
            <w:tcBorders>
              <w:top w:val="single" w:sz="8" w:color="CCEEFF"/>
            </w:tcBorders>
            <w:gridSpan w:val="3"/>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Three Months Ended January 31, 2022</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15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146,631</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58,914</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62,353</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(858)</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267,040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7,815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Three Months Ended January 31, 2021</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128,116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3,270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 of January 31, 2022</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assets</w:t>
            </w:r>
          </w:p>
        </w:tc>
        <w:tc>
          <w:tcPr>
            <w:tcW w:w="268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282,033</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229,515</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179,410</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27,314</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718,272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As of October 31, 2021</w:t>
            </w:r>
          </w:p>
        </w:tc>
        <w:tc>
          <w:tcPr>
            <w:tcW w:w="268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268,773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236,755</w:t>
            </w:r>
          </w:p>
        </w:tc>
        <w:tc>
          <w:tcPr>
            <w:tcW w:w="1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178,671</w:t>
            </w:r>
          </w:p>
        </w:tc>
        <w:tc>
          <w:tcPr>
            <w:tcW w:w="18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33,124</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717,323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3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change in the carrying amount of goodwill by reportable business segment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2022 (in thousands):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 Fenestration</w:t>
            </w:r>
          </w:p>
        </w:tc>
        <w:tc>
          <w:tcPr>
            <w:tcW w:w="10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 Cabinet Comp.</w:t>
            </w: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Unallocated Corp.</w:t>
            </w:r>
          </w:p>
        </w:tc>
        <w:tc>
          <w:tcPr>
            <w:tcW w:w="280" w:type="dxa"/>
            <w:vAlign w:val="bottom"/>
          </w:tcPr>
          <w:p>
            <w:pPr>
              <w:spacing w:after="0"/>
              <w:rPr>
                <w:sz w:val="14"/>
                <w:szCs w:val="14"/>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&amp; Other</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8"/>
              </w:rPr>
              <w:t>71,346</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149,205</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ind w:left="600"/>
              <w:spacing w:after="0"/>
              <w:rPr>
                <w:sz w:val="20"/>
                <w:szCs w:val="20"/>
                <w:color w:val="auto"/>
              </w:rPr>
            </w:pPr>
            <w:r>
              <w:rPr>
                <w:rFonts w:ascii="Arial" w:cs="Arial" w:eastAsia="Arial" w:hAnsi="Arial"/>
                <w:sz w:val="18"/>
                <w:szCs w:val="18"/>
                <w:color w:val="auto"/>
                <w:w w:val="91"/>
              </w:rPr>
              <w:t>(1,412)</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48"/>
        </w:trPr>
        <w:tc>
          <w:tcPr>
            <w:tcW w:w="426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8"/>
                <w:szCs w:val="18"/>
                <w:b w:val="1"/>
                <w:bCs w:val="1"/>
                <w:color w:val="auto"/>
              </w:rPr>
              <w:t>Balance as of January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98"/>
              </w:rPr>
              <w:t>69,934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147,793</w:t>
            </w:r>
          </w:p>
        </w:tc>
        <w:tc>
          <w:tcPr>
            <w:tcW w:w="0" w:type="dxa"/>
            <w:vAlign w:val="bottom"/>
          </w:tcPr>
          <w:p>
            <w:pPr>
              <w:spacing w:after="0"/>
              <w:rPr>
                <w:sz w:val="1"/>
                <w:szCs w:val="1"/>
                <w:color w:val="auto"/>
              </w:rPr>
            </w:pPr>
          </w:p>
        </w:tc>
      </w:tr>
      <w:tr>
        <w:trPr>
          <w:trHeight w:val="20"/>
        </w:trPr>
        <w:tc>
          <w:tcPr>
            <w:tcW w:w="426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3, “Goodwill &amp; Intangible Assets”, located herewith.</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income as reported above to net income for the three months ended January 31, 2022 and 2021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Three Months Ended</w:t>
            </w:r>
          </w:p>
        </w:tc>
        <w:tc>
          <w:tcPr>
            <w:tcW w:w="860" w:type="dxa"/>
            <w:vAlign w:val="bottom"/>
          </w:tcPr>
          <w:p>
            <w:pPr>
              <w:spacing w:after="0"/>
              <w:rPr>
                <w:sz w:val="16"/>
                <w:szCs w:val="16"/>
                <w:color w:val="auto"/>
              </w:rPr>
            </w:pPr>
          </w:p>
        </w:tc>
      </w:tr>
      <w:tr>
        <w:trPr>
          <w:trHeight w:val="195"/>
        </w:trPr>
        <w:tc>
          <w:tcPr>
            <w:tcW w:w="8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January 31,</w:t>
            </w:r>
          </w:p>
        </w:tc>
        <w:tc>
          <w:tcPr>
            <w:tcW w:w="860" w:type="dxa"/>
            <w:vAlign w:val="bottom"/>
            <w:tcBorders>
              <w:bottom w:val="single" w:sz="8" w:color="auto"/>
            </w:tcBorders>
          </w:tcPr>
          <w:p>
            <w:pPr>
              <w:spacing w:after="0"/>
              <w:rPr>
                <w:sz w:val="16"/>
                <w:szCs w:val="16"/>
                <w:color w:val="auto"/>
              </w:rPr>
            </w:pPr>
          </w:p>
        </w:tc>
      </w:tr>
      <w:tr>
        <w:trPr>
          <w:trHeight w:val="187"/>
        </w:trPr>
        <w:tc>
          <w:tcPr>
            <w:tcW w:w="8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2021</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14,126</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11,835</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(2,418)</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11,239</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1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Basic and diluted earnings per share for the three months ended January 31, 2022 and 2021 were calculated as follows (in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Income</w:t>
            </w:r>
          </w:p>
        </w:tc>
        <w:tc>
          <w:tcPr>
            <w:tcW w:w="1460" w:type="dxa"/>
            <w:vAlign w:val="bottom"/>
          </w:tcPr>
          <w:p>
            <w:pPr>
              <w:jc w:val="right"/>
              <w:ind w:right="73"/>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60" w:type="dxa"/>
            <w:vAlign w:val="bottom"/>
          </w:tcPr>
          <w:p>
            <w:pPr>
              <w:jc w:val="right"/>
              <w:ind w:right="43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648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Three Months Ended January 31, 2022</w:t>
            </w: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Basic earnings per common share</w:t>
            </w:r>
          </w:p>
        </w:tc>
        <w:tc>
          <w:tcPr>
            <w:tcW w:w="37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11,239</w:t>
            </w:r>
          </w:p>
        </w:tc>
        <w:tc>
          <w:tcPr>
            <w:tcW w:w="20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33,124</w:t>
            </w:r>
          </w:p>
        </w:tc>
        <w:tc>
          <w:tcPr>
            <w:tcW w:w="4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33,298</w:t>
            </w:r>
          </w:p>
        </w:tc>
        <w:tc>
          <w:tcPr>
            <w:tcW w:w="46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480" w:type="dxa"/>
            <w:vAlign w:val="bottom"/>
            <w:tcBorders>
              <w:top w:val="single" w:sz="8" w:color="CCEEFF"/>
              <w:bottom w:val="single" w:sz="8" w:color="CCEEFF"/>
            </w:tcBorders>
            <w:gridSpan w:val="2"/>
            <w:vMerge w:val="restart"/>
          </w:tcPr>
          <w:p>
            <w:pPr>
              <w:spacing w:after="0" w:line="162" w:lineRule="exact"/>
              <w:rPr>
                <w:sz w:val="20"/>
                <w:szCs w:val="20"/>
                <w:color w:val="auto"/>
              </w:rPr>
            </w:pPr>
            <w:r>
              <w:rPr>
                <w:rFonts w:ascii="Arial" w:cs="Arial" w:eastAsia="Arial" w:hAnsi="Arial"/>
                <w:sz w:val="16"/>
                <w:szCs w:val="16"/>
                <w:b w:val="1"/>
                <w:bCs w:val="1"/>
                <w:color w:val="auto"/>
              </w:rPr>
              <w:t>Three Months Ended January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4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7,852</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There were no anti-dilutive instruments for the three months ended January 31, 2022 and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New Accounting Guidance</w:t>
      </w:r>
    </w:p>
    <w:p>
      <w:pPr>
        <w:spacing w:after="0" w:line="16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months ended January 31, 2022. As of January 31, 2022,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Certain of the statements contained in this document and in documents incorporated by reference herein, including those made under the caption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are “forward-looking” statements as defined under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44" w:lineRule="exact"/>
        <w:rPr>
          <w:sz w:val="20"/>
          <w:szCs w:val="20"/>
          <w:color w:val="auto"/>
        </w:rPr>
      </w:pPr>
    </w:p>
    <w:p>
      <w:pPr>
        <w:ind w:left="660" w:right="2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from public health issues (including pandemics, such as the recent COVID-19 pandemic and quarantines) on the economy, demand for our products or our operations, including the responses of governmental authorities to contain such public health issues;</w:t>
      </w:r>
    </w:p>
    <w:p>
      <w:pPr>
        <w:spacing w:after="0" w:line="21"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21"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76"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availability and prices of raw material including inflationary pressures and supply chain challenges, which could be exacerbated by political or global unrest such as the current situation in Ukraine;</w:t>
      </w:r>
    </w:p>
    <w:p>
      <w:pPr>
        <w:spacing w:after="0" w:line="21"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skilled labor;</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energy costs;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good relationships with our suppliers, subcontractors, and key customers; and</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58"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our Annual Report on Form 10-K for the fiscal year ended October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48"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January 31, 2022, and for the three months ended January 31, 2022 and 2021, included elsewhere herein. For additional information pertaining to our business, including risk factors which should be considered before investing in our common stock, refer to our Annual Report on Form 10-K for the fiscal year ended October 31,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vinyl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7"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currently have three reportable business segments: (1) North American Fenestration segment (“NA Fenestration”), comprising three operating segments, manufacturing vinyl profiles, IG spacers, screens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March 11, 2020, the WHO declared the outbreak of COVID-19 to be a global pandemic and recommended containment and mitigation measures. Our first priority with regard to the COVID-19 pandemic is to do everything we can to ensure the safety, health and welfare of our employees, customers, suppliers and other partners. With the implementation of health and safety practices at our facilities, we are continuing to supply the industry during this uncertain time, recognizing the essential role the construction industry plays in providing housing and necessary infrastructure.</w:t>
      </w:r>
    </w:p>
    <w:p>
      <w:pPr>
        <w:spacing w:after="0" w:line="103"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As federal, state and local governments react to the public health crisis, significant uncertainties have been created in the economy. The COVID-19 pandemic and its related effects continue to have a significant adverse effect on many sectors of the economy and we may be further impacted.</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part of our response to the COVID-19 pandemic, we have taken the following measures:</w:t>
      </w:r>
    </w:p>
    <w:p>
      <w:pPr>
        <w:spacing w:after="0" w:line="171" w:lineRule="exact"/>
        <w:rPr>
          <w:sz w:val="20"/>
          <w:szCs w:val="20"/>
          <w:color w:val="auto"/>
        </w:rPr>
      </w:pPr>
    </w:p>
    <w:p>
      <w:pPr>
        <w:jc w:val="both"/>
        <w:ind w:left="580" w:hanging="167"/>
        <w:spacing w:after="0" w:line="263"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continuing to provide our products to support critical infrastructure needs while following national, state, and local guidelines required to continue operations during the existence of the pandemic and related local declarations of emergency. However, local or regional hotspots of the pandemic could result in other locations being temporarily idled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due to the need to deep clean areas where an employee who has tested positive for COVID-19 worked or any similar impacts in our supply chain.</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work with our customers to the extent idling affects fulfillment timing.</w:t>
      </w:r>
    </w:p>
    <w:p>
      <w:pPr>
        <w:spacing w:after="0" w:line="157" w:lineRule="exact"/>
        <w:rPr>
          <w:sz w:val="20"/>
          <w:szCs w:val="20"/>
          <w:color w:val="auto"/>
        </w:rPr>
      </w:pPr>
    </w:p>
    <w:p>
      <w:pPr>
        <w:ind w:left="580" w:right="20" w:hanging="167"/>
        <w:spacing w:after="0" w:line="291" w:lineRule="auto"/>
        <w:tabs>
          <w:tab w:leader="none" w:pos="57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taken precautionary measures intended to help minimize the risk of the virus to our employees by implementing social distancing, sanitizing the workspace, and requiring employees to report any COVID-19 symptoms to ensure safety as infection surges dictate.</w:t>
      </w:r>
    </w:p>
    <w:p>
      <w:pPr>
        <w:spacing w:after="0" w:line="92" w:lineRule="exact"/>
        <w:rPr>
          <w:rFonts w:ascii="Arial" w:cs="Arial" w:eastAsia="Arial" w:hAnsi="Arial"/>
          <w:sz w:val="17"/>
          <w:szCs w:val="17"/>
          <w:color w:val="auto"/>
        </w:rPr>
      </w:pPr>
    </w:p>
    <w:p>
      <w:pPr>
        <w:jc w:val="both"/>
        <w:ind w:left="580" w:right="20" w:hanging="167"/>
        <w:spacing w:after="0" w:line="248"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2022, the NAHB forecasted calendar-year housing starts to be 1.6 million for the 2022 and 2023 calendar-years. In February 2022, the Ducker forecast indicated that total window shipments are expected to increase approximately 9% for calendar-year 2021 and approximately 6% in 2022 and 2% in 2023. The estimated increase in window shipments for the year ended December 31, 2022 includes an increase in new construction shipments of approximately 5% and an increase in R&amp;R shipments of approximately 6%. In February 2022, Catalina Research estimated that residential semi-custom cabinet demand in the U.S. is estimated to increase 9% in 2021 and 4% in 2022.</w:t>
      </w:r>
    </w:p>
    <w:p>
      <w:pPr>
        <w:spacing w:after="0" w:line="12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programs.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w:t>
      </w:r>
    </w:p>
    <w:p>
      <w:pPr>
        <w:spacing w:after="0" w:line="1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23, 2016, citizens of the U.K. voted to exit the European Union (E.U.) (referred to as Brexit). In October 2019, the U.K. and E.U. ratified a withdrawal agreement, and subsequently the U.K. left the E.U. on January 31, 2020. The E.U. rules for trade, travel, and business for the U.K. lapsed on December 31, 2020. In early 2021, the U.K. and the E.U. agreed on a 100% tariff liberalization trade agreement. There will be no tariffs or quotas on the movement of goods produced between the U.K. and the E.U. During this settling in period we could experience extended lead times for raw material imports.</w:t>
      </w:r>
    </w:p>
    <w:p>
      <w:pPr>
        <w:spacing w:after="0" w:line="10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Given the lack of comparable precedent, it is difficult for us to predict the future impacts on our U.K. based operations, which accounted for approximately 20% of our total sales for the year ended October 31, 2021. Since we manufacture and sell a majority of our U.K. products within the U.K., there is minimal risk to our ability to physically deliver goods and complete sales. The primary risk mitigation focus for our U.K. operations centers on the availability and pricing of raw materials. While we source the majority of our raw materials from within the U.K., many of the primary upstream raw materials our vendors use are being sourced from outside of the U.K., which could expose us to cross-border issues and raw material price impacts. We will mitigate this potential impact of Brexit on the import of goods to the U.K. by strategically managing our inventory levels and logistical channels.</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Three Months Ended </w:t>
      </w:r>
      <w:r>
        <w:rPr>
          <w:rFonts w:ascii="Arial" w:cs="Arial" w:eastAsia="Arial" w:hAnsi="Arial"/>
          <w:sz w:val="17"/>
          <w:szCs w:val="17"/>
          <w:b w:val="1"/>
          <w:bCs w:val="1"/>
          <w:i w:val="1"/>
          <w:iCs w:val="1"/>
          <w:color w:val="auto"/>
        </w:rPr>
        <w:t>January 31, 2022 Compared to</w:t>
      </w:r>
      <w:r>
        <w:rPr>
          <w:rFonts w:ascii="Arial" w:cs="Arial" w:eastAsia="Arial" w:hAnsi="Arial"/>
          <w:sz w:val="16"/>
          <w:szCs w:val="16"/>
          <w:b w:val="1"/>
          <w:bCs w:val="1"/>
          <w:i w:val="1"/>
          <w:iCs w:val="1"/>
          <w:color w:val="auto"/>
        </w:rPr>
        <w:t xml:space="preserve"> Three Months Ended January 31, </w:t>
      </w:r>
      <w:r>
        <w:rPr>
          <w:rFonts w:ascii="Arial" w:cs="Arial" w:eastAsia="Arial" w:hAnsi="Arial"/>
          <w:sz w:val="17"/>
          <w:szCs w:val="17"/>
          <w:b w:val="1"/>
          <w:bCs w:val="1"/>
          <w:i w:val="1"/>
          <w:iCs w:val="1"/>
          <w:color w:val="auto"/>
        </w:rPr>
        <w:t>2021</w:t>
      </w:r>
    </w:p>
    <w:p>
      <w:pPr>
        <w:spacing w:after="0" w:line="143" w:lineRule="exact"/>
        <w:rPr>
          <w:sz w:val="20"/>
          <w:szCs w:val="20"/>
          <w:color w:val="auto"/>
        </w:rPr>
      </w:pPr>
    </w:p>
    <w:p>
      <w:pPr>
        <w:jc w:val="right"/>
        <w:ind w:right="1260"/>
        <w:spacing w:after="0"/>
        <w:rPr>
          <w:sz w:val="20"/>
          <w:szCs w:val="20"/>
          <w:color w:val="auto"/>
        </w:rPr>
      </w:pPr>
      <w:r>
        <w:rPr>
          <w:rFonts w:ascii="Arial" w:cs="Arial" w:eastAsia="Arial" w:hAnsi="Arial"/>
          <w:sz w:val="16"/>
          <w:szCs w:val="16"/>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20320</wp:posOffset>
            </wp:positionV>
            <wp:extent cx="3077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 of sales (excluding depreciation and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Selling, general and administrative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 amortization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 expense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period-over-period results by reportable segment follow.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Related to Operating Income by Reportable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Change $</w:t>
            </w:r>
          </w:p>
        </w:tc>
        <w:tc>
          <w:tcPr>
            <w:tcW w:w="13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203"/>
        </w:trPr>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(Dollars in millions)</w:t>
            </w:r>
          </w:p>
        </w:tc>
        <w:tc>
          <w:tcPr>
            <w:tcW w:w="1360" w:type="dxa"/>
            <w:vAlign w:val="bottom"/>
          </w:tcPr>
          <w:p>
            <w:pPr>
              <w:spacing w:after="0"/>
              <w:rPr>
                <w:sz w:val="17"/>
                <w:szCs w:val="17"/>
                <w:color w:val="auto"/>
              </w:rPr>
            </w:pPr>
          </w:p>
        </w:tc>
      </w:tr>
      <w:tr>
        <w:trPr>
          <w:trHeight w:val="24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w:t>
            </w:r>
          </w:p>
        </w:tc>
        <w:tc>
          <w:tcPr>
            <w:tcW w:w="13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36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22"/>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3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3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-1362075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-1071245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-779145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-479425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-187960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0"/>
        <w:spacing w:after="0"/>
        <w:rPr>
          <w:sz w:val="20"/>
          <w:szCs w:val="20"/>
          <w:color w:val="auto"/>
        </w:rPr>
      </w:pPr>
      <w:r>
        <w:rPr>
          <w:rFonts w:ascii="Arial" w:cs="Arial" w:eastAsia="Arial" w:hAnsi="Arial"/>
          <w:sz w:val="16"/>
          <w:szCs w:val="16"/>
          <w:b w:val="1"/>
          <w:bCs w:val="1"/>
          <w:color w:val="auto"/>
        </w:rPr>
        <w:t>Three Months Ended January 31,</w:t>
      </w:r>
    </w:p>
    <w:p>
      <w:pPr>
        <w:spacing w:after="0" w:line="26" w:lineRule="exact"/>
        <w:rPr>
          <w:sz w:val="20"/>
          <w:szCs w:val="20"/>
          <w:color w:val="auto"/>
        </w:rPr>
      </w:pPr>
    </w:p>
    <w:p>
      <w:pPr>
        <w:sectPr>
          <w:pgSz w:w="11900" w:h="16838" w:orient="portrait"/>
          <w:cols w:equalWidth="0" w:num="2">
            <w:col w:w="5680" w:space="720"/>
            <w:col w:w="48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3"/>
                <w:szCs w:val="13"/>
                <w:b w:val="1"/>
                <w:bCs w:val="1"/>
                <w:color w:val="auto"/>
              </w:rPr>
              <w:t>% Variance</w:t>
            </w:r>
          </w:p>
        </w:tc>
        <w:tc>
          <w:tcPr>
            <w:tcW w:w="0" w:type="dxa"/>
            <w:vAlign w:val="bottom"/>
          </w:tcPr>
          <w:p>
            <w:pPr>
              <w:spacing w:after="0"/>
              <w:rPr>
                <w:sz w:val="1"/>
                <w:szCs w:val="1"/>
                <w:color w:val="auto"/>
              </w:rPr>
            </w:pPr>
          </w:p>
        </w:tc>
      </w:tr>
      <w:tr>
        <w:trPr>
          <w:trHeight w:val="165"/>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4"/>
          </w:tcPr>
          <w:p>
            <w:pPr>
              <w:jc w:val="right"/>
              <w:ind w:right="654"/>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29"/>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95"/>
              </w:rPr>
              <w:t>(17)%</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CCEEFF"/>
            </w:tcBorders>
          </w:tcPr>
          <w:p>
            <w:pPr>
              <w:jc w:val="center"/>
              <w:ind w:left="14"/>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8 %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$18.5 million, or 14%, for the three months ended January 31, 2022 compared to the same period in 2021,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an increase in price and raw material surcharges of $10.6 million and a $7.9 million increase in volumes.</w:t>
      </w:r>
    </w:p>
    <w:p>
      <w:pPr>
        <w:spacing w:after="0" w:line="103" w:lineRule="exact"/>
        <w:rPr>
          <w:sz w:val="20"/>
          <w:szCs w:val="20"/>
          <w:color w:val="auto"/>
        </w:rPr>
      </w:pPr>
    </w:p>
    <w:p>
      <w:pPr>
        <w:ind w:firstLine="445"/>
        <w:spacing w:after="0" w:line="308"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The cost of sales increased $16.6 million, or 17%, for the three months ended January 31, 2022 as compared to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2021. Cost of sales, including labor, increased primarily due to higher volumes during the period as well as the inflation of raw materials.</w:t>
      </w:r>
    </w:p>
    <w:p>
      <w:pPr>
        <w:spacing w:after="0" w:line="79"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i w:val="1"/>
          <w:iCs w:val="1"/>
          <w:color w:val="auto"/>
        </w:rPr>
        <w:t>Selling, General and Administrative. S</w:t>
      </w:r>
      <w:r>
        <w:rPr>
          <w:rFonts w:ascii="Arial" w:cs="Arial" w:eastAsia="Arial" w:hAnsi="Arial"/>
          <w:sz w:val="16"/>
          <w:szCs w:val="16"/>
          <w:color w:val="auto"/>
        </w:rPr>
        <w:t>elling, general and administrative expenses increased $2.0 million, or 16%,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31, 2022 as compared to the same period in 2021. This increase was due primarily to higher professional fees and compensation year-over-year.</w:t>
      </w:r>
    </w:p>
    <w:p>
      <w:pPr>
        <w:spacing w:after="0" w:line="43"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decreased $1.0 million, or 20%, for the three months ended January 31, 2022</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the same period in 2021, reflecting the run-off of depreciation expense related to existing assets and disposals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2"/>
              </w:rPr>
              <w:t>Three Months Ended January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c>
          <w:tcPr>
            <w:tcW w:w="0" w:type="dxa"/>
            <w:vAlign w:val="bottom"/>
          </w:tcPr>
          <w:p>
            <w:pPr>
              <w:spacing w:after="0"/>
              <w:rPr>
                <w:sz w:val="1"/>
                <w:szCs w:val="1"/>
                <w:color w:val="auto"/>
              </w:rPr>
            </w:pPr>
          </w:p>
        </w:tc>
      </w:tr>
      <w:tr>
        <w:trPr>
          <w:trHeight w:val="165"/>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4"/>
          </w:tcPr>
          <w:p>
            <w:pPr>
              <w:jc w:val="center"/>
              <w:ind w:right="354"/>
              <w:spacing w:after="0"/>
              <w:rPr>
                <w:sz w:val="20"/>
                <w:szCs w:val="20"/>
                <w:color w:val="auto"/>
              </w:rPr>
            </w:pPr>
            <w:r>
              <w:rPr>
                <w:rFonts w:ascii="Arial" w:cs="Arial" w:eastAsia="Arial" w:hAnsi="Arial"/>
                <w:sz w:val="13"/>
                <w:szCs w:val="13"/>
                <w:b w:val="1"/>
                <w:bCs w:val="1"/>
                <w:color w:val="auto"/>
                <w:w w:val="89"/>
              </w:rPr>
              <w:t>(Dollars 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58.9</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87"/>
              </w:rPr>
              <w:t>9.8</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left="434"/>
              <w:spacing w:after="0"/>
              <w:rPr>
                <w:sz w:val="20"/>
                <w:szCs w:val="20"/>
                <w:color w:val="auto"/>
              </w:rPr>
            </w:pPr>
            <w:r>
              <w:rPr>
                <w:rFonts w:ascii="Arial" w:cs="Arial" w:eastAsia="Arial" w:hAnsi="Arial"/>
                <w:sz w:val="18"/>
                <w:szCs w:val="18"/>
                <w:color w:val="auto"/>
                <w:w w:val="87"/>
              </w:rPr>
              <w:t>9.4</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95"/>
              </w:rPr>
              <w:t>(30)%</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87"/>
              </w:rPr>
              <w:t>0.7</w:t>
            </w:r>
          </w:p>
        </w:tc>
        <w:tc>
          <w:tcPr>
            <w:tcW w:w="12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4"/>
              <w:spacing w:after="0"/>
              <w:rPr>
                <w:sz w:val="20"/>
                <w:szCs w:val="20"/>
                <w:color w:val="auto"/>
              </w:rPr>
            </w:pPr>
            <w:r>
              <w:rPr>
                <w:rFonts w:ascii="Arial" w:cs="Arial" w:eastAsia="Arial" w:hAnsi="Arial"/>
                <w:sz w:val="18"/>
                <w:szCs w:val="18"/>
                <w:color w:val="auto"/>
                <w:w w:val="87"/>
              </w:rPr>
              <w:t>0.1</w:t>
            </w:r>
          </w:p>
        </w:tc>
        <w:tc>
          <w:tcPr>
            <w:tcW w:w="120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414"/>
              <w:spacing w:after="0"/>
              <w:rPr>
                <w:sz w:val="20"/>
                <w:szCs w:val="20"/>
                <w:color w:val="auto"/>
              </w:rPr>
            </w:pPr>
            <w:r>
              <w:rPr>
                <w:rFonts w:ascii="Arial" w:cs="Arial" w:eastAsia="Arial" w:hAnsi="Arial"/>
                <w:sz w:val="18"/>
                <w:szCs w:val="18"/>
                <w:color w:val="auto"/>
                <w:w w:val="97"/>
              </w:rPr>
              <w:t>(0.4)</w:t>
            </w:r>
          </w:p>
        </w:tc>
        <w:tc>
          <w:tcPr>
            <w:tcW w:w="120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4"/>
              </w:rPr>
              <w:t>(5)%</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13 %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17 %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firstLine="445"/>
        <w:spacing w:after="0" w:line="235"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$9.8 million, or 20%, comparing the three months ended January 31, 2022 to the same period in 2021,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$8.7 million increase in volumes, including a recovery from prior year COVID-19 impacts, and $1.7 million of base price increases partially offset by $0.6 million of foreign currency rate changes.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The cost of sales increased $9.4 million, or 30%, for the three months ended January 31, 2022 compared to the same period in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of sales increased primarily due to higher volumes during the period as well as the inflation of raw materials.</w:t>
      </w:r>
    </w:p>
    <w:p>
      <w:pPr>
        <w:spacing w:after="0" w:line="14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$0.7 million, or 11%,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31, 2022 compared to the same period in 2021. The increase is primarily due to higher compensation, general expenses and foreign currency impacts year-over-year.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2"/>
              </w:rPr>
              <w:t>Three Months Ended January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 Change</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c>
          <w:tcPr>
            <w:tcW w:w="0" w:type="dxa"/>
            <w:vAlign w:val="bottom"/>
          </w:tcPr>
          <w:p>
            <w:pPr>
              <w:spacing w:after="0"/>
              <w:rPr>
                <w:sz w:val="1"/>
                <w:szCs w:val="1"/>
                <w:color w:val="auto"/>
              </w:rPr>
            </w:pPr>
          </w:p>
        </w:tc>
      </w:tr>
      <w:tr>
        <w:trPr>
          <w:trHeight w:val="165"/>
        </w:trPr>
        <w:tc>
          <w:tcPr>
            <w:tcW w:w="6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20" w:type="dxa"/>
            <w:vAlign w:val="bottom"/>
            <w:gridSpan w:val="4"/>
          </w:tcPr>
          <w:p>
            <w:pPr>
              <w:jc w:val="center"/>
              <w:ind w:right="354"/>
              <w:spacing w:after="0"/>
              <w:rPr>
                <w:sz w:val="20"/>
                <w:szCs w:val="20"/>
                <w:color w:val="auto"/>
              </w:rPr>
            </w:pPr>
            <w:r>
              <w:rPr>
                <w:rFonts w:ascii="Arial" w:cs="Arial" w:eastAsia="Arial" w:hAnsi="Arial"/>
                <w:sz w:val="13"/>
                <w:szCs w:val="13"/>
                <w:b w:val="1"/>
                <w:bCs w:val="1"/>
                <w:color w:val="auto"/>
                <w:w w:val="89"/>
              </w:rPr>
              <w:t>(Dollars 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62.4</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87"/>
              </w:rPr>
              <w:t>8.4</w:t>
            </w:r>
          </w:p>
        </w:tc>
        <w:tc>
          <w:tcPr>
            <w:tcW w:w="12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4"/>
              </w:rPr>
              <w:t>16%</w:t>
            </w:r>
          </w:p>
        </w:tc>
        <w:tc>
          <w:tcPr>
            <w:tcW w:w="0" w:type="dxa"/>
            <w:vAlign w:val="bottom"/>
          </w:tcPr>
          <w:p>
            <w:pPr>
              <w:spacing w:after="0"/>
              <w:rPr>
                <w:sz w:val="1"/>
                <w:szCs w:val="1"/>
                <w:color w:val="auto"/>
              </w:rPr>
            </w:pPr>
          </w:p>
        </w:tc>
      </w:tr>
      <w:tr>
        <w:trPr>
          <w:trHeight w:val="230"/>
        </w:trPr>
        <w:tc>
          <w:tcPr>
            <w:tcW w:w="62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300" w:type="dxa"/>
            <w:vAlign w:val="bottom"/>
          </w:tcPr>
          <w:p>
            <w:pPr>
              <w:spacing w:after="0"/>
              <w:rPr>
                <w:sz w:val="19"/>
                <w:szCs w:val="19"/>
                <w:color w:val="auto"/>
              </w:rPr>
            </w:pPr>
          </w:p>
        </w:tc>
        <w:tc>
          <w:tcPr>
            <w:tcW w:w="940" w:type="dxa"/>
            <w:vAlign w:val="bottom"/>
          </w:tcPr>
          <w:p>
            <w:pPr>
              <w:jc w:val="right"/>
              <w:ind w:right="133"/>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left="434"/>
              <w:spacing w:after="0"/>
              <w:rPr>
                <w:sz w:val="20"/>
                <w:szCs w:val="20"/>
                <w:color w:val="auto"/>
              </w:rPr>
            </w:pPr>
            <w:r>
              <w:rPr>
                <w:rFonts w:ascii="Arial" w:cs="Arial" w:eastAsia="Arial" w:hAnsi="Arial"/>
                <w:sz w:val="18"/>
                <w:szCs w:val="18"/>
                <w:color w:val="auto"/>
                <w:w w:val="87"/>
              </w:rPr>
              <w:t>9.1</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4"/>
              <w:spacing w:after="0"/>
              <w:rPr>
                <w:sz w:val="20"/>
                <w:szCs w:val="20"/>
                <w:color w:val="auto"/>
              </w:rPr>
            </w:pPr>
            <w:r>
              <w:rPr>
                <w:rFonts w:ascii="Arial" w:cs="Arial" w:eastAsia="Arial" w:hAnsi="Arial"/>
                <w:sz w:val="18"/>
                <w:szCs w:val="18"/>
                <w:color w:val="auto"/>
                <w:w w:val="87"/>
              </w:rPr>
              <w:t>0.3</w:t>
            </w:r>
          </w:p>
        </w:tc>
        <w:tc>
          <w:tcPr>
            <w:tcW w:w="12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4"/>
              <w:spacing w:after="0"/>
              <w:rPr>
                <w:sz w:val="20"/>
                <w:szCs w:val="20"/>
                <w:color w:val="auto"/>
              </w:rPr>
            </w:pPr>
            <w:r>
              <w:rPr>
                <w:rFonts w:ascii="Arial" w:cs="Arial" w:eastAsia="Arial" w:hAnsi="Arial"/>
                <w:sz w:val="18"/>
                <w:szCs w:val="18"/>
                <w:color w:val="auto"/>
                <w:w w:val="87"/>
              </w:rPr>
              <w:t>0.2</w:t>
            </w:r>
          </w:p>
        </w:tc>
        <w:tc>
          <w:tcPr>
            <w:tcW w:w="120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4"/>
              </w:rPr>
              <w:t>(6)%</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414"/>
              <w:spacing w:after="0"/>
              <w:rPr>
                <w:sz w:val="20"/>
                <w:szCs w:val="20"/>
                <w:color w:val="auto"/>
              </w:rPr>
            </w:pPr>
            <w:r>
              <w:rPr>
                <w:rFonts w:ascii="Arial" w:cs="Arial" w:eastAsia="Arial" w:hAnsi="Arial"/>
                <w:sz w:val="18"/>
                <w:szCs w:val="18"/>
                <w:color w:val="auto"/>
                <w:w w:val="97"/>
              </w:rPr>
              <w:t>(1.2)</w:t>
            </w:r>
          </w:p>
        </w:tc>
        <w:tc>
          <w:tcPr>
            <w:tcW w:w="120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3"/>
              </w:rPr>
              <w:t>(1,200)%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loss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4" w:lineRule="exact"/>
              <w:rPr>
                <w:sz w:val="20"/>
                <w:szCs w:val="20"/>
                <w:color w:val="auto"/>
              </w:rPr>
            </w:pPr>
            <w:r>
              <w:rPr>
                <w:rFonts w:ascii="Arial" w:cs="Arial" w:eastAsia="Arial" w:hAnsi="Arial"/>
                <w:sz w:val="18"/>
                <w:szCs w:val="18"/>
                <w:color w:val="auto"/>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increased $8.4 million, or 16%, for the three months ended January 31, 2022 compared to the same period in 2021,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$14.3 million increase in price and raw material indexes partially offset by $6.0 million decrease in volumes.</w:t>
      </w:r>
    </w:p>
    <w:p>
      <w:pPr>
        <w:spacing w:after="0" w:line="89"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Cost of Sales</w:t>
      </w:r>
      <w:r>
        <w:rPr>
          <w:rFonts w:ascii="Arial" w:cs="Arial" w:eastAsia="Arial" w:hAnsi="Arial"/>
          <w:sz w:val="17"/>
          <w:szCs w:val="17"/>
          <w:color w:val="auto"/>
        </w:rPr>
        <w:t>. Cost of sales increased $9.1 million, or 20%, for the three months ended January 31, 2022 compared with the same period in 2021,</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as a result of higher volumes and lumber price inflation, which are recovered on a lag, partially offset by a decrease in volumes.</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increased $0.3 million, or 6%,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31, 2022 compared to the same period in 2021 due to an increase in general expenses year-over-year.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31"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Three Months Ended January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 Change</w:t>
            </w:r>
          </w:p>
        </w:tc>
        <w:tc>
          <w:tcPr>
            <w:tcW w:w="12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3"/>
                <w:szCs w:val="13"/>
                <w:b w:val="1"/>
                <w:bCs w:val="1"/>
                <w:color w:val="auto"/>
              </w:rPr>
              <w:t>Variance %</w:t>
            </w:r>
          </w:p>
        </w:tc>
      </w:tr>
      <w:tr>
        <w:trPr>
          <w:trHeight w:val="165"/>
        </w:trPr>
        <w:tc>
          <w:tcPr>
            <w:tcW w:w="6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34"/>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4"/>
                <w:szCs w:val="14"/>
                <w:color w:val="auto"/>
              </w:rPr>
            </w:pPr>
          </w:p>
        </w:tc>
      </w:tr>
      <w:tr>
        <w:trPr>
          <w:trHeight w:val="23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91"/>
              </w:rPr>
              <w:t>(1.1)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4"/>
              </w:rPr>
              <w:t>18%</w:t>
            </w:r>
          </w:p>
        </w:tc>
      </w:tr>
      <w:tr>
        <w:trPr>
          <w:trHeight w:val="230"/>
        </w:trPr>
        <w:tc>
          <w:tcPr>
            <w:tcW w:w="6480" w:type="dxa"/>
            <w:vAlign w:val="bottom"/>
          </w:tcPr>
          <w:p>
            <w:pPr>
              <w:ind w:left="100"/>
              <w:spacing w:after="0"/>
              <w:rPr>
                <w:sz w:val="20"/>
                <w:szCs w:val="20"/>
                <w:color w:val="auto"/>
              </w:rPr>
            </w:pPr>
            <w:r>
              <w:rPr>
                <w:rFonts w:ascii="Arial" w:cs="Arial" w:eastAsia="Arial" w:hAnsi="Arial"/>
                <w:sz w:val="18"/>
                <w:szCs w:val="18"/>
                <w:color w:val="auto"/>
              </w:rPr>
              <w:t>Cost of sales (excluding depreciation and amortization)</w:t>
            </w:r>
          </w:p>
        </w:tc>
        <w:tc>
          <w:tcPr>
            <w:tcW w:w="7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center"/>
              <w:ind w:left="376"/>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1220" w:type="dxa"/>
            <w:vAlign w:val="bottom"/>
          </w:tcPr>
          <w:p>
            <w:pPr>
              <w:jc w:val="center"/>
              <w:ind w:left="34"/>
              <w:spacing w:after="0"/>
              <w:rPr>
                <w:sz w:val="20"/>
                <w:szCs w:val="20"/>
                <w:color w:val="auto"/>
              </w:rPr>
            </w:pPr>
            <w:r>
              <w:rPr>
                <w:rFonts w:ascii="Arial" w:cs="Arial" w:eastAsia="Arial" w:hAnsi="Arial"/>
                <w:sz w:val="18"/>
                <w:szCs w:val="18"/>
                <w:color w:val="auto"/>
                <w:w w:val="95"/>
              </w:rPr>
              <w:t>(43)%</w:t>
            </w:r>
          </w:p>
        </w:tc>
      </w:tr>
      <w:tr>
        <w:trPr>
          <w:trHeight w:val="229"/>
        </w:trPr>
        <w:tc>
          <w:tcPr>
            <w:tcW w:w="6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16"/>
              <w:spacing w:after="0"/>
              <w:rPr>
                <w:sz w:val="20"/>
                <w:szCs w:val="20"/>
                <w:color w:val="auto"/>
              </w:rPr>
            </w:pPr>
            <w:r>
              <w:rPr>
                <w:rFonts w:ascii="Arial" w:cs="Arial" w:eastAsia="Arial" w:hAnsi="Arial"/>
                <w:sz w:val="18"/>
                <w:szCs w:val="18"/>
                <w:color w:val="auto"/>
                <w:w w:val="87"/>
              </w:rPr>
              <w:t>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2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5"/>
              </w:rPr>
              <w:t>(44)%</w:t>
            </w:r>
          </w:p>
        </w:tc>
      </w:tr>
      <w:tr>
        <w:trPr>
          <w:trHeight w:val="229"/>
        </w:trPr>
        <w:tc>
          <w:tcPr>
            <w:tcW w:w="6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16"/>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center"/>
              <w:ind w:left="34"/>
              <w:spacing w:after="0"/>
              <w:rPr>
                <w:sz w:val="20"/>
                <w:szCs w:val="20"/>
                <w:color w:val="auto"/>
              </w:rPr>
            </w:pPr>
            <w:r>
              <w:rPr>
                <w:rFonts w:ascii="Arial" w:cs="Arial" w:eastAsia="Arial" w:hAnsi="Arial"/>
                <w:sz w:val="18"/>
                <w:szCs w:val="18"/>
                <w:color w:val="auto"/>
                <w:w w:val="99"/>
              </w:rPr>
              <w:t>—%</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center"/>
              <w:ind w:left="376"/>
              <w:spacing w:after="0"/>
              <w:rPr>
                <w:sz w:val="20"/>
                <w:szCs w:val="20"/>
                <w:color w:val="auto"/>
              </w:rPr>
            </w:pPr>
            <w:r>
              <w:rPr>
                <w:rFonts w:ascii="Arial" w:cs="Arial" w:eastAsia="Arial" w:hAnsi="Arial"/>
                <w:sz w:val="18"/>
                <w:szCs w:val="18"/>
                <w:color w:val="auto"/>
                <w:w w:val="91"/>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2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4"/>
              </w:rPr>
              <w:t>40%</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three months ended January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2021.</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p>
    <w:p>
      <w:pPr>
        <w:spacing w:after="0" w:line="19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decreased $3.1 million, or 44%,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31, 2022 compared to the same period in 2021. This decrease is attributable to $2.3 million of decreased compensation expense related to the valuations of our stock based compensation awards during the three months ended January 31, 2022 as compared to the prior year period. Additionally, we recorded a $1.4 million loss on the sale of a plant during the three months ended January 31, 2021, for which we did not have a comparable expense in the corresponding three months ended January 31, 2022. These decreases were partially offset by an increase in medical expenses of $0.5 million due to higher claims activity year over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10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$0.2 million for the three months ended January 31, 2022 compared to the same period in 2021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borrowings outstanding during the period and lower interest rates.</w:t>
      </w:r>
    </w:p>
    <w:p>
      <w:pPr>
        <w:spacing w:after="0" w:line="103"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recorded income tax</w:t>
      </w:r>
      <w:r>
        <w:rPr>
          <w:rFonts w:ascii="Arial" w:cs="Arial" w:eastAsia="Arial" w:hAnsi="Arial"/>
          <w:sz w:val="16"/>
          <w:szCs w:val="16"/>
          <w:i w:val="1"/>
          <w:iCs w:val="1"/>
          <w:color w:val="auto"/>
        </w:rPr>
        <w:t xml:space="preserve"> </w:t>
      </w:r>
      <w:r>
        <w:rPr>
          <w:rFonts w:ascii="Arial" w:cs="Arial" w:eastAsia="Arial" w:hAnsi="Arial"/>
          <w:sz w:val="14"/>
          <w:szCs w:val="14"/>
          <w:color w:val="auto"/>
        </w:rPr>
        <w:t>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$2.4 million on pre-tax</w:t>
      </w:r>
      <w:r>
        <w:rPr>
          <w:rFonts w:ascii="Arial" w:cs="Arial" w:eastAsia="Arial" w:hAnsi="Arial"/>
          <w:sz w:val="16"/>
          <w:szCs w:val="16"/>
          <w:i w:val="1"/>
          <w:iCs w:val="1"/>
          <w:color w:val="auto"/>
        </w:rPr>
        <w:t xml:space="preserve"> </w:t>
      </w:r>
      <w:r>
        <w:rPr>
          <w:rFonts w:ascii="Arial" w:cs="Arial" w:eastAsia="Arial" w:hAnsi="Arial"/>
          <w:sz w:val="14"/>
          <w:szCs w:val="14"/>
          <w:color w:val="auto"/>
        </w:rPr>
        <w:t>income</w:t>
      </w:r>
      <w:r>
        <w:rPr>
          <w:rFonts w:ascii="Arial" w:cs="Arial" w:eastAsia="Arial" w:hAnsi="Arial"/>
          <w:sz w:val="16"/>
          <w:szCs w:val="16"/>
          <w:i w:val="1"/>
          <w:iCs w:val="1"/>
          <w:color w:val="auto"/>
        </w:rPr>
        <w:t xml:space="preserve"> </w:t>
      </w:r>
      <w:r>
        <w:rPr>
          <w:rFonts w:ascii="Arial" w:cs="Arial" w:eastAsia="Arial" w:hAnsi="Arial"/>
          <w:sz w:val="16"/>
          <w:szCs w:val="16"/>
          <w:color w:val="auto"/>
        </w:rPr>
        <w:t>of $13.6 million for the three months ended January 31, 2022,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rate of 17.7%, and income tax </w:t>
      </w:r>
      <w:r>
        <w:rPr>
          <w:rFonts w:ascii="Arial" w:cs="Arial" w:eastAsia="Arial" w:hAnsi="Arial"/>
          <w:sz w:val="14"/>
          <w:szCs w:val="14"/>
          <w:color w:val="auto"/>
        </w:rPr>
        <w:t>expense</w:t>
      </w:r>
      <w:r>
        <w:rPr>
          <w:rFonts w:ascii="Arial" w:cs="Arial" w:eastAsia="Arial" w:hAnsi="Arial"/>
          <w:sz w:val="16"/>
          <w:szCs w:val="16"/>
          <w:color w:val="auto"/>
        </w:rPr>
        <w:t xml:space="preserve"> of $3.4 million on a pre-tax income of $11.3 million for the three months ended January 31, 2021, an</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effective rate of 30.4%. The $1.0 million decrease in income tax expense year-over-year was primarily driven by the benefit from the vesting or exercise of equity-based compensation awards.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Historically, our principal sources of funds have been cash on hand, cash flow from operations, and borrowings under our credit facilities.</w:t>
      </w:r>
    </w:p>
    <w:p>
      <w:pPr>
        <w:spacing w:after="0" w:line="16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maintain a $325.0 million revolving credit facility (the Credit Facility) that matures in 2023 (5-year term) and requires interest payments calculated at a variable market rate depending upon our Consolidated Leverage Ratio. The applicable rate during the three months ended January 31, 2022 was LIBOR + 1.25%. Our cost of capital could increase depending upon the Consolidated Leverage Ratio at the end of any given quarter.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$0.5 million straight-line over the remaining term of the facility. For further details of the Credit Facility, refer to Note 4, “Debt and Finance Lease Obligations” to the accompanying unaudited condensed consolidated financial statements contained elsewhere herein.</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January 31, 2022, we had $31.7 million of cash and equivalents, $63.0 million outstanding under the Credit Facility, $4.5 million of outstanding letters of credit and $15.0 million outstanding under finance leases and other debt. We had $257.5 million available for use under the Credit Facility at January 31, 2022.</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2021, our Board of Directors approved a stock repurchase program that authorized the repurchase of up to $75.0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repatriated $1.2 million and $1.0 million of foreign cash during the three months ended January 31, 2022 and 2021, respectively. We expect to repatriate excess cash moving forward and use the funds to retire debt or meet current working capital needs. In the U.K., we insure against a portion of our credit losses. We believe our business model, our current cash reserves and the recent steps we have taken to strengthen our balance sheet leave us well-positioned to manage our business and remain in compliance with our debt covenants.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three months ended January 31, 2022 and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6"/>
                <w:szCs w:val="16"/>
                <w:color w:val="auto"/>
              </w:rPr>
            </w:pPr>
          </w:p>
        </w:tc>
      </w:tr>
      <w:tr>
        <w:trPr>
          <w:trHeight w:val="195"/>
        </w:trPr>
        <w:tc>
          <w:tcPr>
            <w:tcW w:w="79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January 31,</w:t>
            </w:r>
          </w:p>
        </w:tc>
        <w:tc>
          <w:tcPr>
            <w:tcW w:w="940" w:type="dxa"/>
            <w:vAlign w:val="bottom"/>
            <w:tcBorders>
              <w:bottom w:val="single" w:sz="8" w:color="auto"/>
            </w:tcBorders>
          </w:tcPr>
          <w:p>
            <w:pPr>
              <w:spacing w:after="0"/>
              <w:rPr>
                <w:sz w:val="16"/>
                <w:szCs w:val="16"/>
                <w:color w:val="auto"/>
              </w:rPr>
            </w:pPr>
          </w:p>
        </w:tc>
      </w:tr>
      <w:tr>
        <w:trPr>
          <w:trHeight w:val="187"/>
        </w:trPr>
        <w:tc>
          <w:tcPr>
            <w:tcW w:w="79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6"/>
              </w:rPr>
              <w:t>2021</w:t>
            </w:r>
          </w:p>
        </w:tc>
      </w:tr>
      <w:tr>
        <w:trPr>
          <w:trHeight w:val="183"/>
        </w:trPr>
        <w:tc>
          <w:tcPr>
            <w:tcW w:w="7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40" w:type="dxa"/>
            <w:vAlign w:val="bottom"/>
          </w:tcPr>
          <w:p>
            <w:pPr>
              <w:spacing w:after="0"/>
              <w:rPr>
                <w:sz w:val="15"/>
                <w:szCs w:val="15"/>
                <w:color w:val="auto"/>
              </w:rPr>
            </w:pPr>
          </w:p>
        </w:tc>
      </w:tr>
      <w:tr>
        <w:trPr>
          <w:trHeight w:val="23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operating activities</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(21.7)</w:t>
            </w:r>
          </w:p>
        </w:tc>
        <w:tc>
          <w:tcPr>
            <w:tcW w:w="7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9"/>
              <w:spacing w:after="0"/>
              <w:rPr>
                <w:sz w:val="20"/>
                <w:szCs w:val="20"/>
                <w:color w:val="auto"/>
              </w:rPr>
            </w:pPr>
            <w:r>
              <w:rPr>
                <w:rFonts w:ascii="Arial" w:cs="Arial" w:eastAsia="Arial" w:hAnsi="Arial"/>
                <w:sz w:val="18"/>
                <w:szCs w:val="18"/>
                <w:color w:val="auto"/>
              </w:rPr>
              <w:t>(7.4)</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for) financing activities</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20.9</w:t>
            </w:r>
          </w:p>
        </w:tc>
        <w:tc>
          <w:tcPr>
            <w:tcW w:w="7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bl>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used for operating activities for the three months ended January 31, 2022 increased $18.3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January 31, 2021. The increase in cash used for operating activities is primarily due to an increase in working capital partially offset by higher net income year-over-year due to increased demand. The increase in working capital was largely driven by an inventory build and raw material price inflation and a higher payout of accrued incentives.</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increased $2.2 million for the three months ended January 31, 2022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2021, primarily as a result an increase in capital expenditures.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$20.9 million for the three months ended January 31, 2022, which included $24.8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net debt borrowings partially offset by $2.6 million of dividends paid to our shareholders and $1.4 million of payroll tax paid to settle shares forfeited upon vesting of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three months ended January 31, 2022 and 2021, we repatriated $1.2 million and $1.0 million, respectively, of foreign earnings from our foreign locations. We maintain cash balances in foreign countries which total $9.0 million as of January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a description of our critical accounting policies and estimates, see our Annual Report on Form 10-K for the fiscal year ended October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have not changed materially during the three months ended January 31, 2022.</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standards setting bodies that we adopt as of the specified effective date. We did not adopt any new accounting pronouncements during the three months ended January 31, 2022. As of January 31, 2022, we believe the impact of any recently issued standards that are not yet effective are either not applicable to us at this time or will not have a material impact on our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January 31, 2022, a hypothetical 1.0% increase or decrease in interest rates could result in approximately $0.6 million of additional pretax charges or credit to our net income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6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corresponding foreign currency derivatives recorded on the Condensed Consolidated Balance Sheet as of October 31, 2021 or January 31, 2022.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To the extent the gain or loss on the derivative instrument offsets the gain or loss from the re-measurement of the underlying foreign currency balance, changes in exchange rates should have no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120"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 commodities in our business that are not covered by contractual surcharges or adjusters for which pricing can fluctuate, including PVC compound micro ingredients, silicone and other inputs. Further discussion of our industry risks is included within our Annual Report on Form 10-K for the fiscal year ended October 31, 2021.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January 31, 2022. Based on that evaluation, the Chief Executive Officer and Chief Financial Officer concluded that, as of January 31, 2022, the disclosure controls and procedures are effective.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Arial" w:cs="Arial" w:eastAsia="Arial" w:hAnsi="Arial"/>
          <w:sz w:val="18"/>
          <w:szCs w:val="18"/>
          <w:color w:val="auto"/>
        </w:rPr>
        <w:t>Date: March 4, 2022</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42348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Scott M. Zuehlke</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 Chief Financial Officer &amp; Treasurer</w:t>
      </w:r>
    </w:p>
    <w:p>
      <w:pPr>
        <w:jc w:val="center"/>
        <w:ind w:right="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 INDEX</w:t>
      </w:r>
    </w:p>
    <w:p>
      <w:pPr>
        <w:spacing w:after="0" w:line="238"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640"/>
        <w:spacing w:after="0"/>
        <w:rPr>
          <w:rFonts w:ascii="Arial" w:cs="Arial" w:eastAsia="Arial" w:hAnsi="Arial"/>
          <w:sz w:val="15"/>
          <w:szCs w:val="15"/>
          <w:u w:val="single" w:color="auto"/>
          <w:color w:val="0000FF"/>
        </w:rPr>
      </w:pPr>
      <w:hyperlink r:id="rId65">
        <w:r>
          <w:rPr>
            <w:rFonts w:ascii="Arial" w:cs="Arial" w:eastAsia="Arial" w:hAnsi="Arial"/>
            <w:sz w:val="15"/>
            <w:szCs w:val="15"/>
            <w:u w:val="single" w:color="auto"/>
            <w:color w:val="0000FF"/>
          </w:rPr>
          <w:t>3.1</w:t>
        </w:r>
      </w:hyperlink>
    </w:p>
    <w:p>
      <w:pPr>
        <w:spacing w:after="0" w:line="200" w:lineRule="exact"/>
        <w:rPr>
          <w:sz w:val="20"/>
          <w:szCs w:val="20"/>
          <w:color w:val="auto"/>
        </w:rPr>
      </w:pPr>
    </w:p>
    <w:p>
      <w:pPr>
        <w:spacing w:after="0" w:line="262" w:lineRule="exact"/>
        <w:rPr>
          <w:sz w:val="20"/>
          <w:szCs w:val="20"/>
          <w:color w:val="auto"/>
        </w:rPr>
      </w:pPr>
    </w:p>
    <w:p>
      <w:pPr>
        <w:ind w:left="640"/>
        <w:spacing w:after="0"/>
        <w:rPr>
          <w:rFonts w:ascii="Arial" w:cs="Arial" w:eastAsia="Arial" w:hAnsi="Arial"/>
          <w:sz w:val="15"/>
          <w:szCs w:val="15"/>
          <w:u w:val="single" w:color="auto"/>
          <w:color w:val="0000FF"/>
        </w:rPr>
      </w:pPr>
      <w:hyperlink r:id="rId66">
        <w:r>
          <w:rPr>
            <w:rFonts w:ascii="Arial" w:cs="Arial" w:eastAsia="Arial" w:hAnsi="Arial"/>
            <w:sz w:val="15"/>
            <w:szCs w:val="15"/>
            <w:u w:val="single" w:color="auto"/>
            <w:color w:val="0000FF"/>
          </w:rPr>
          <w:t>3.2</w:t>
        </w:r>
      </w:hyperlink>
    </w:p>
    <w:p>
      <w:pPr>
        <w:spacing w:after="0" w:line="200" w:lineRule="exact"/>
        <w:rPr>
          <w:sz w:val="20"/>
          <w:szCs w:val="20"/>
          <w:color w:val="auto"/>
        </w:rPr>
      </w:pPr>
    </w:p>
    <w:p>
      <w:pPr>
        <w:spacing w:after="0" w:line="262" w:lineRule="exact"/>
        <w:rPr>
          <w:sz w:val="20"/>
          <w:szCs w:val="20"/>
          <w:color w:val="auto"/>
        </w:rPr>
      </w:pPr>
    </w:p>
    <w:p>
      <w:pPr>
        <w:ind w:left="640"/>
        <w:spacing w:after="0"/>
        <w:rPr>
          <w:rFonts w:ascii="Arial" w:cs="Arial" w:eastAsia="Arial" w:hAnsi="Arial"/>
          <w:sz w:val="15"/>
          <w:szCs w:val="15"/>
          <w:u w:val="single" w:color="auto"/>
          <w:color w:val="0000FF"/>
        </w:rPr>
      </w:pPr>
      <w:hyperlink r:id="rId67">
        <w:r>
          <w:rPr>
            <w:rFonts w:ascii="Arial" w:cs="Arial" w:eastAsia="Arial" w:hAnsi="Arial"/>
            <w:sz w:val="15"/>
            <w:szCs w:val="15"/>
            <w:u w:val="single" w:color="auto"/>
            <w:color w:val="0000FF"/>
          </w:rPr>
          <w:t>4.1</w:t>
        </w:r>
      </w:hyperlink>
    </w:p>
    <w:p>
      <w:pPr>
        <w:spacing w:after="0" w:line="200" w:lineRule="exact"/>
        <w:rPr>
          <w:sz w:val="20"/>
          <w:szCs w:val="20"/>
          <w:color w:val="auto"/>
        </w:rPr>
      </w:pPr>
    </w:p>
    <w:p>
      <w:pPr>
        <w:spacing w:after="0" w:line="262" w:lineRule="exact"/>
        <w:rPr>
          <w:sz w:val="20"/>
          <w:szCs w:val="20"/>
          <w:color w:val="auto"/>
        </w:rPr>
      </w:pPr>
    </w:p>
    <w:p>
      <w:pPr>
        <w:ind w:left="640"/>
        <w:spacing w:after="0"/>
        <w:rPr>
          <w:rFonts w:ascii="Arial" w:cs="Arial" w:eastAsia="Arial" w:hAnsi="Arial"/>
          <w:sz w:val="15"/>
          <w:szCs w:val="15"/>
          <w:u w:val="single" w:color="auto"/>
          <w:color w:val="0000FF"/>
        </w:rPr>
      </w:pPr>
      <w:hyperlink r:id="rId68">
        <w:r>
          <w:rPr>
            <w:rFonts w:ascii="Arial" w:cs="Arial" w:eastAsia="Arial" w:hAnsi="Arial"/>
            <w:sz w:val="15"/>
            <w:szCs w:val="15"/>
            <w:u w:val="single" w:color="auto"/>
            <w:color w:val="0000FF"/>
          </w:rPr>
          <w:t>4.2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both"/>
        <w:ind w:right="1480"/>
        <w:spacing w:after="0" w:line="224" w:lineRule="auto"/>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Restated Certificate of Incorporation of the Registrant dated as of March 4, 2016, filed as Exhibit 3.1 of the</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Registrant’s Current Report on Form 8-K (Reg. No. 001-33913) as filed with the Securities and Exchange</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Commission on March 7, 2016, and incorporated herein by reference.</w:t>
        </w:r>
      </w:hyperlink>
    </w:p>
    <w:p>
      <w:pPr>
        <w:spacing w:after="0" w:line="55" w:lineRule="exact"/>
        <w:rPr>
          <w:rFonts w:ascii="Arial" w:cs="Arial" w:eastAsia="Arial" w:hAnsi="Arial"/>
          <w:sz w:val="18"/>
          <w:szCs w:val="18"/>
          <w:u w:val="single" w:color="auto"/>
          <w:color w:val="0000FF"/>
        </w:rPr>
      </w:pPr>
    </w:p>
    <w:p>
      <w:pPr>
        <w:jc w:val="both"/>
        <w:ind w:right="1480"/>
        <w:spacing w:after="0" w:line="224"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Fourth Amended and Restated Bylaws of the Registrant dated as of February 27, 2020, filed as Exhibit 3.2 of the</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Registrant's Quarterly Report on Form 10-Q (Reg. No. 001-33913) for the quarter ended January 31, 2020, and</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jc w:val="both"/>
        <w:ind w:right="1460"/>
        <w:spacing w:after="0" w:line="224" w:lineRule="auto"/>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Form of Registrant’s Common Stock certificate, filed as Exhibit 4.1 of Amendment No. 1 to the Registrant’s</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Registration Statement on Form 10 (Reg. No. 001-33913) as filed with the Securities and Exchange Commission</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on February 14, 2008, and incorporated herein by reference.</w:t>
        </w:r>
      </w:hyperlink>
    </w:p>
    <w:p>
      <w:pPr>
        <w:spacing w:after="0" w:line="149" w:lineRule="exact"/>
        <w:rPr>
          <w:rFonts w:ascii="Arial" w:cs="Arial" w:eastAsia="Arial" w:hAnsi="Arial"/>
          <w:sz w:val="18"/>
          <w:szCs w:val="18"/>
          <w:u w:val="single" w:color="auto"/>
          <w:color w:val="0000FF"/>
        </w:rPr>
      </w:pPr>
    </w:p>
    <w:p>
      <w:pPr>
        <w:jc w:val="both"/>
        <w:ind w:right="1460"/>
        <w:spacing w:after="0" w:line="219" w:lineRule="auto"/>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Credit Agreement dated as of October 18, 2018, by and among the Company; the lenders party thereto; and</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Wells Fargo Bank, National Association, as Agent; filed as Exhibit 10.1 of the Registrant's Current Report on</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Form 8-K (Reg. No. 001-33913) as filed with the Securities and Exchange Commission on October 18, 2018,</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and incorporated herein by reference.</w:t>
        </w:r>
      </w:hyperlink>
    </w:p>
    <w:p>
      <w:pPr>
        <w:spacing w:after="0" w:line="118" w:lineRule="exact"/>
        <w:rPr>
          <w:rFonts w:ascii="Arial" w:cs="Arial" w:eastAsia="Arial" w:hAnsi="Arial"/>
          <w:sz w:val="18"/>
          <w:szCs w:val="18"/>
          <w:u w:val="single" w:color="auto"/>
          <w:color w:val="0000FF"/>
        </w:rPr>
      </w:pPr>
    </w:p>
    <w:p>
      <w:pPr>
        <w:sectPr>
          <w:pgSz w:w="11900" w:h="16838" w:orient="portrait"/>
          <w:cols w:equalWidth="0" w:num="2">
            <w:col w:w="900" w:space="720"/>
            <w:col w:w="96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60" w:type="dxa"/>
            <w:vAlign w:val="bottom"/>
            <w:gridSpan w:val="4"/>
          </w:tcPr>
          <w:p>
            <w:pPr>
              <w:jc w:val="center"/>
              <w:ind w:left="450"/>
              <w:spacing w:after="0"/>
              <w:rPr>
                <w:rFonts w:ascii="Arial" w:cs="Arial" w:eastAsia="Arial" w:hAnsi="Arial"/>
                <w:sz w:val="18"/>
                <w:szCs w:val="18"/>
                <w:color w:val="0000FF"/>
                <w:w w:val="87"/>
              </w:rPr>
            </w:pPr>
            <w:hyperlink r:id="rId6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660" w:type="dxa"/>
            <w:vAlign w:val="bottom"/>
          </w:tcPr>
          <w:p>
            <w:pPr>
              <w:spacing w:after="0"/>
              <w:rPr>
                <w:sz w:val="17"/>
                <w:szCs w:val="17"/>
                <w:color w:val="auto"/>
              </w:rPr>
            </w:pPr>
          </w:p>
        </w:tc>
        <w:tc>
          <w:tcPr>
            <w:tcW w:w="8260" w:type="dxa"/>
            <w:vAlign w:val="bottom"/>
            <w:gridSpan w:val="11"/>
          </w:tcPr>
          <w:p>
            <w:pPr>
              <w:spacing w:after="0"/>
              <w:rPr>
                <w:rFonts w:ascii="Arial" w:cs="Arial" w:eastAsia="Arial" w:hAnsi="Arial"/>
                <w:sz w:val="18"/>
                <w:szCs w:val="18"/>
                <w:color w:val="0000FF"/>
                <w:w w:val="93"/>
              </w:rPr>
            </w:pPr>
            <w:hyperlink r:id="rId69">
              <w:r>
                <w:rPr>
                  <w:rFonts w:ascii="Arial" w:cs="Arial" w:eastAsia="Arial" w:hAnsi="Arial"/>
                  <w:sz w:val="18"/>
                  <w:szCs w:val="18"/>
                  <w:color w:val="0000FF"/>
                  <w:w w:val="93"/>
                </w:rPr>
                <w:t>Amendment No. 1 to Amended and Restated Credit Agreement, by and among the Company; the lenders party</w:t>
              </w:r>
            </w:hyperlink>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4"/>
              </w:rPr>
            </w:pPr>
            <w:hyperlink r:id="rId69">
              <w:r>
                <w:rPr>
                  <w:rFonts w:ascii="Arial" w:cs="Arial" w:eastAsia="Arial" w:hAnsi="Arial"/>
                  <w:sz w:val="18"/>
                  <w:szCs w:val="18"/>
                  <w:color w:val="0000FF"/>
                  <w:w w:val="94"/>
                </w:rPr>
                <w:t>thereto; and Wells Fargo Bank, National Association, as Agent (portions redacted). filed as Exhibit 4.3 of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40" w:type="dxa"/>
            <w:vAlign w:val="bottom"/>
            <w:gridSpan w:val="10"/>
          </w:tcPr>
          <w:p>
            <w:pPr>
              <w:spacing w:after="0" w:line="156" w:lineRule="exact"/>
              <w:rPr>
                <w:rFonts w:ascii="Arial" w:cs="Arial" w:eastAsia="Arial" w:hAnsi="Arial"/>
                <w:sz w:val="18"/>
                <w:szCs w:val="18"/>
                <w:color w:val="0000FF"/>
                <w:w w:val="96"/>
              </w:rPr>
            </w:pPr>
            <w:hyperlink r:id="rId69">
              <w:r>
                <w:rPr>
                  <w:rFonts w:ascii="Arial" w:cs="Arial" w:eastAsia="Arial" w:hAnsi="Arial"/>
                  <w:sz w:val="18"/>
                  <w:szCs w:val="18"/>
                  <w:color w:val="0000FF"/>
                  <w:w w:val="96"/>
                </w:rPr>
                <w:t>Registrant's Quarterly Report on Form 10-Q (Reg. No. 001-33913) for the quarter ended July 31, 2020, and</w:t>
              </w:r>
            </w:hyperlink>
          </w:p>
        </w:tc>
        <w:tc>
          <w:tcPr>
            <w:tcW w:w="20" w:type="dxa"/>
            <w:vAlign w:val="bottom"/>
          </w:tcPr>
          <w:p>
            <w:pPr>
              <w:spacing w:after="0"/>
              <w:rPr>
                <w:sz w:val="13"/>
                <w:szCs w:val="13"/>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2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incorporated herein by reference</w:t>
              </w:r>
              <w:r>
                <w:rPr>
                  <w:rFonts w:ascii="Arial" w:cs="Arial" w:eastAsia="Arial" w:hAnsi="Arial"/>
                  <w:sz w:val="18"/>
                  <w:szCs w:val="18"/>
                  <w:color w:val="000000"/>
                </w:rPr>
                <w:t>.</w:t>
              </w:r>
            </w:hyperlink>
          </w:p>
        </w:tc>
        <w:tc>
          <w:tcPr>
            <w:tcW w:w="40" w:type="dxa"/>
            <w:vAlign w:val="bottom"/>
            <w:gridSpan w:val="2"/>
          </w:tcPr>
          <w:p>
            <w:pPr>
              <w:spacing w:after="0"/>
              <w:rPr>
                <w:sz w:val="13"/>
                <w:szCs w:val="13"/>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960" w:type="dxa"/>
            <w:vAlign w:val="bottom"/>
            <w:gridSpan w:val="4"/>
          </w:tcPr>
          <w:p>
            <w:pPr>
              <w:jc w:val="center"/>
              <w:ind w:left="450"/>
              <w:spacing w:after="0"/>
              <w:rPr>
                <w:rFonts w:ascii="Arial" w:cs="Arial" w:eastAsia="Arial" w:hAnsi="Arial"/>
                <w:sz w:val="18"/>
                <w:szCs w:val="18"/>
                <w:color w:val="0000FF"/>
                <w:w w:val="87"/>
              </w:rPr>
            </w:pPr>
            <w:hyperlink r:id="rId7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660" w:type="dxa"/>
            <w:vAlign w:val="bottom"/>
          </w:tcPr>
          <w:p>
            <w:pPr>
              <w:spacing w:after="0"/>
              <w:rPr>
                <w:sz w:val="22"/>
                <w:szCs w:val="22"/>
                <w:color w:val="auto"/>
              </w:rPr>
            </w:pPr>
          </w:p>
        </w:tc>
        <w:tc>
          <w:tcPr>
            <w:tcW w:w="8260" w:type="dxa"/>
            <w:vAlign w:val="bottom"/>
            <w:gridSpan w:val="11"/>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Amendment No. 2 to Amended and Restated Credit Agreement dated as of December 28, 2021 by and among</w:t>
              </w:r>
            </w:hyperlink>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6"/>
              </w:rPr>
            </w:pPr>
            <w:hyperlink r:id="rId70">
              <w:r>
                <w:rPr>
                  <w:rFonts w:ascii="Arial" w:cs="Arial" w:eastAsia="Arial" w:hAnsi="Arial"/>
                  <w:sz w:val="18"/>
                  <w:szCs w:val="18"/>
                  <w:color w:val="0000FF"/>
                  <w:w w:val="96"/>
                </w:rPr>
                <w:t>Quanex Building Products Corporation, the lenders thereto and Wells Fargo Bank, National Association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0" w:type="dxa"/>
            <w:vAlign w:val="bottom"/>
            <w:gridSpan w:val="8"/>
          </w:tcPr>
          <w:p>
            <w:pPr>
              <w:spacing w:after="0" w:line="156" w:lineRule="exact"/>
              <w:rPr>
                <w:rFonts w:ascii="Arial" w:cs="Arial" w:eastAsia="Arial" w:hAnsi="Arial"/>
                <w:sz w:val="18"/>
                <w:szCs w:val="18"/>
                <w:color w:val="0000FF"/>
                <w:w w:val="94"/>
              </w:rPr>
            </w:pPr>
            <w:hyperlink r:id="rId70">
              <w:r>
                <w:rPr>
                  <w:rFonts w:ascii="Arial" w:cs="Arial" w:eastAsia="Arial" w:hAnsi="Arial"/>
                  <w:sz w:val="18"/>
                  <w:szCs w:val="18"/>
                  <w:color w:val="0000FF"/>
                  <w:w w:val="94"/>
                </w:rPr>
                <w:t>Agent, filed as Exhibit 10.1 of the Registrant's Current Report on Form 8-K (Reg. No. 001-33913) as filed with</w:t>
              </w:r>
            </w:hyperlink>
          </w:p>
        </w:tc>
        <w:tc>
          <w:tcPr>
            <w:tcW w:w="60" w:type="dxa"/>
            <w:vAlign w:val="bottom"/>
            <w:gridSpan w:val="3"/>
          </w:tcPr>
          <w:p>
            <w:pPr>
              <w:spacing w:after="0"/>
              <w:rPr>
                <w:sz w:val="13"/>
                <w:szCs w:val="13"/>
                <w:color w:val="auto"/>
              </w:rPr>
            </w:pPr>
          </w:p>
        </w:tc>
      </w:tr>
      <w:tr>
        <w:trPr>
          <w:trHeight w:val="156"/>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1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70">
              <w:r>
                <w:rPr>
                  <w:rFonts w:ascii="Arial" w:cs="Arial" w:eastAsia="Arial" w:hAnsi="Arial"/>
                  <w:sz w:val="18"/>
                  <w:szCs w:val="18"/>
                  <w:color w:val="0000FF"/>
                </w:rPr>
                <w:t>the Securities and Exchange Commission on January 3. 2022, and incorporated herein by reference.</w:t>
              </w:r>
            </w:hyperlink>
          </w:p>
        </w:tc>
        <w:tc>
          <w:tcPr>
            <w:tcW w:w="80" w:type="dxa"/>
            <w:vAlign w:val="bottom"/>
            <w:gridSpan w:val="4"/>
          </w:tcPr>
          <w:p>
            <w:pPr>
              <w:spacing w:after="0"/>
              <w:rPr>
                <w:sz w:val="13"/>
                <w:szCs w:val="13"/>
                <w:color w:val="auto"/>
              </w:rPr>
            </w:pPr>
          </w:p>
        </w:tc>
      </w:tr>
      <w:tr>
        <w:trPr>
          <w:trHeight w:val="263"/>
        </w:trPr>
        <w:tc>
          <w:tcPr>
            <w:tcW w:w="960" w:type="dxa"/>
            <w:vAlign w:val="bottom"/>
            <w:gridSpan w:val="4"/>
          </w:tcPr>
          <w:p>
            <w:pPr>
              <w:jc w:val="center"/>
              <w:ind w:left="470"/>
              <w:spacing w:after="0"/>
              <w:rPr>
                <w:rFonts w:ascii="Arial" w:cs="Arial" w:eastAsia="Arial" w:hAnsi="Arial"/>
                <w:sz w:val="18"/>
                <w:szCs w:val="18"/>
                <w:color w:val="0000FF"/>
                <w:w w:val="95"/>
              </w:rPr>
            </w:pPr>
            <w:hyperlink w:anchor="page37">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660" w:type="dxa"/>
            <w:vAlign w:val="bottom"/>
          </w:tcPr>
          <w:p>
            <w:pPr>
              <w:spacing w:after="0"/>
              <w:rPr>
                <w:sz w:val="22"/>
                <w:szCs w:val="22"/>
                <w:color w:val="auto"/>
              </w:rPr>
            </w:pPr>
          </w:p>
        </w:tc>
        <w:tc>
          <w:tcPr>
            <w:tcW w:w="7180" w:type="dxa"/>
            <w:vAlign w:val="bottom"/>
            <w:tcBorders>
              <w:top w:val="single" w:sz="8" w:color="0000FF"/>
            </w:tcBorders>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Certification by chief executive officer pursuant to Rule 13a-14(a)/15d-14(a).</w:t>
              </w:r>
            </w:hyperlink>
          </w:p>
        </w:tc>
        <w:tc>
          <w:tcPr>
            <w:tcW w:w="1080" w:type="dxa"/>
            <w:vAlign w:val="bottom"/>
            <w:gridSpan w:val="7"/>
          </w:tcPr>
          <w:p>
            <w:pPr>
              <w:spacing w:after="0"/>
              <w:rPr>
                <w:sz w:val="22"/>
                <w:szCs w:val="22"/>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8"/>
          </w:tcPr>
          <w:p>
            <w:pPr>
              <w:spacing w:after="0" w:line="20" w:lineRule="exact"/>
              <w:rPr>
                <w:sz w:val="1"/>
                <w:szCs w:val="1"/>
                <w:color w:val="auto"/>
              </w:rPr>
            </w:pPr>
          </w:p>
        </w:tc>
      </w:tr>
      <w:tr>
        <w:trPr>
          <w:trHeight w:val="264"/>
        </w:trPr>
        <w:tc>
          <w:tcPr>
            <w:tcW w:w="960" w:type="dxa"/>
            <w:vAlign w:val="bottom"/>
            <w:gridSpan w:val="4"/>
          </w:tcPr>
          <w:p>
            <w:pPr>
              <w:jc w:val="center"/>
              <w:ind w:left="470"/>
              <w:spacing w:after="0"/>
              <w:rPr>
                <w:rFonts w:ascii="Arial" w:cs="Arial" w:eastAsia="Arial" w:hAnsi="Arial"/>
                <w:sz w:val="18"/>
                <w:szCs w:val="18"/>
                <w:color w:val="0000FF"/>
                <w:w w:val="95"/>
              </w:rPr>
            </w:pPr>
            <w:hyperlink w:anchor="page38">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660" w:type="dxa"/>
            <w:vAlign w:val="bottom"/>
          </w:tcPr>
          <w:p>
            <w:pPr>
              <w:spacing w:after="0"/>
              <w:rPr>
                <w:sz w:val="22"/>
                <w:szCs w:val="22"/>
                <w:color w:val="auto"/>
              </w:rPr>
            </w:pPr>
          </w:p>
        </w:tc>
        <w:tc>
          <w:tcPr>
            <w:tcW w:w="558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38">
              <w:r>
                <w:rPr>
                  <w:rFonts w:ascii="Arial" w:cs="Arial" w:eastAsia="Arial" w:hAnsi="Arial"/>
                  <w:sz w:val="18"/>
                  <w:szCs w:val="18"/>
                  <w:color w:val="0000FF"/>
                  <w:w w:val="93"/>
                </w:rPr>
                <w:t>Certification by chief financial officer pursuant to Rule 13a-14(a)/15d-14(a).</w:t>
              </w:r>
            </w:hyperlink>
          </w:p>
        </w:tc>
        <w:tc>
          <w:tcPr>
            <w:tcW w:w="2680" w:type="dxa"/>
            <w:vAlign w:val="bottom"/>
            <w:gridSpan w:val="8"/>
          </w:tcPr>
          <w:p>
            <w:pPr>
              <w:spacing w:after="0"/>
              <w:rPr>
                <w:sz w:val="22"/>
                <w:szCs w:val="22"/>
                <w:color w:val="auto"/>
              </w:rPr>
            </w:pPr>
          </w:p>
        </w:tc>
      </w:tr>
      <w:tr>
        <w:trPr>
          <w:trHeight w:val="263"/>
        </w:trPr>
        <w:tc>
          <w:tcPr>
            <w:tcW w:w="960" w:type="dxa"/>
            <w:vAlign w:val="bottom"/>
            <w:gridSpan w:val="4"/>
          </w:tcPr>
          <w:p>
            <w:pPr>
              <w:jc w:val="center"/>
              <w:ind w:left="470"/>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*32.</w:t>
              </w:r>
              <w:r>
                <w:rPr>
                  <w:rFonts w:ascii="Arial" w:cs="Arial" w:eastAsia="Arial" w:hAnsi="Arial"/>
                  <w:sz w:val="18"/>
                  <w:szCs w:val="18"/>
                  <w:u w:val="single" w:color="auto"/>
                  <w:color w:val="0000FF"/>
                  <w:w w:val="95"/>
                </w:rPr>
                <w:t>1</w:t>
              </w:r>
            </w:hyperlink>
          </w:p>
        </w:tc>
        <w:tc>
          <w:tcPr>
            <w:tcW w:w="660" w:type="dxa"/>
            <w:vAlign w:val="bottom"/>
          </w:tcPr>
          <w:p>
            <w:pPr>
              <w:spacing w:after="0"/>
              <w:rPr>
                <w:sz w:val="22"/>
                <w:szCs w:val="22"/>
                <w:color w:val="auto"/>
              </w:rPr>
            </w:pPr>
          </w:p>
        </w:tc>
        <w:tc>
          <w:tcPr>
            <w:tcW w:w="8260" w:type="dxa"/>
            <w:vAlign w:val="bottom"/>
            <w:gridSpan w:val="1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pursuant to Section 906 of the Sarbanes-Oxley Act of 2002.</w:t>
              </w:r>
            </w:hyperlink>
          </w:p>
        </w:tc>
      </w:tr>
      <w:tr>
        <w:trPr>
          <w:trHeight w:val="20"/>
        </w:trPr>
        <w:tc>
          <w:tcPr>
            <w:tcW w:w="1620" w:type="dxa"/>
            <w:vAlign w:val="bottom"/>
            <w:gridSpan w:val="5"/>
          </w:tcPr>
          <w:p>
            <w:pPr>
              <w:spacing w:after="0" w:line="20" w:lineRule="exact"/>
              <w:rPr>
                <w:sz w:val="1"/>
                <w:szCs w:val="1"/>
                <w:color w:val="auto"/>
              </w:rPr>
            </w:pPr>
          </w:p>
        </w:tc>
        <w:tc>
          <w:tcPr>
            <w:tcW w:w="5260" w:type="dxa"/>
            <w:vAlign w:val="bottom"/>
            <w:gridSpan w:val="2"/>
            <w:shd w:val="clear" w:color="auto" w:fill="0000FF"/>
          </w:tcPr>
          <w:p>
            <w:pPr>
              <w:spacing w:after="0" w:line="20" w:lineRule="exact"/>
              <w:rPr>
                <w:sz w:val="1"/>
                <w:szCs w:val="1"/>
                <w:color w:val="auto"/>
              </w:rPr>
            </w:pPr>
          </w:p>
        </w:tc>
        <w:tc>
          <w:tcPr>
            <w:tcW w:w="3000" w:type="dxa"/>
            <w:vAlign w:val="bottom"/>
            <w:gridSpan w:val="9"/>
          </w:tcPr>
          <w:p>
            <w:pPr>
              <w:spacing w:after="0" w:line="20" w:lineRule="exact"/>
              <w:rPr>
                <w:sz w:val="1"/>
                <w:szCs w:val="1"/>
                <w:color w:val="auto"/>
              </w:rPr>
            </w:pPr>
          </w:p>
        </w:tc>
      </w:tr>
      <w:tr>
        <w:trPr>
          <w:trHeight w:val="250"/>
        </w:trPr>
        <w:tc>
          <w:tcPr>
            <w:tcW w:w="1620" w:type="dxa"/>
            <w:vAlign w:val="bottom"/>
            <w:gridSpan w:val="5"/>
          </w:tcPr>
          <w:p>
            <w:pPr>
              <w:jc w:val="center"/>
              <w:ind w:right="120"/>
              <w:spacing w:after="0"/>
              <w:rPr>
                <w:sz w:val="20"/>
                <w:szCs w:val="20"/>
                <w:color w:val="auto"/>
              </w:rPr>
            </w:pPr>
            <w:r>
              <w:rPr>
                <w:rFonts w:ascii="Arial" w:cs="Arial" w:eastAsia="Arial" w:hAnsi="Arial"/>
                <w:sz w:val="18"/>
                <w:szCs w:val="18"/>
                <w:color w:val="auto"/>
                <w:w w:val="97"/>
              </w:rPr>
              <w:t>*101.INS</w:t>
            </w:r>
          </w:p>
        </w:tc>
        <w:tc>
          <w:tcPr>
            <w:tcW w:w="8260" w:type="dxa"/>
            <w:vAlign w:val="bottom"/>
            <w:gridSpan w:val="11"/>
          </w:tcPr>
          <w:p>
            <w:pPr>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60" w:type="dxa"/>
            <w:vAlign w:val="bottom"/>
            <w:gridSpan w:val="11"/>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83"/>
        </w:trPr>
        <w:tc>
          <w:tcPr>
            <w:tcW w:w="1620" w:type="dxa"/>
            <w:vAlign w:val="bottom"/>
            <w:gridSpan w:val="5"/>
          </w:tcPr>
          <w:p>
            <w:pPr>
              <w:jc w:val="center"/>
              <w:ind w:right="100"/>
              <w:spacing w:after="0"/>
              <w:rPr>
                <w:sz w:val="20"/>
                <w:szCs w:val="20"/>
                <w:color w:val="auto"/>
              </w:rPr>
            </w:pPr>
            <w:r>
              <w:rPr>
                <w:rFonts w:ascii="Arial" w:cs="Arial" w:eastAsia="Arial" w:hAnsi="Arial"/>
                <w:sz w:val="18"/>
                <w:szCs w:val="18"/>
                <w:color w:val="auto"/>
                <w:w w:val="94"/>
              </w:rPr>
              <w:t>*101.SCH</w:t>
            </w:r>
          </w:p>
        </w:tc>
        <w:tc>
          <w:tcPr>
            <w:tcW w:w="826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620" w:type="dxa"/>
            <w:vAlign w:val="bottom"/>
            <w:gridSpan w:val="5"/>
          </w:tcPr>
          <w:p>
            <w:pPr>
              <w:jc w:val="center"/>
              <w:ind w:right="100"/>
              <w:spacing w:after="0"/>
              <w:rPr>
                <w:sz w:val="20"/>
                <w:szCs w:val="20"/>
                <w:color w:val="auto"/>
              </w:rPr>
            </w:pPr>
            <w:r>
              <w:rPr>
                <w:rFonts w:ascii="Arial" w:cs="Arial" w:eastAsia="Arial" w:hAnsi="Arial"/>
                <w:sz w:val="18"/>
                <w:szCs w:val="18"/>
                <w:color w:val="auto"/>
                <w:w w:val="98"/>
              </w:rPr>
              <w:t>*101.CAL</w:t>
            </w:r>
          </w:p>
        </w:tc>
        <w:tc>
          <w:tcPr>
            <w:tcW w:w="82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162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*101.DEF</w:t>
            </w:r>
          </w:p>
        </w:tc>
        <w:tc>
          <w:tcPr>
            <w:tcW w:w="82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620" w:type="dxa"/>
            <w:vAlign w:val="bottom"/>
            <w:gridSpan w:val="5"/>
          </w:tcPr>
          <w:p>
            <w:pPr>
              <w:jc w:val="center"/>
              <w:ind w:right="100"/>
              <w:spacing w:after="0"/>
              <w:rPr>
                <w:sz w:val="20"/>
                <w:szCs w:val="20"/>
                <w:color w:val="auto"/>
              </w:rPr>
            </w:pPr>
            <w:r>
              <w:rPr>
                <w:rFonts w:ascii="Arial" w:cs="Arial" w:eastAsia="Arial" w:hAnsi="Arial"/>
                <w:sz w:val="18"/>
                <w:szCs w:val="18"/>
                <w:color w:val="auto"/>
                <w:w w:val="99"/>
              </w:rPr>
              <w:t>*101.LAB</w:t>
            </w:r>
          </w:p>
        </w:tc>
        <w:tc>
          <w:tcPr>
            <w:tcW w:w="82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3"/>
        </w:trPr>
        <w:tc>
          <w:tcPr>
            <w:tcW w:w="1620" w:type="dxa"/>
            <w:vAlign w:val="bottom"/>
            <w:gridSpan w:val="5"/>
          </w:tcPr>
          <w:p>
            <w:pPr>
              <w:jc w:val="center"/>
              <w:ind w:right="120"/>
              <w:spacing w:after="0"/>
              <w:rPr>
                <w:sz w:val="20"/>
                <w:szCs w:val="20"/>
                <w:color w:val="auto"/>
              </w:rPr>
            </w:pPr>
            <w:r>
              <w:rPr>
                <w:rFonts w:ascii="Arial" w:cs="Arial" w:eastAsia="Arial" w:hAnsi="Arial"/>
                <w:sz w:val="18"/>
                <w:szCs w:val="18"/>
                <w:color w:val="auto"/>
                <w:w w:val="93"/>
              </w:rPr>
              <w:t>*101.PRE</w:t>
            </w:r>
          </w:p>
        </w:tc>
        <w:tc>
          <w:tcPr>
            <w:tcW w:w="82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27"/>
        </w:trPr>
        <w:tc>
          <w:tcPr>
            <w:tcW w:w="1620" w:type="dxa"/>
            <w:vAlign w:val="bottom"/>
            <w:gridSpan w:val="5"/>
          </w:tcPr>
          <w:p>
            <w:pPr>
              <w:spacing w:after="0"/>
              <w:rPr>
                <w:sz w:val="20"/>
                <w:szCs w:val="20"/>
                <w:color w:val="auto"/>
              </w:rPr>
            </w:pPr>
            <w:r>
              <w:rPr>
                <w:rFonts w:ascii="Arial" w:cs="Arial" w:eastAsia="Arial" w:hAnsi="Arial"/>
                <w:sz w:val="18"/>
                <w:szCs w:val="18"/>
                <w:color w:val="auto"/>
              </w:rPr>
              <w:t>* Filed herewith</w:t>
            </w:r>
          </w:p>
        </w:tc>
        <w:tc>
          <w:tcPr>
            <w:tcW w:w="2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March 4, 2022</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L. Wilson</w:t>
      </w:r>
    </w:p>
    <w:p>
      <w:pPr>
        <w:ind w:left="40"/>
        <w:spacing w:after="0" w:line="203" w:lineRule="auto"/>
        <w:rPr>
          <w:sz w:val="20"/>
          <w:szCs w:val="20"/>
          <w:color w:val="auto"/>
        </w:rPr>
      </w:pPr>
      <w:r>
        <w:rPr>
          <w:rFonts w:ascii="Arial" w:cs="Arial" w:eastAsia="Arial" w:hAnsi="Arial"/>
          <w:sz w:val="18"/>
          <w:szCs w:val="18"/>
          <w:color w:val="auto"/>
        </w:rPr>
        <w:t>President and Chief Executive Officer</w:t>
      </w: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March 4, 2022</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ind w:left="40"/>
        <w:spacing w:after="0" w:line="203" w:lineRule="auto"/>
        <w:rPr>
          <w:sz w:val="20"/>
          <w:szCs w:val="20"/>
          <w:color w:val="auto"/>
        </w:rPr>
      </w:pPr>
      <w:r>
        <w:rPr>
          <w:rFonts w:ascii="Arial" w:cs="Arial" w:eastAsia="Arial" w:hAnsi="Arial"/>
          <w:sz w:val="18"/>
          <w:szCs w:val="18"/>
          <w:color w:val="auto"/>
        </w:rPr>
        <w:t>Senior Vice President - Chief Financial Officer and Treasurer</w:t>
      </w: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hereby certify that the accompanying Quarterly Report on Form 10-Q of Quanex Building Products Corporation for the quarter ended January 31, 2022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March 4,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 George L. Wilson</w:t>
            </w: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Scott M. Zuehlke</w:t>
            </w:r>
          </w:p>
        </w:tc>
      </w:tr>
      <w:tr>
        <w:trPr>
          <w:trHeight w:val="176"/>
        </w:trPr>
        <w:tc>
          <w:tcPr>
            <w:tcW w:w="5840" w:type="dxa"/>
            <w:vAlign w:val="bottom"/>
            <w:gridSpan w:val="2"/>
          </w:tcPr>
          <w:p>
            <w:pPr>
              <w:jc w:val="center"/>
              <w:ind w:right="420"/>
              <w:spacing w:after="0" w:line="176" w:lineRule="exact"/>
              <w:rPr>
                <w:sz w:val="20"/>
                <w:szCs w:val="20"/>
                <w:color w:val="auto"/>
              </w:rPr>
            </w:pPr>
            <w:r>
              <w:rPr>
                <w:rFonts w:ascii="Arial" w:cs="Arial" w:eastAsia="Arial" w:hAnsi="Arial"/>
                <w:sz w:val="18"/>
                <w:szCs w:val="18"/>
                <w:i w:val="1"/>
                <w:iCs w:val="1"/>
                <w:color w:val="auto"/>
                <w:w w:val="91"/>
              </w:rPr>
              <w:t>President and Chief Executive Officer</w:t>
            </w:r>
          </w:p>
        </w:tc>
        <w:tc>
          <w:tcPr>
            <w:tcW w:w="54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Senior Vice President—Chief Financial Officer and Treasurer</w:t>
            </w:r>
          </w:p>
        </w:tc>
      </w:t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4"/>
              </w:rPr>
              <w:t>(Principal Executive Officer)</w:t>
            </w: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65" Type="http://schemas.openxmlformats.org/officeDocument/2006/relationships/hyperlink" Target="http://www.sec.gov/Archives/edgar/data/1423221/000119312516495257/d156158dex31.htm" TargetMode="External"/><Relationship Id="rId66" Type="http://schemas.openxmlformats.org/officeDocument/2006/relationships/hyperlink" Target="http://www.sec.gov/Archives/edgar/data/1423221/000142322120000005/nx01312020ex32.htm" TargetMode="External"/><Relationship Id="rId67" Type="http://schemas.openxmlformats.org/officeDocument/2006/relationships/hyperlink" Target="http://www.sec.gov/Archives/edgar/data/1423221/000095012908000988/h52992a1exv4w1.htm" TargetMode="External"/><Relationship Id="rId68" Type="http://schemas.openxmlformats.org/officeDocument/2006/relationships/hyperlink" Target="http://www.sec.gov/Archives/edgar/data/1423221/000119312518302063/d637291dex101.htm" TargetMode="External"/><Relationship Id="rId69" Type="http://schemas.openxmlformats.org/officeDocument/2006/relationships/hyperlink" Target="http://www.sec.gov/Archives/edgar/data/1423221/000142322120000016/exhibit43.htm" TargetMode="External"/><Relationship Id="rId70" Type="http://schemas.openxmlformats.org/officeDocument/2006/relationships/hyperlink" Target="http://www.sec.gov/Archives/edgar/data/1423221/000110465922000403/tm213668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2022-03-04T15:10:43Z</dcterms:created>
  <dcterms:modified xsi:type="dcterms:W3CDTF">2022-03-04T15:10:43Z</dcterms:modified>
</cp:coreProperties>
</file>