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448945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414655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5"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40" w:lineRule="exact"/>
        <w:rPr>
          <w:sz w:val="24"/>
          <w:szCs w:val="24"/>
          <w:color w:val="auto"/>
        </w:rPr>
      </w:pPr>
    </w:p>
    <w:p>
      <w:pPr>
        <w:ind w:left="680" w:hanging="449"/>
        <w:spacing w:after="0"/>
        <w:tabs>
          <w:tab w:leader="none" w:pos="68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April 30, 2022</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4" w:lineRule="exact"/>
        <w:rPr>
          <w:sz w:val="24"/>
          <w:szCs w:val="24"/>
          <w:color w:val="auto"/>
        </w:rPr>
      </w:pPr>
    </w:p>
    <w:p>
      <w:pPr>
        <w:ind w:left="680" w:hanging="429"/>
        <w:spacing w:after="0"/>
        <w:tabs>
          <w:tab w:leader="none" w:pos="68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23" w:lineRule="exact"/>
        <w:rPr>
          <w:sz w:val="24"/>
          <w:szCs w:val="24"/>
          <w:color w:val="auto"/>
        </w:rPr>
      </w:pPr>
    </w:p>
    <w:p>
      <w:pPr>
        <w:ind w:left="384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1-33913</w:t>
      </w:r>
    </w:p>
    <w:p>
      <w:pPr>
        <w:spacing w:after="0" w:line="9"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QUANEX BUILDING PRODUCTS CORPORATION</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115" w:lineRule="exact"/>
        <w:rPr>
          <w:sz w:val="24"/>
          <w:szCs w:val="24"/>
          <w:color w:val="auto"/>
        </w:rPr>
      </w:pPr>
    </w:p>
    <w:p>
      <w:pPr>
        <w:ind w:left="2460"/>
        <w:spacing w:after="0"/>
        <w:tabs>
          <w:tab w:leader="none" w:pos="8040" w:val="left"/>
        </w:tabs>
        <w:rPr>
          <w:sz w:val="20"/>
          <w:szCs w:val="20"/>
          <w:color w:val="auto"/>
        </w:rPr>
      </w:pPr>
      <w:r>
        <w:rPr>
          <w:rFonts w:ascii="Times New Roman" w:cs="Times New Roman" w:eastAsia="Times New Roman" w:hAnsi="Times New Roman"/>
          <w:sz w:val="16"/>
          <w:szCs w:val="16"/>
          <w:b w:val="1"/>
          <w:bCs w:val="1"/>
          <w:color w:val="auto"/>
        </w:rPr>
        <w:t>Delaware</w:t>
      </w:r>
      <w:r>
        <w:rPr>
          <w:sz w:val="20"/>
          <w:szCs w:val="20"/>
          <w:color w:val="auto"/>
        </w:rPr>
        <w:tab/>
      </w:r>
      <w:r>
        <w:rPr>
          <w:rFonts w:ascii="Times New Roman" w:cs="Times New Roman" w:eastAsia="Times New Roman" w:hAnsi="Times New Roman"/>
          <w:sz w:val="16"/>
          <w:szCs w:val="16"/>
          <w:b w:val="1"/>
          <w:bCs w:val="1"/>
          <w:color w:val="auto"/>
        </w:rPr>
        <w:t>26-1561397</w:t>
      </w:r>
    </w:p>
    <w:p>
      <w:pPr>
        <w:spacing w:after="0" w:line="28" w:lineRule="exact"/>
        <w:rPr>
          <w:sz w:val="24"/>
          <w:szCs w:val="24"/>
          <w:color w:val="auto"/>
        </w:rPr>
      </w:pPr>
    </w:p>
    <w:p>
      <w:pPr>
        <w:ind w:left="1900"/>
        <w:spacing w:after="0"/>
        <w:tabs>
          <w:tab w:leader="none" w:pos="7900" w:val="left"/>
        </w:tabs>
        <w:rPr>
          <w:sz w:val="20"/>
          <w:szCs w:val="20"/>
          <w:color w:val="auto"/>
        </w:rPr>
      </w:pPr>
      <w:r>
        <w:rPr>
          <w:rFonts w:ascii="Times New Roman" w:cs="Times New Roman" w:eastAsia="Times New Roman" w:hAnsi="Times New Roman"/>
          <w:sz w:val="14"/>
          <w:szCs w:val="14"/>
          <w:b w:val="1"/>
          <w:bCs w:val="1"/>
          <w:color w:val="auto"/>
        </w:rPr>
        <w:t>(State or other jurisdiction of</w:t>
      </w:r>
      <w:r>
        <w:rPr>
          <w:sz w:val="20"/>
          <w:szCs w:val="20"/>
          <w:color w:val="auto"/>
        </w:rPr>
        <w:tab/>
      </w:r>
      <w:r>
        <w:rPr>
          <w:rFonts w:ascii="Times New Roman" w:cs="Times New Roman" w:eastAsia="Times New Roman" w:hAnsi="Times New Roman"/>
          <w:sz w:val="14"/>
          <w:szCs w:val="14"/>
          <w:b w:val="1"/>
          <w:bCs w:val="1"/>
          <w:color w:val="auto"/>
        </w:rPr>
        <w:t>(I.R.S. Employer</w:t>
      </w:r>
    </w:p>
    <w:p>
      <w:pPr>
        <w:ind w:left="1860"/>
        <w:spacing w:after="0"/>
        <w:tabs>
          <w:tab w:leader="none" w:pos="7860" w:val="left"/>
        </w:tabs>
        <w:rPr>
          <w:sz w:val="20"/>
          <w:szCs w:val="20"/>
          <w:color w:val="auto"/>
        </w:rPr>
      </w:pPr>
      <w:r>
        <w:rPr>
          <w:rFonts w:ascii="Times New Roman" w:cs="Times New Roman" w:eastAsia="Times New Roman" w:hAnsi="Times New Roman"/>
          <w:sz w:val="14"/>
          <w:szCs w:val="14"/>
          <w:b w:val="1"/>
          <w:bCs w:val="1"/>
          <w:color w:val="auto"/>
        </w:rPr>
        <w:t>incorporation or organization)</w:t>
      </w:r>
      <w:r>
        <w:rPr>
          <w:sz w:val="20"/>
          <w:szCs w:val="20"/>
          <w:color w:val="auto"/>
        </w:rPr>
        <w:tab/>
      </w:r>
      <w:r>
        <w:rPr>
          <w:rFonts w:ascii="Times New Roman" w:cs="Times New Roman" w:eastAsia="Times New Roman" w:hAnsi="Times New Roman"/>
          <w:sz w:val="14"/>
          <w:szCs w:val="14"/>
          <w:b w:val="1"/>
          <w:bCs w:val="1"/>
          <w:color w:val="auto"/>
        </w:rPr>
        <w:t>Identification No.)</w:t>
      </w: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1800 West Loop South, Suite 1500, Houston, Texas 77027</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 961-4600</w:t>
      </w:r>
    </w:p>
    <w:p>
      <w:pPr>
        <w:spacing w:after="0" w:line="19"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05" w:lineRule="exact"/>
        <w:rPr>
          <w:sz w:val="24"/>
          <w:szCs w:val="24"/>
          <w:color w:val="auto"/>
        </w:rPr>
      </w:pPr>
    </w:p>
    <w:tbl>
      <w:tblPr>
        <w:tblLayout w:type="fixed"/>
        <w:tblInd w:w="560" w:type="dxa"/>
        <w:tblCellMar>
          <w:top w:w="0" w:type="dxa"/>
          <w:left w:w="0" w:type="dxa"/>
          <w:bottom w:w="0" w:type="dxa"/>
          <w:right w:w="0" w:type="dxa"/>
        </w:tblCellMar>
      </w:tblPr>
      <w:tr>
        <w:trPr>
          <w:trHeight w:val="161"/>
        </w:trPr>
        <w:tc>
          <w:tcPr>
            <w:tcW w:w="98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780" w:type="dxa"/>
            <w:vAlign w:val="bottom"/>
            <w:gridSpan w:val="2"/>
          </w:tcPr>
          <w:p>
            <w:pPr>
              <w:jc w:val="center"/>
              <w:ind w:right="16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64"/>
        </w:trPr>
        <w:tc>
          <w:tcPr>
            <w:tcW w:w="388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860" w:type="dxa"/>
            <w:vAlign w:val="bottom"/>
          </w:tcPr>
          <w:p>
            <w:pPr>
              <w:spacing w:after="0"/>
              <w:rPr>
                <w:sz w:val="22"/>
                <w:szCs w:val="22"/>
                <w:color w:val="auto"/>
              </w:rPr>
            </w:pPr>
          </w:p>
        </w:tc>
        <w:tc>
          <w:tcPr>
            <w:tcW w:w="2780" w:type="dxa"/>
            <w:vAlign w:val="bottom"/>
            <w:gridSpan w:val="2"/>
          </w:tcPr>
          <w:p>
            <w:pPr>
              <w:jc w:val="center"/>
              <w:ind w:right="1640"/>
              <w:spacing w:after="0"/>
              <w:rPr>
                <w:sz w:val="20"/>
                <w:szCs w:val="20"/>
                <w:color w:val="auto"/>
              </w:rPr>
            </w:pPr>
            <w:r>
              <w:rPr>
                <w:rFonts w:ascii="Times New Roman" w:cs="Times New Roman" w:eastAsia="Times New Roman" w:hAnsi="Times New Roman"/>
                <w:sz w:val="18"/>
                <w:szCs w:val="18"/>
                <w:color w:val="auto"/>
                <w:w w:val="99"/>
              </w:rPr>
              <w:t>NX</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30"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1"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781" w:right="339" w:bottom="1440" w:gutter="0" w:footer="0" w:header="0"/>
        </w:sectPr>
      </w:pPr>
    </w:p>
    <w:p>
      <w:pPr>
        <w:spacing w:after="0" w:line="66" w:lineRule="exact"/>
        <w:rPr>
          <w:sz w:val="24"/>
          <w:szCs w:val="24"/>
          <w:color w:val="auto"/>
        </w:rPr>
      </w:pPr>
    </w:p>
    <w:p>
      <w:pPr>
        <w:ind w:left="40"/>
        <w:spacing w:after="0" w:line="207" w:lineRule="exact"/>
        <w:tabs>
          <w:tab w:leader="none" w:pos="2660" w:val="left"/>
          <w:tab w:leader="none" w:pos="820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Accelerated filer</w:t>
      </w:r>
    </w:p>
    <w:p>
      <w:pPr>
        <w:spacing w:after="0" w:line="65" w:lineRule="exact"/>
        <w:rPr>
          <w:sz w:val="24"/>
          <w:szCs w:val="24"/>
          <w:color w:val="auto"/>
        </w:rPr>
      </w:pPr>
    </w:p>
    <w:p>
      <w:pPr>
        <w:ind w:left="40"/>
        <w:spacing w:after="0" w:line="207" w:lineRule="exact"/>
        <w:tabs>
          <w:tab w:leader="none" w:pos="2660" w:val="left"/>
          <w:tab w:leader="none" w:pos="8200" w:val="left"/>
        </w:tabs>
        <w:rPr>
          <w:sz w:val="20"/>
          <w:szCs w:val="20"/>
          <w:color w:val="auto"/>
        </w:rPr>
      </w:pPr>
      <w:r>
        <w:rPr>
          <w:rFonts w:ascii="Times New Roman" w:cs="Times New Roman" w:eastAsia="Times New Roman" w:hAnsi="Times New Roman"/>
          <w:sz w:val="18"/>
          <w:szCs w:val="18"/>
          <w:color w:val="auto"/>
        </w:rPr>
        <w:t>Non-accelerated filer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(Do not check if a smaller reporting company)</w:t>
      </w:r>
      <w:r>
        <w:rPr>
          <w:sz w:val="20"/>
          <w:szCs w:val="20"/>
          <w:color w:val="auto"/>
        </w:rPr>
        <w:tab/>
      </w:r>
      <w:r>
        <w:rPr>
          <w:rFonts w:ascii="Times New Roman" w:cs="Times New Roman" w:eastAsia="Times New Roman" w:hAnsi="Times New Roman"/>
          <w:sz w:val="17"/>
          <w:szCs w:val="17"/>
          <w:color w:val="auto"/>
        </w:rPr>
        <w:t>Smaller reporting company</w:t>
      </w:r>
    </w:p>
    <w:p>
      <w:pPr>
        <w:spacing w:after="0" w:line="29" w:lineRule="exact"/>
        <w:rPr>
          <w:sz w:val="24"/>
          <w:szCs w:val="24"/>
          <w:color w:val="auto"/>
        </w:rPr>
      </w:pPr>
    </w:p>
    <w:p>
      <w:pPr>
        <w:ind w:left="8220"/>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7" w:lineRule="exact"/>
        <w:rPr>
          <w:sz w:val="24"/>
          <w:szCs w:val="24"/>
          <w:color w:val="auto"/>
        </w:rPr>
      </w:pPr>
    </w:p>
    <w:p>
      <w:pPr>
        <w:ind w:left="40"/>
        <w:spacing w:after="0" w:line="234"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Securities Act.</w:t>
      </w:r>
    </w:p>
    <w:p>
      <w:pPr>
        <w:spacing w:after="0" w:line="62" w:lineRule="exact"/>
        <w:rPr>
          <w:sz w:val="24"/>
          <w:szCs w:val="24"/>
          <w:color w:val="auto"/>
        </w:rPr>
      </w:pPr>
    </w:p>
    <w:p>
      <w:pPr>
        <w:ind w:right="1260"/>
        <w:spacing w:after="0" w:line="25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outstanding of the registrant's Common Stock as of May 31, 2022 was 33,318,387.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111760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77470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7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10740" w:space="140"/>
            <w:col w:w="360"/>
          </w:cols>
          <w:pgMar w:left="320" w:top="78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9880" w:type="dxa"/>
            <w:vAlign w:val="bottom"/>
            <w:gridSpan w:val="9"/>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9"/>
              </w:rPr>
              <w:t>QUANEX BUILDING PRODUCTS CORPORATION</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300" w:type="dxa"/>
            <w:vAlign w:val="bottom"/>
            <w:gridSpan w:val="8"/>
          </w:tcPr>
          <w:p>
            <w:pPr>
              <w:jc w:val="center"/>
              <w:ind w:right="352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88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Financial Statements (Unaudited)</w:t>
            </w: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160" w:type="dxa"/>
            <w:vAlign w:val="bottom"/>
            <w:vMerge w:val="continue"/>
          </w:tcPr>
          <w:p>
            <w:pPr>
              <w:spacing w:after="0"/>
              <w:rPr>
                <w:sz w:val="24"/>
                <w:szCs w:val="24"/>
                <w:color w:val="auto"/>
              </w:rPr>
            </w:pPr>
          </w:p>
        </w:tc>
        <w:tc>
          <w:tcPr>
            <w:tcW w:w="9880" w:type="dxa"/>
            <w:vAlign w:val="bottom"/>
            <w:gridSpan w:val="9"/>
            <w:vMerge w:val="continue"/>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5780" w:type="dxa"/>
            <w:vAlign w:val="bottom"/>
            <w:gridSpan w:val="4"/>
          </w:tcPr>
          <w:p>
            <w:pPr>
              <w:spacing w:after="0"/>
              <w:rPr>
                <w:sz w:val="20"/>
                <w:szCs w:val="20"/>
                <w:color w:val="auto"/>
              </w:rPr>
            </w:pPr>
            <w:r>
              <w:rPr>
                <w:rFonts w:ascii="Times New Roman" w:cs="Times New Roman" w:eastAsia="Times New Roman" w:hAnsi="Times New Roman"/>
                <w:sz w:val="18"/>
                <w:szCs w:val="18"/>
                <w:color w:val="0E32E1"/>
                <w:w w:val="99"/>
              </w:rPr>
              <w:t>Condensed Consolidated Balance Sheets – April 30, 2022 and October 31, 2021</w:t>
            </w:r>
          </w:p>
        </w:tc>
        <w:tc>
          <w:tcPr>
            <w:tcW w:w="4100" w:type="dxa"/>
            <w:vAlign w:val="bottom"/>
            <w:gridSpan w:val="5"/>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E32E1"/>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20" w:type="dxa"/>
            <w:vAlign w:val="bottom"/>
            <w:gridSpan w:val="2"/>
            <w:shd w:val="clear" w:color="auto" w:fill="0E32E1"/>
          </w:tcPr>
          <w:p>
            <w:pPr>
              <w:spacing w:after="0" w:line="20" w:lineRule="exact"/>
              <w:rPr>
                <w:sz w:val="1"/>
                <w:szCs w:val="1"/>
                <w:color w:val="auto"/>
              </w:rPr>
            </w:pPr>
          </w:p>
        </w:tc>
        <w:tc>
          <w:tcPr>
            <w:tcW w:w="160" w:type="dxa"/>
            <w:vAlign w:val="bottom"/>
            <w:tcBorders>
              <w:right w:val="single" w:sz="8" w:color="0E32E1"/>
            </w:tcBorders>
            <w:shd w:val="clear" w:color="auto" w:fill="0E32E1"/>
          </w:tcPr>
          <w:p>
            <w:pPr>
              <w:spacing w:after="0" w:line="20" w:lineRule="exact"/>
              <w:rPr>
                <w:sz w:val="1"/>
                <w:szCs w:val="1"/>
                <w:color w:val="auto"/>
              </w:rPr>
            </w:pPr>
          </w:p>
        </w:tc>
        <w:tc>
          <w:tcPr>
            <w:tcW w:w="1000" w:type="dxa"/>
            <w:vAlign w:val="bottom"/>
            <w:shd w:val="clear" w:color="auto" w:fill="0E32E1"/>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right w:val="single" w:sz="8" w:color="0E32E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 Three and Six Months Ended April 30, 2022 and 2021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 xml:space="preserve">Condensed Consolidated Statements of Comprehensive Income </w:t>
            </w:r>
            <w:r>
              <w:rPr>
                <w:rFonts w:ascii="Times New Roman" w:cs="Times New Roman" w:eastAsia="Times New Roman" w:hAnsi="Times New Roman"/>
                <w:sz w:val="18"/>
                <w:szCs w:val="18"/>
                <w:color w:val="0E32E1"/>
              </w:rPr>
              <w:t>–</w:t>
            </w:r>
            <w:r>
              <w:rPr>
                <w:rFonts w:ascii="Times New Roman" w:cs="Times New Roman" w:eastAsia="Times New Roman" w:hAnsi="Times New Roman"/>
                <w:sz w:val="18"/>
                <w:szCs w:val="18"/>
                <w:color w:val="0000FF"/>
              </w:rPr>
              <w:t xml:space="preserve"> Three and Six Months Ended April 30, 2022 and 2021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2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E32E1"/>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 Six Months Ended April 30, 2022 and 2021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76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 of Stockholders’ Equity – Six Months Ended April 30, 2022 and 2021</w:t>
            </w:r>
          </w:p>
        </w:tc>
        <w:tc>
          <w:tcPr>
            <w:tcW w:w="2220" w:type="dxa"/>
            <w:vAlign w:val="bottom"/>
            <w:gridSpan w:val="2"/>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76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2220" w:type="dxa"/>
            <w:vAlign w:val="bottom"/>
            <w:gridSpan w:val="2"/>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780" w:type="dxa"/>
            <w:vAlign w:val="bottom"/>
            <w:tcBorders>
              <w:right w:val="single" w:sz="8" w:color="0000FF"/>
            </w:tcBorders>
            <w:gridSpan w:val="3"/>
            <w:shd w:val="clear" w:color="auto" w:fill="0000FF"/>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rPr>
              <w:t>Management’s Discussion and Analysis of Financial Condition and Results of Operations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II.</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rPr>
              <w:t>Unregistered Sales of Equity Securities and Use of Proceeds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rPr>
              <w:t>Exhibits</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2"/>
        </w:trPr>
        <w:tc>
          <w:tcPr>
            <w:tcW w:w="116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300" w:type="dxa"/>
            <w:vAlign w:val="bottom"/>
          </w:tcPr>
          <w:p>
            <w:pPr>
              <w:spacing w:after="0"/>
              <w:rPr>
                <w:sz w:val="13"/>
                <w:szCs w:val="13"/>
                <w:color w:val="auto"/>
              </w:rPr>
            </w:pPr>
          </w:p>
        </w:tc>
        <w:tc>
          <w:tcPr>
            <w:tcW w:w="114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96"/>
        </w:trPr>
        <w:tc>
          <w:tcPr>
            <w:tcW w:w="8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35"/>
        </w:trPr>
        <w:tc>
          <w:tcPr>
            <w:tcW w:w="8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740" w:type="dxa"/>
            <w:vAlign w:val="bottom"/>
            <w:gridSpan w:val="4"/>
          </w:tcPr>
          <w:p>
            <w:pPr>
              <w:jc w:val="right"/>
              <w:ind w:right="591"/>
              <w:spacing w:after="0" w:line="135" w:lineRule="exact"/>
              <w:rPr>
                <w:sz w:val="20"/>
                <w:szCs w:val="20"/>
                <w:color w:val="auto"/>
              </w:rPr>
            </w:pPr>
            <w:r>
              <w:rPr>
                <w:rFonts w:ascii="Times New Roman" w:cs="Times New Roman" w:eastAsia="Times New Roman" w:hAnsi="Times New Roman"/>
                <w:sz w:val="14"/>
                <w:szCs w:val="14"/>
                <w:b w:val="1"/>
                <w:bCs w:val="1"/>
                <w:color w:val="auto"/>
              </w:rPr>
              <w:t>(In thousands, except share</w:t>
            </w:r>
          </w:p>
        </w:tc>
        <w:tc>
          <w:tcPr>
            <w:tcW w:w="0" w:type="dxa"/>
            <w:vAlign w:val="bottom"/>
          </w:tcPr>
          <w:p>
            <w:pPr>
              <w:spacing w:after="0"/>
              <w:rPr>
                <w:sz w:val="1"/>
                <w:szCs w:val="1"/>
                <w:color w:val="auto"/>
              </w:rPr>
            </w:pPr>
          </w:p>
        </w:tc>
      </w:tr>
      <w:tr>
        <w:trPr>
          <w:trHeight w:val="196"/>
        </w:trPr>
        <w:tc>
          <w:tcPr>
            <w:tcW w:w="8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220" w:type="dxa"/>
            <w:vAlign w:val="bottom"/>
            <w:shd w:val="clear" w:color="auto" w:fill="CCEEFF"/>
          </w:tcPr>
          <w:p>
            <w:pPr>
              <w:ind w:left="37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40,061</w:t>
            </w: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$758 and $340</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118,195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108,309</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130,383</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92,529</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11,442</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8,148</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298,920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249,047</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$339,470 and $336,493</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170,307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178,630</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52,708</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143,268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149,205</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73,581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82,410</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5,832</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5,323</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740,490</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717,323</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1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88,956</w:t>
            </w:r>
          </w:p>
        </w:tc>
        <w:tc>
          <w:tcPr>
            <w:tcW w:w="1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86,765</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56,156</w:t>
            </w: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6,038</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8,229</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8,196</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146,588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158,001</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75,714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52,094</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41,369</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45,367</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pension and postretirement benefits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4,737</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21,965</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14,545</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15,377</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304,316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297,541</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 no par value, shares authorized 1,000,000; issued and outstanding - none</w:t>
            </w:r>
          </w:p>
        </w:tc>
        <w:tc>
          <w:tcPr>
            <w:tcW w:w="2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82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$0.01 par value, shares authorized 125,000,000; issued 37,211,056 and 37,273,510,</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 outstanding 33,318,387 and 33,274,785, respectively</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250,756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254,162</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292,221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259,718</w:t>
            </w: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(21,770)</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Treasury stock at cost, 3,892,669 and 3,998,725 shares, respectively</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(70,979)</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(72,701)</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436,174</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419,782</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740,490</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717,323</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60" w:type="dxa"/>
            <w:vAlign w:val="bottom"/>
          </w:tcPr>
          <w:p>
            <w:pPr>
              <w:spacing w:after="0"/>
              <w:rPr>
                <w:sz w:val="16"/>
                <w:szCs w:val="16"/>
                <w:color w:val="auto"/>
              </w:rPr>
            </w:pPr>
          </w:p>
        </w:tc>
      </w:tr>
      <w:tr>
        <w:trPr>
          <w:trHeight w:val="203"/>
        </w:trPr>
        <w:tc>
          <w:tcPr>
            <w:tcW w:w="5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320" w:type="dxa"/>
            <w:vAlign w:val="bottom"/>
          </w:tcPr>
          <w:p>
            <w:pPr>
              <w:spacing w:after="0"/>
              <w:rPr>
                <w:sz w:val="17"/>
                <w:szCs w:val="17"/>
                <w:color w:val="auto"/>
              </w:rPr>
            </w:pPr>
          </w:p>
        </w:tc>
        <w:tc>
          <w:tcPr>
            <w:tcW w:w="170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860" w:type="dxa"/>
            <w:vAlign w:val="bottom"/>
          </w:tcPr>
          <w:p>
            <w:pPr>
              <w:spacing w:after="0"/>
              <w:rPr>
                <w:sz w:val="17"/>
                <w:szCs w:val="17"/>
                <w:color w:val="auto"/>
              </w:rPr>
            </w:pPr>
          </w:p>
        </w:tc>
      </w:tr>
      <w:tr>
        <w:trPr>
          <w:trHeight w:val="23"/>
        </w:trPr>
        <w:tc>
          <w:tcPr>
            <w:tcW w:w="5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53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96"/>
        </w:trPr>
        <w:tc>
          <w:tcPr>
            <w:tcW w:w="5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322,893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270,357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589,933</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500,504</w:t>
            </w:r>
          </w:p>
        </w:tc>
      </w:tr>
      <w:tr>
        <w:trPr>
          <w:trHeight w:val="22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and expenses: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461,485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384,857</w:t>
            </w:r>
          </w:p>
        </w:tc>
      </w:tr>
      <w:tr>
        <w:trPr>
          <w:trHeight w:val="230"/>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58,952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60,533</w:t>
            </w:r>
          </w:p>
        </w:tc>
      </w:tr>
      <w:tr>
        <w:trPr>
          <w:trHeight w:val="229"/>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charges</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53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21,860</w:t>
            </w: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33,215</w:t>
            </w:r>
          </w:p>
        </w:tc>
      </w:tr>
      <w:tr>
        <w:trPr>
          <w:trHeight w:val="23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(expense) income:</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r>
      <w:tr>
        <w:trPr>
          <w:trHeight w:val="229"/>
        </w:trPr>
        <w:tc>
          <w:tcPr>
            <w:tcW w:w="53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48,058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32,281</w:t>
            </w:r>
          </w:p>
        </w:tc>
      </w:tr>
      <w:tr>
        <w:trPr>
          <w:trHeight w:val="229"/>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(10,297)</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(9,878)</w:t>
            </w:r>
          </w:p>
        </w:tc>
      </w:tr>
      <w:tr>
        <w:trPr>
          <w:trHeight w:val="248"/>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22,403</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r>
      <w:tr>
        <w:trPr>
          <w:trHeight w:val="270"/>
        </w:trPr>
        <w:tc>
          <w:tcPr>
            <w:tcW w:w="5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r>
      <w:tr>
        <w:trPr>
          <w:trHeight w:val="270"/>
        </w:trPr>
        <w:tc>
          <w:tcPr>
            <w:tcW w:w="5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5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33,110</w:t>
            </w:r>
          </w:p>
        </w:tc>
      </w:tr>
      <w:tr>
        <w:trPr>
          <w:trHeight w:val="230"/>
        </w:trPr>
        <w:tc>
          <w:tcPr>
            <w:tcW w:w="53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33,444</w:t>
            </w:r>
          </w:p>
        </w:tc>
      </w:tr>
      <w:tr>
        <w:trPr>
          <w:trHeight w:val="270"/>
        </w:trPr>
        <w:tc>
          <w:tcPr>
            <w:tcW w:w="5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30"/>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dividends per share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left="340" w:right="2300"/>
        <w:spacing w:after="0" w:line="278" w:lineRule="auto"/>
        <w:rPr>
          <w:sz w:val="20"/>
          <w:szCs w:val="20"/>
          <w:color w:val="auto"/>
        </w:rPr>
      </w:pPr>
      <w:r>
        <w:rPr>
          <w:rFonts w:ascii="Times New Roman" w:cs="Times New Roman" w:eastAsia="Times New Roman" w:hAnsi="Times New Roman"/>
          <w:sz w:val="18"/>
          <w:szCs w:val="18"/>
          <w:b w:val="1"/>
          <w:bCs w:val="1"/>
          <w:color w:val="auto"/>
        </w:rPr>
        <w:t>QUANEX BUILDING PRODUCTS CORPORATION CONDENSED CONSOLIDATED STATEMENTS OF COMPREHENSIVE INCOME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40" w:type="dxa"/>
            <w:vAlign w:val="bottom"/>
          </w:tcPr>
          <w:p>
            <w:pPr>
              <w:spacing w:after="0"/>
              <w:rPr>
                <w:sz w:val="16"/>
                <w:szCs w:val="16"/>
                <w:color w:val="auto"/>
              </w:rPr>
            </w:pPr>
          </w:p>
        </w:tc>
      </w:tr>
      <w:tr>
        <w:trPr>
          <w:trHeight w:val="203"/>
        </w:trPr>
        <w:tc>
          <w:tcPr>
            <w:tcW w:w="4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80" w:type="dxa"/>
            <w:vAlign w:val="bottom"/>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40" w:type="dxa"/>
            <w:vAlign w:val="bottom"/>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940" w:type="dxa"/>
            <w:vAlign w:val="bottom"/>
          </w:tcPr>
          <w:p>
            <w:pPr>
              <w:spacing w:after="0"/>
              <w:rPr>
                <w:sz w:val="17"/>
                <w:szCs w:val="17"/>
                <w:color w:val="auto"/>
              </w:rPr>
            </w:pPr>
          </w:p>
        </w:tc>
      </w:tr>
      <w:tr>
        <w:trPr>
          <w:trHeight w:val="23"/>
        </w:trPr>
        <w:tc>
          <w:tcPr>
            <w:tcW w:w="46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46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4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6"/>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26,522</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14,551</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center"/>
              <w:ind w:left="378"/>
              <w:spacing w:after="0"/>
              <w:rPr>
                <w:sz w:val="20"/>
                <w:szCs w:val="20"/>
                <w:color w:val="auto"/>
              </w:rPr>
            </w:pPr>
            <w:r>
              <w:rPr>
                <w:rFonts w:ascii="Times New Roman" w:cs="Times New Roman" w:eastAsia="Times New Roman" w:hAnsi="Times New Roman"/>
                <w:sz w:val="18"/>
                <w:szCs w:val="18"/>
                <w:color w:val="auto"/>
              </w:rPr>
              <w:t>37,761</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22,403</w:t>
            </w: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Other comprehensive (loss)income:</w:t>
            </w:r>
          </w:p>
        </w:tc>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(loss) gain</w:t>
            </w:r>
          </w:p>
        </w:tc>
        <w:tc>
          <w:tcPr>
            <w:tcW w:w="9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(11,268)</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358"/>
              <w:spacing w:after="0"/>
              <w:rPr>
                <w:sz w:val="20"/>
                <w:szCs w:val="20"/>
                <w:color w:val="auto"/>
              </w:rPr>
            </w:pPr>
            <w:r>
              <w:rPr>
                <w:rFonts w:ascii="Times New Roman" w:cs="Times New Roman" w:eastAsia="Times New Roman" w:hAnsi="Times New Roman"/>
                <w:sz w:val="18"/>
                <w:szCs w:val="18"/>
                <w:color w:val="auto"/>
                <w:w w:val="97"/>
              </w:rPr>
              <w:t>(14,427)</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9,632</w:t>
            </w:r>
          </w:p>
        </w:tc>
      </w:tr>
      <w:tr>
        <w:trPr>
          <w:trHeight w:val="223"/>
        </w:trPr>
        <w:tc>
          <w:tcPr>
            <w:tcW w:w="4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(11,268)</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358"/>
              <w:spacing w:after="0"/>
              <w:rPr>
                <w:sz w:val="20"/>
                <w:szCs w:val="20"/>
                <w:color w:val="auto"/>
              </w:rPr>
            </w:pPr>
            <w:r>
              <w:rPr>
                <w:rFonts w:ascii="Times New Roman" w:cs="Times New Roman" w:eastAsia="Times New Roman" w:hAnsi="Times New Roman"/>
                <w:sz w:val="18"/>
                <w:szCs w:val="18"/>
                <w:color w:val="auto"/>
                <w:w w:val="97"/>
              </w:rPr>
              <w:t>(14,427)</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9,632</w:t>
            </w: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15,254</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center"/>
              <w:ind w:left="378"/>
              <w:spacing w:after="0"/>
              <w:rPr>
                <w:sz w:val="20"/>
                <w:szCs w:val="20"/>
                <w:color w:val="auto"/>
              </w:rPr>
            </w:pPr>
            <w:r>
              <w:rPr>
                <w:rFonts w:ascii="Times New Roman" w:cs="Times New Roman" w:eastAsia="Times New Roman" w:hAnsi="Times New Roman"/>
                <w:sz w:val="18"/>
                <w:szCs w:val="18"/>
                <w:color w:val="auto"/>
              </w:rPr>
              <w:t>23,334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32,035</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3"/>
          </w:tcPr>
          <w:p>
            <w:pPr>
              <w:jc w:val="center"/>
              <w:ind w:left="45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6"/>
                <w:szCs w:val="16"/>
                <w:color w:val="auto"/>
              </w:rPr>
            </w:pPr>
          </w:p>
        </w:tc>
      </w:tr>
      <w:tr>
        <w:trPr>
          <w:trHeight w:val="203"/>
        </w:trPr>
        <w:tc>
          <w:tcPr>
            <w:tcW w:w="8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3"/>
          </w:tcPr>
          <w:p>
            <w:pPr>
              <w:jc w:val="center"/>
              <w:ind w:left="472"/>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880" w:type="dxa"/>
            <w:vAlign w:val="bottom"/>
          </w:tcPr>
          <w:p>
            <w:pPr>
              <w:spacing w:after="0"/>
              <w:rPr>
                <w:sz w:val="17"/>
                <w:szCs w:val="17"/>
                <w:color w:val="auto"/>
              </w:rPr>
            </w:pPr>
          </w:p>
        </w:tc>
      </w:tr>
      <w:tr>
        <w:trPr>
          <w:trHeight w:val="23"/>
        </w:trPr>
        <w:tc>
          <w:tcPr>
            <w:tcW w:w="8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8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3"/>
          </w:tcPr>
          <w:p>
            <w:pPr>
              <w:jc w:val="center"/>
              <w:ind w:left="45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7"/>
                <w:szCs w:val="17"/>
                <w:color w:val="auto"/>
              </w:rPr>
            </w:pPr>
          </w:p>
        </w:tc>
      </w:tr>
      <w:tr>
        <w:trPr>
          <w:trHeight w:val="23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9"/>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37,761</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22,403</w:t>
            </w:r>
          </w:p>
        </w:tc>
      </w:tr>
      <w:tr>
        <w:trPr>
          <w:trHeight w:val="23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cash (used for) provided by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21,860</w:t>
            </w:r>
          </w:p>
        </w:tc>
      </w:tr>
      <w:tr>
        <w:trPr>
          <w:trHeight w:val="229"/>
        </w:trPr>
        <w:tc>
          <w:tcPr>
            <w:tcW w:w="8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r>
      <w:tr>
        <w:trPr>
          <w:trHeight w:val="230"/>
        </w:trPr>
        <w:tc>
          <w:tcPr>
            <w:tcW w:w="8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Deferred income tax</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w:t>
            </w:r>
          </w:p>
        </w:tc>
      </w:tr>
      <w:tr>
        <w:trPr>
          <w:trHeight w:val="229"/>
        </w:trPr>
        <w:tc>
          <w:tcPr>
            <w:tcW w:w="8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w:t>
            </w:r>
          </w:p>
        </w:tc>
      </w:tr>
      <w:tr>
        <w:trPr>
          <w:trHeight w:val="229"/>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Increase in accounts receivable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(6,726)</w:t>
            </w:r>
          </w:p>
        </w:tc>
      </w:tr>
      <w:tr>
        <w:trPr>
          <w:trHeight w:val="229"/>
        </w:trPr>
        <w:tc>
          <w:tcPr>
            <w:tcW w:w="8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Increase in inventory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(18,265)</w:t>
            </w:r>
          </w:p>
        </w:tc>
      </w:tr>
      <w:tr>
        <w:trPr>
          <w:trHeight w:val="230"/>
        </w:trPr>
        <w:tc>
          <w:tcPr>
            <w:tcW w:w="8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Increase in other current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r>
      <w:tr>
        <w:trPr>
          <w:trHeight w:val="229"/>
        </w:trPr>
        <w:tc>
          <w:tcPr>
            <w:tcW w:w="8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Increase in accounts payable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5,584</w:t>
            </w:r>
          </w:p>
        </w:tc>
      </w:tr>
      <w:tr>
        <w:trPr>
          <w:trHeight w:val="229"/>
        </w:trPr>
        <w:tc>
          <w:tcPr>
            <w:tcW w:w="8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(Decrease) increase in accrued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r>
      <w:tr>
        <w:trPr>
          <w:trHeight w:val="230"/>
        </w:trPr>
        <w:tc>
          <w:tcPr>
            <w:tcW w:w="8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Increase (decrease) in income taxes payable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w:t>
            </w:r>
          </w:p>
        </w:tc>
      </w:tr>
      <w:tr>
        <w:trPr>
          <w:trHeight w:val="229"/>
        </w:trPr>
        <w:tc>
          <w:tcPr>
            <w:tcW w:w="8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Decrease in deferred pension and postretirement benefits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9"/>
        </w:trPr>
        <w:tc>
          <w:tcPr>
            <w:tcW w:w="8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Increase in other long-term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r>
      <w:tr>
        <w:trPr>
          <w:trHeight w:val="230"/>
        </w:trPr>
        <w:tc>
          <w:tcPr>
            <w:tcW w:w="8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for) provided by operating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28,960</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(9,799)</w:t>
            </w: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disposition of capital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for investing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(8,134)</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Borrowings under credit facilities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Repayments of credit facility borrowings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Repayments of other long-term debt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dividends paid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w:t>
            </w: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common stock</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16,123</w:t>
            </w: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Payroll tax paid to settle shares forfeited upon vesting of stock</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29"/>
        </w:trPr>
        <w:tc>
          <w:tcPr>
            <w:tcW w:w="8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(3,968)</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(used for) 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(24,272)</w:t>
            </w:r>
          </w:p>
        </w:tc>
      </w:tr>
      <w:tr>
        <w:trPr>
          <w:trHeight w:val="229"/>
        </w:trPr>
        <w:tc>
          <w:tcPr>
            <w:tcW w:w="8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w:t>
            </w:r>
          </w:p>
        </w:tc>
      </w:tr>
      <w:tr>
        <w:trPr>
          <w:trHeight w:val="23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40,061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51,621</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49,258</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QUANEX BUILDING PRODUCTS CORPORATION CONDENSED CONSOLIDATED STATEMENTS OF STOCKHOLDERS’ EQUITY (Unaudited)</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9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3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Six Months Ended April 30, 2022</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33"/>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4"/>
                <w:szCs w:val="14"/>
                <w:color w:val="auto"/>
              </w:rPr>
            </w:pPr>
          </w:p>
        </w:tc>
        <w:tc>
          <w:tcPr>
            <w:tcW w:w="98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Borders>
              <w:top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500" w:type="dxa"/>
            <w:vAlign w:val="bottom"/>
            <w:gridSpan w:val="11"/>
          </w:tcPr>
          <w:p>
            <w:pPr>
              <w:ind w:left="240"/>
              <w:spacing w:after="0"/>
              <w:rPr>
                <w:sz w:val="20"/>
                <w:szCs w:val="20"/>
                <w:color w:val="auto"/>
              </w:rPr>
            </w:pPr>
            <w:r>
              <w:rPr>
                <w:rFonts w:ascii="Times New Roman" w:cs="Times New Roman" w:eastAsia="Times New Roman" w:hAnsi="Times New Roman"/>
                <w:sz w:val="14"/>
                <w:szCs w:val="14"/>
                <w:b w:val="1"/>
                <w:bCs w:val="1"/>
                <w:color w:val="auto"/>
              </w:rPr>
              <w:t>(In thousands, no per share amounts shown except in verbiage)</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31, 2021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254,162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259,718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(72,701)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419,782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dividends ($0.08 per share)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Stock-based compensation activity:</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Expense related to stock-based compensation</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Restricted stock awards granted</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Performance restricted stock units vested</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3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31, 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250,204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268,370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(69,519)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424,499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dividends ($0.08 per share)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Stock-based compensation activity:</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Expense related to stock-based compensation</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Balance at April 30, 2022</w:t>
            </w: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250,756</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292,221</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(36,197)</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(70,979)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436,174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9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Six Months Ended April, 2021</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4"/>
                <w:szCs w:val="14"/>
                <w:color w:val="auto"/>
              </w:rPr>
            </w:pPr>
          </w:p>
        </w:tc>
        <w:tc>
          <w:tcPr>
            <w:tcW w:w="98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00" w:type="dxa"/>
            <w:vAlign w:val="bottom"/>
            <w:tcBorders>
              <w:top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500" w:type="dxa"/>
            <w:vAlign w:val="bottom"/>
            <w:gridSpan w:val="11"/>
          </w:tcPr>
          <w:p>
            <w:pPr>
              <w:ind w:left="240"/>
              <w:spacing w:after="0"/>
              <w:rPr>
                <w:sz w:val="20"/>
                <w:szCs w:val="20"/>
                <w:color w:val="auto"/>
              </w:rPr>
            </w:pPr>
            <w:r>
              <w:rPr>
                <w:rFonts w:ascii="Times New Roman" w:cs="Times New Roman" w:eastAsia="Times New Roman" w:hAnsi="Times New Roman"/>
                <w:sz w:val="14"/>
                <w:szCs w:val="14"/>
                <w:b w:val="1"/>
                <w:bCs w:val="1"/>
                <w:color w:val="auto"/>
              </w:rPr>
              <w:t>(In thousands, no per share amounts shown except in verbiage)</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31, 2020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253,458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213,517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(78,565)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dividends ($0.08 per share)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shares purchased, at cost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Stock-based compensation activity:</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Expense related to stock-based compensation</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awards granted</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Performance restricted stock units vested</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January 31, 2021</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252,277</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218,732</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(24,424)</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(69,250)</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377,708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dividends ($0.08 per share)</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Stock-based compensation activity:</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Expense related to stock-based compensation</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April 30, 2021</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253,147</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230,590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(23,392)</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(65,621)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 and Basis of Presentation</w:t>
      </w:r>
    </w:p>
    <w:p>
      <w:pPr>
        <w:spacing w:after="0" w:line="175"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Quanex Building Products Corporation is a component supplier to original equipment manufacturers (OEMs) in the building products industry. These components can be categorized as window and door (fenestration) components and kitchen and bath cabinet components. Examples of fenestration components include: (1) energy-efficient flexible insulating glass spacers, (2) extruded vinyl profiles, (3) window and door screens, and (4) precision-formed metal and wood products. We also manufacture cabinet doors and other components for OEMs in the kitchen and bathroom cabinet industry. In addition, we provide certain other non-fenestration components and products, which include solar panel sealants, trim moldings, vinyl decking, vinyl fencing, water retention barriers, and conservatory roof components. We have organized our business into three reportable business segments. For additional discussion of our reportable business segments, see Note 11, “Segment Information.” We use low-cost, short lead-time production processes and engineering expertise to provide our customers with specialized products for their specific window, door, and cabinet applications. We believe these capabilities provide us with unique competitive advantages. We serve a primary customer base in North America and the United Kingdom (U.K.), and also serve customers in international markets through our operating plants in the U.K. and Germany, as well as through sales and marketing efforts in other countries.</w:t>
      </w:r>
    </w:p>
    <w:p>
      <w:pPr>
        <w:spacing w:after="0" w:line="136"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indicates otherwise, references to “Quanex”, the “Company”, “we”, “us” and “our” refer to the consolidated business operations of Quanex Building Products Corporation and its subsidiaries.</w:t>
      </w:r>
    </w:p>
    <w:p>
      <w:pPr>
        <w:spacing w:after="0" w:line="106"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The accompanying interim unaudited condensed consolidated financial statements include the accounts of Quanex Building Products Corporation. All intercompany accounts and transactions have been eliminated in consolidation. These financial statements have been prepared by us,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(U.S. GAAP) have been condensed or omitted pursuant to such rules and regulations. The condensed consolidated balance sheet as of October 31, 2021 was derived from audited financial information but does not include all disclosures required by U.S. GAAP. The accompanying financial statements should be read in conjunction with the audited consolidated financial statements and the notes thereto, included in our Annual Report on Form 10-K for the fiscal year ended October 31, 2021. In our opinion, the accompanying financial statements contain all adjustments (which consist of normal recurring adjustments, except as disclosed herein) necessary to fairly present our financial position, results of operations and cash flows for the interim periods. The results of operations for the periods presented are not necessarily indicative of the results to be expected for the full year or for any future periods.</w:t>
      </w:r>
    </w:p>
    <w:p>
      <w:pPr>
        <w:spacing w:after="0" w:line="140"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preparing financial statements, we make informed judgments and estimates that affect the reported amounts of assets and liabilities as of the date of the financial statements and affect the reported amounts of revenues and expenses during the reporting period. We review our estimates on an on-going basis, including those related to impairment of long-lived assets and goodwill, contingencies and income taxes. Changes in facts and circumstances may result in revised estimates and actual results may differ from these estimates.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73"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recognize revenue that reflects the consideration we expect to receive for product sales upon transfer to customers. Revenue for product sales is recognized when control of the promised products is transferred to our customers, and we are entitled to consideration in exchange for such transfer. We account for a contract when a customer provides us with a firm purchase order that identifies the products to be provided, the payment terms for those products, and when collectability of the consideration due is probable.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173"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 performance obligation is a promise to provide the customer with a good or service. Our performance obligations include product sales, with each product included in a customer contract being recognized as a separate performance obligation. For contracts with multiple performance obligations, the standalone selling price of each product is generally readily observable.</w:t>
      </w:r>
    </w:p>
    <w:p>
      <w:pPr>
        <w:spacing w:after="0" w:line="12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Revenue from product sales is recognized at a point in time when the product is transferred to the customer, in accordance with the shipping terms, which is generally upon shipment. We estimate a provision for sales returns and warranty allowances to account for product returns related to general returns and product nonconformance.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generally expense incremental costs of obtaining a contract when incurred because the amortization period would be less than one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we do not disclose the value of unsatisfied performance obligations for contracts with an original expected length of one year or less.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Pricing and sales incentives</w:t>
      </w:r>
    </w:p>
    <w:p>
      <w:pPr>
        <w:spacing w:after="0" w:line="173"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Pricing is established at or prior to the time of sale with our customers and we record sales at the agreed-upon net selling price, reflective of current and prospective discounts.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Shipping and handling costs</w:t>
      </w:r>
    </w:p>
    <w:p>
      <w:pPr>
        <w:spacing w:after="0" w:line="173"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account for shipping and handling services as fulfillment services; accordingly, freight revenue is combined with the product deliverable rather than being accounted for as a distinct performance obligation within the terms of the agreement. Shipping and handling costs incurred by us for the delivery of goods to customers are considered a cost to fulfill the contract and are included in cost of sales in the accompanying condensed consolidated statements of income.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173"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Deferred revenue, which is not significant, is recorded when we have remaining unsatisfied performance obligations for which we have received consideration.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produce a wide variety of products that are used in the fenestration industry, including window spacer systems; extruded vinyl products; metal fabricated products; and astragals, thresholds and screens. In addition, we produce certain non-fenestration products, including kitchen and bath cabinet doors and components, flooring and trim moldings, solar edge tape, plastic decking, fencing, water retention barriers, conservatory roof components, and other products.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product sales for the three and six months ended April 30, 2022 and 2021 into groupings by segment which we believe depicts how the nature, amount, timing and uncertainty of our revenues and cash flows are affected by economic factors. For further details regarding our results by segment, refer to Note 11, “Segment Information”.</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6"/>
                <w:szCs w:val="16"/>
                <w:color w:val="auto"/>
              </w:rPr>
            </w:pPr>
          </w:p>
        </w:tc>
      </w:tr>
      <w:tr>
        <w:trPr>
          <w:trHeight w:val="203"/>
        </w:trPr>
        <w:tc>
          <w:tcPr>
            <w:tcW w:w="5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4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900" w:type="dxa"/>
            <w:vAlign w:val="bottom"/>
          </w:tcPr>
          <w:p>
            <w:pPr>
              <w:spacing w:after="0"/>
              <w:rPr>
                <w:sz w:val="17"/>
                <w:szCs w:val="17"/>
                <w:color w:val="auto"/>
              </w:rPr>
            </w:pPr>
          </w:p>
        </w:tc>
      </w:tr>
      <w:tr>
        <w:trPr>
          <w:trHeight w:val="23"/>
        </w:trPr>
        <w:tc>
          <w:tcPr>
            <w:tcW w:w="5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5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5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6"/>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North American Fenestration:</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 fenestration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156,843</w:t>
            </w:r>
          </w:p>
        </w:tc>
        <w:tc>
          <w:tcPr>
            <w:tcW w:w="16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128,218</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285,210</w:t>
            </w:r>
          </w:p>
        </w:tc>
        <w:tc>
          <w:tcPr>
            <w:tcW w:w="16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240,518</w:t>
            </w: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 fenestration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11,094</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20,230</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16,175</w:t>
            </w: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 non-fenestration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7,077</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13,793</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11,690</w:t>
            </w: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 non-fenestration</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5,306</w:t>
            </w:r>
          </w:p>
        </w:tc>
        <w:tc>
          <w:tcPr>
            <w:tcW w:w="16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w:t>
            </w:r>
          </w:p>
        </w:tc>
      </w:tr>
      <w:tr>
        <w:trPr>
          <w:trHeight w:val="223"/>
        </w:trPr>
        <w:tc>
          <w:tcPr>
            <w:tcW w:w="5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177,908</w:t>
            </w:r>
          </w:p>
        </w:tc>
        <w:tc>
          <w:tcPr>
            <w:tcW w:w="16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146,143</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324,539</w:t>
            </w:r>
          </w:p>
        </w:tc>
        <w:tc>
          <w:tcPr>
            <w:tcW w:w="16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274,259</w:t>
            </w: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European Fenestration: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 fenestration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54,863</w:t>
            </w:r>
          </w:p>
        </w:tc>
        <w:tc>
          <w:tcPr>
            <w:tcW w:w="16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50,835</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99,484</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92,189</w:t>
            </w: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 non-fenestration</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18,564</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10,822</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32,857</w:t>
            </w:r>
          </w:p>
        </w:tc>
        <w:tc>
          <w:tcPr>
            <w:tcW w:w="16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18,559</w:t>
            </w:r>
          </w:p>
        </w:tc>
      </w:tr>
      <w:tr>
        <w:trPr>
          <w:trHeight w:val="223"/>
        </w:trPr>
        <w:tc>
          <w:tcPr>
            <w:tcW w:w="5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73,427</w:t>
            </w:r>
          </w:p>
        </w:tc>
        <w:tc>
          <w:tcPr>
            <w:tcW w:w="16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61,657</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132,341</w:t>
            </w:r>
          </w:p>
        </w:tc>
        <w:tc>
          <w:tcPr>
            <w:tcW w:w="16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110,748</w:t>
            </w: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North American Cabinet Components: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 fenestration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4,666</w:t>
            </w:r>
          </w:p>
        </w:tc>
        <w:tc>
          <w:tcPr>
            <w:tcW w:w="16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8,431</w:t>
            </w:r>
          </w:p>
        </w:tc>
        <w:tc>
          <w:tcPr>
            <w:tcW w:w="16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6,471</w:t>
            </w: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 non-fenestration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67,383</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60,388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125,150</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110,890</w:t>
            </w:r>
          </w:p>
        </w:tc>
      </w:tr>
      <w:tr>
        <w:trPr>
          <w:trHeight w:val="230"/>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 - non-fenestration</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23"/>
        </w:trPr>
        <w:tc>
          <w:tcPr>
            <w:tcW w:w="5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72,878</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135,231</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117,556</w:t>
            </w: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Unallocated Corporate &amp; Other</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16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w:t>
            </w:r>
          </w:p>
        </w:tc>
      </w:tr>
      <w:tr>
        <w:trPr>
          <w:trHeight w:val="223"/>
        </w:trPr>
        <w:tc>
          <w:tcPr>
            <w:tcW w:w="5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1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w:t>
            </w: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322,893</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270,357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589,933</w:t>
            </w: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500,504</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173"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have established an allowance for credit losses to estimate the risk of losses, which represents an estimate of expected losses over the remaining contractual life of our receivables. The allowance is determined using two methods. The amounts calculated from each of these methods are combined to determine the total amount reserved. First, a specific reserve is established for individual accounts where information indicates the customers may have an inability to meet financial obligations. Second, a reserve is determined for all customers based on a range of percentages applied to aging categories. These percentages are based on historical collection rates, write-off experience, and forecasts of future economic conditions. Actual write-offs are charged against the allowance when collection efforts have been unsuccessful.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Parties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Net sales for the six months ended April 30, 2022 included approximately $1.1 million of transactions with a customer which is a related party with one of our non-employee directors. We performed a review of these transactions, of which no single transaction or series of related transactions exceeded $120,000 in amount, and determined that these transactions were enacted independently of each other in fair transactions. We are not aware of any other related party transactions with any of our current non-employee directors or officers outside of their normal business functions or expected contractual duties.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 Impact</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On March 11, 2020, the World Health Organization (WHO) declared the outbreak of COVID-19 as a global pandemic and advised aggressive containment action. The COVID-19 pandemic and its impacts are continuing to have an adverse effect on many sectors of the economy, including negative impacts to the global supply chain and increased inflation. Measures providing for business shutdowns generally exclude certain essential services commonly including critical infrastructure such as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construction and the businesses that support that critical infrastructure. To date, we have not experienced significant challenges or expenses implementing crisis management plans intended for containment and prevention.</w:t>
      </w:r>
    </w:p>
    <w:p>
      <w:pPr>
        <w:spacing w:after="0" w:line="10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health and safety of our employees are high priorities. In response to the COVID-19 pandemic, we have taken additional measures to limit possible infections at the workplace by implementing social distancing, sanitizing the workspace, and requiring employees to report any COVID-19 symptoms to ensure safety as infection surges dictate. We continue to assess and refine these measures on an ongoing basis as public health guidance and applicable laws and regulations continue to evolve.</w:t>
      </w:r>
    </w:p>
    <w:p>
      <w:pPr>
        <w:spacing w:after="0" w:line="126"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As a result of the economic and business impact of COVID-19, including inflation and supply chain impact, we may be required to revise certain accounting estimates and judgments such as, but not limited to, those related to the valuation of goodwill, intangibles, right-of-use assets, long-lived assets, accounts receivable (including allowances for credit losses), and inventory, which could have a material adverse effect on our financial position and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Inventories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Inventories consisted of the following at April 30, 2022 and October 31, 2021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240" w:type="dxa"/>
            <w:vAlign w:val="bottom"/>
          </w:tcPr>
          <w:p>
            <w:pPr>
              <w:spacing w:after="0"/>
              <w:rPr>
                <w:sz w:val="13"/>
                <w:szCs w:val="13"/>
                <w:color w:val="auto"/>
              </w:rPr>
            </w:pPr>
          </w:p>
        </w:tc>
        <w:tc>
          <w:tcPr>
            <w:tcW w:w="120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196"/>
        </w:trPr>
        <w:tc>
          <w:tcPr>
            <w:tcW w:w="8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75,704</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49,867</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goods and work in process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54,312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43,499</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Supplies and other</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w:t>
            </w:r>
          </w:p>
        </w:tc>
      </w:tr>
      <w:tr>
        <w:trPr>
          <w:trHeight w:val="223"/>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132,153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95,465</w:t>
            </w:r>
          </w:p>
        </w:tc>
      </w:tr>
      <w:tr>
        <w:trPr>
          <w:trHeight w:val="230"/>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Inventory reserves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w:t>
            </w:r>
          </w:p>
        </w:tc>
      </w:tr>
      <w:tr>
        <w:trPr>
          <w:trHeight w:val="223"/>
        </w:trPr>
        <w:tc>
          <w:tcPr>
            <w:tcW w:w="82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Inventories, net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130,383</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92,529</w:t>
            </w:r>
          </w:p>
        </w:tc>
      </w:tr>
      <w:tr>
        <w:trPr>
          <w:trHeight w:val="21"/>
        </w:trPr>
        <w:tc>
          <w:tcPr>
            <w:tcW w:w="8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Fixed costs related to excess manufacturing capacity, if any, have been expensed in the period they were incurred and, therefore, are not capitalized into inventory.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Goodwill and Intangible Assets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change in the carrying amount of goodwill for the six months ended April 30, 2022 was as follows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190"/>
        </w:trPr>
        <w:tc>
          <w:tcPr>
            <w:tcW w:w="9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April 30, 2022</w:t>
            </w:r>
          </w:p>
        </w:tc>
      </w:tr>
      <w:tr>
        <w:trPr>
          <w:trHeight w:val="23"/>
        </w:trPr>
        <w:tc>
          <w:tcPr>
            <w:tcW w:w="9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as of November 1, 2021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149,205</w:t>
            </w:r>
          </w:p>
        </w:tc>
      </w:tr>
      <w:tr>
        <w:trPr>
          <w:trHeight w:val="229"/>
        </w:trPr>
        <w:tc>
          <w:tcPr>
            <w:tcW w:w="9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(5,937)</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the end of the period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143,268</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8"/>
          <w:szCs w:val="18"/>
          <w:color w:val="auto"/>
        </w:rPr>
        <w:t>At our last annual test date, August 31, 2021, we evaluated the recoverability of goodwill at each of our five reporting units with goodwill balances and determined that our goodwill was not impaired. We evaluated for indicators of impairment during the three and six months ended April 30, 2022 and determined that there were no triggering events. For a summary of the change in the carrying amount of goodwill by segment, see Note 11, “Segment Information.”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Identifiable Intangible Assets</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Amortizable intangible assets consisted of the following as of April 30, 2022 and October 31, 2021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160" w:type="dxa"/>
            <w:vAlign w:val="bottom"/>
          </w:tcPr>
          <w:p>
            <w:pPr>
              <w:spacing w:after="0"/>
              <w:rPr>
                <w:sz w:val="16"/>
                <w:szCs w:val="16"/>
                <w:color w:val="auto"/>
              </w:rPr>
            </w:pPr>
          </w:p>
        </w:tc>
        <w:tc>
          <w:tcPr>
            <w:tcW w:w="2860" w:type="dxa"/>
            <w:vAlign w:val="bottom"/>
            <w:gridSpan w:val="4"/>
          </w:tcPr>
          <w:p>
            <w:pPr>
              <w:jc w:val="right"/>
              <w:ind w:right="916"/>
              <w:spacing w:after="0"/>
              <w:rPr>
                <w:sz w:val="20"/>
                <w:szCs w:val="20"/>
                <w:color w:val="auto"/>
              </w:rPr>
            </w:pPr>
            <w:r>
              <w:rPr>
                <w:rFonts w:ascii="Times New Roman" w:cs="Times New Roman" w:eastAsia="Times New Roman" w:hAnsi="Times New Roman"/>
                <w:sz w:val="14"/>
                <w:szCs w:val="14"/>
                <w:b w:val="1"/>
                <w:bCs w:val="1"/>
                <w:color w:val="auto"/>
              </w:rPr>
              <w:t>October 31, 2021</w:t>
            </w:r>
          </w:p>
        </w:tc>
      </w:tr>
      <w:tr>
        <w:trPr>
          <w:trHeight w:val="23"/>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31"/>
        </w:trPr>
        <w:tc>
          <w:tcPr>
            <w:tcW w:w="50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236"/>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216"/>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r>
      <w:tr>
        <w:trPr>
          <w:trHeight w:val="195"/>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2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228"/>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142,877</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84,938</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146,207</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81,086</w:t>
            </w: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40,130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39,589</w:t>
            </w: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 and other technology</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22,465</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22,096</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22,525</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22,084</w:t>
            </w:r>
          </w:p>
        </w:tc>
      </w:tr>
      <w:tr>
        <w:trPr>
          <w:trHeight w:val="223"/>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220,745</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147,164</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225,169</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142,759</w:t>
            </w:r>
          </w:p>
        </w:tc>
      </w:tr>
      <w:tr>
        <w:trPr>
          <w:trHeight w:val="21"/>
        </w:trPr>
        <w:tc>
          <w:tcPr>
            <w:tcW w:w="5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had aggregate amortization expense related to intangible assets for the three and six months ended April 30, 2022 of $3.0 million and $6.0 million, respectively, and $3.3 million and $6.7 million for the comparable prior year periods.</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Estimated remaining amortization expense, based on current intangible balances, for each of the fiscal years ending October 31, is as follows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2022 (remaining 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2024</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2026</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Debt and Finance Lease Obligations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Long-term debt consisted of the following at April 30, 2022 and October 31, 2021 (in thousands):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42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1920" w:type="dxa"/>
            <w:vAlign w:val="bottom"/>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96"/>
        </w:trPr>
        <w:tc>
          <w:tcPr>
            <w:tcW w:w="2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224"/>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5,939</w:t>
            </w:r>
          </w:p>
        </w:tc>
      </w:tr>
      <w:tr>
        <w:trPr>
          <w:trHeight w:val="229"/>
        </w:trPr>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11,144</w:t>
            </w:r>
          </w:p>
        </w:tc>
      </w:tr>
      <w:tr>
        <w:trPr>
          <w:trHeight w:val="230"/>
        </w:trPr>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10,392</w:t>
            </w:r>
          </w:p>
        </w:tc>
      </w:tr>
      <w:tr>
        <w:trPr>
          <w:trHeight w:val="229"/>
        </w:trPr>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9,165</w:t>
            </w:r>
          </w:p>
        </w:tc>
      </w:tr>
      <w:tr>
        <w:trPr>
          <w:trHeight w:val="229"/>
        </w:trPr>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9,090</w:t>
            </w:r>
          </w:p>
        </w:tc>
      </w:tr>
      <w:tr>
        <w:trPr>
          <w:trHeight w:val="234"/>
        </w:trPr>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27,851</w:t>
            </w: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73,581</w:t>
            </w: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4"/>
          <w:szCs w:val="14"/>
          <w:b w:val="1"/>
          <w:bCs w:val="1"/>
          <w:color w:val="auto"/>
        </w:rPr>
        <w:t>April 30,</w:t>
      </w:r>
      <w:r>
        <w:rPr>
          <w:sz w:val="20"/>
          <w:szCs w:val="20"/>
          <w:color w:val="auto"/>
        </w:rPr>
        <w:tab/>
      </w:r>
      <w:r>
        <w:rPr>
          <w:rFonts w:ascii="Times New Roman" w:cs="Times New Roman" w:eastAsia="Times New Roman" w:hAnsi="Times New Roman"/>
          <w:sz w:val="14"/>
          <w:szCs w:val="14"/>
          <w:b w:val="1"/>
          <w:bCs w:val="1"/>
          <w:color w:val="auto"/>
        </w:rPr>
        <w:t>October 31,</w:t>
      </w:r>
    </w:p>
    <w:p>
      <w:pPr>
        <w:spacing w:after="0" w:line="6" w:lineRule="exact"/>
        <w:rPr>
          <w:sz w:val="20"/>
          <w:szCs w:val="20"/>
          <w:color w:val="auto"/>
        </w:rPr>
      </w:pPr>
    </w:p>
    <w:p>
      <w:pPr>
        <w:ind w:left="140"/>
        <w:spacing w:after="0"/>
        <w:tabs>
          <w:tab w:leader="none" w:pos="172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11" w:lineRule="exact"/>
        <w:rPr>
          <w:sz w:val="20"/>
          <w:szCs w:val="20"/>
          <w:color w:val="auto"/>
        </w:rPr>
      </w:pPr>
    </w:p>
    <w:p>
      <w:pPr>
        <w:sectPr>
          <w:pgSz w:w="11900" w:h="16838" w:orient="portrait"/>
          <w:cols w:equalWidth="0" w:num="2">
            <w:col w:w="7920" w:space="720"/>
            <w:col w:w="26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3"/>
        </w:trPr>
        <w:tc>
          <w:tcPr>
            <w:tcW w:w="8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63,000</w:t>
            </w:r>
          </w:p>
        </w:tc>
        <w:tc>
          <w:tcPr>
            <w:tcW w:w="16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38,000</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 and other</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13,971</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15,537</w:t>
            </w:r>
          </w:p>
        </w:tc>
      </w:tr>
      <w:tr>
        <w:trPr>
          <w:trHeight w:val="23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deferred financing fees</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6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23"/>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debt</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76,526</w:t>
            </w:r>
          </w:p>
        </w:tc>
        <w:tc>
          <w:tcPr>
            <w:tcW w:w="16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52,940</w:t>
            </w:r>
          </w:p>
        </w:tc>
      </w:tr>
      <w:tr>
        <w:trPr>
          <w:trHeight w:val="230"/>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6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r>
      <w:tr>
        <w:trPr>
          <w:trHeight w:val="223"/>
        </w:trPr>
        <w:tc>
          <w:tcPr>
            <w:tcW w:w="82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Long-term debt</w:t>
            </w: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75,714</w:t>
            </w:r>
          </w:p>
        </w:tc>
        <w:tc>
          <w:tcPr>
            <w:tcW w:w="16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52,094</w:t>
            </w:r>
          </w:p>
        </w:tc>
      </w:tr>
      <w:tr>
        <w:trPr>
          <w:trHeight w:val="20"/>
        </w:trPr>
        <w:tc>
          <w:tcPr>
            <w:tcW w:w="8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4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more fully described in our Annual Report on Form 10-K for the fiscal year ended October 31, 2021, on October 18, 2018, we amended and extended our prior credit facility by entering into a $325.0 million revolving credit facility (the “Credit Facility”), with Wells Fargo Bank, National Association, as Agent, Swingline Lender and Issuing Lender, and Bank of America, N.A. serving as Syndication Agent. The Credit Facility has a five-year term, maturing on October 18, 2023.</w:t>
      </w:r>
    </w:p>
    <w:p>
      <w:pPr>
        <w:spacing w:after="0" w:line="11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December 28, 2021, we entered into a second amendment (the “Amendment”) of the Credit Facility. Pursuant to the Amendment, (a) the definition of “Capital Lease” was modified and clarified to provide an exclusion of certain agreed leases of the Company and its subsidiaries from the Credit Facility’s financial covenants and other provisions and (b) secured overnight financing rate, interest rate mechanics and interest rate reference benchmark replacement provisions were implemented to effectuate the transition from LIBOR as a reference interest rate. We will, however, continue to use the One Month LIBOR Rate plus applicable margin for the Credit Facility until June of 2023 when One Month LIBOR will no longer be available.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6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Following the Amendment, interest payments are calculated, at our election and depending upon the Consolidated Leverage Ratio, at a Base Rate plus an applicable margin or at the same rate as One Month LIBOR for domestic borrowings, Eurocurrency Rate Loan, Transitioned RFR Loan or RFR Loan plus an applicable margin. In addition, we are subject to commitment fees for the unused portion of the Credit Facility.</w:t>
      </w:r>
    </w:p>
    <w:p>
      <w:pPr>
        <w:spacing w:after="0" w:line="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applicable margin and commitment fees are outlined in the following table:</w:t>
      </w:r>
    </w:p>
    <w:p>
      <w:pPr>
        <w:spacing w:after="0" w:line="266"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9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LIBOR,</w:t>
            </w:r>
          </w:p>
        </w:tc>
        <w:tc>
          <w:tcPr>
            <w:tcW w:w="17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6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8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Eurocurrency Rate</w:t>
            </w:r>
          </w:p>
        </w:tc>
        <w:tc>
          <w:tcPr>
            <w:tcW w:w="17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60" w:type="dxa"/>
            <w:vAlign w:val="bottom"/>
            <w:vMerge w:val="restart"/>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Pricing</w:t>
            </w:r>
          </w:p>
        </w:tc>
        <w:tc>
          <w:tcPr>
            <w:tcW w:w="29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84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Loans and</w:t>
            </w:r>
          </w:p>
        </w:tc>
        <w:tc>
          <w:tcPr>
            <w:tcW w:w="17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60" w:type="dxa"/>
            <w:vAlign w:val="bottom"/>
            <w:vMerge w:val="continue"/>
          </w:tcPr>
          <w:p>
            <w:pPr>
              <w:spacing w:after="0"/>
              <w:rPr>
                <w:sz w:val="16"/>
                <w:szCs w:val="16"/>
                <w:color w:val="auto"/>
              </w:rPr>
            </w:pPr>
          </w:p>
        </w:tc>
        <w:tc>
          <w:tcPr>
            <w:tcW w:w="2960" w:type="dxa"/>
            <w:vAlign w:val="bottom"/>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Consolidated Leverage Ratio</w:t>
            </w:r>
          </w:p>
        </w:tc>
        <w:tc>
          <w:tcPr>
            <w:tcW w:w="18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Commitment Fee</w:t>
            </w:r>
          </w:p>
        </w:tc>
        <w:tc>
          <w:tcPr>
            <w:tcW w:w="18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Transitioned RFR</w:t>
            </w:r>
          </w:p>
        </w:tc>
        <w:tc>
          <w:tcPr>
            <w:tcW w:w="17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Initial RFR Loans</w:t>
            </w:r>
          </w:p>
        </w:tc>
        <w:tc>
          <w:tcPr>
            <w:tcW w:w="14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w w:val="98"/>
              </w:rPr>
              <w:t>Base Rate Loans</w:t>
            </w:r>
          </w:p>
        </w:tc>
        <w:tc>
          <w:tcPr>
            <w:tcW w:w="0" w:type="dxa"/>
            <w:vAlign w:val="bottom"/>
          </w:tcPr>
          <w:p>
            <w:pPr>
              <w:spacing w:after="0"/>
              <w:rPr>
                <w:sz w:val="1"/>
                <w:szCs w:val="1"/>
                <w:color w:val="auto"/>
              </w:rPr>
            </w:pPr>
          </w:p>
        </w:tc>
      </w:tr>
      <w:tr>
        <w:trPr>
          <w:trHeight w:val="243"/>
        </w:trPr>
        <w:tc>
          <w:tcPr>
            <w:tcW w:w="96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2960" w:type="dxa"/>
            <w:vAlign w:val="bottom"/>
            <w:vMerge w:val="continue"/>
          </w:tcPr>
          <w:p>
            <w:pPr>
              <w:spacing w:after="0"/>
              <w:rPr>
                <w:sz w:val="21"/>
                <w:szCs w:val="21"/>
                <w:color w:val="auto"/>
              </w:rPr>
            </w:pPr>
          </w:p>
        </w:tc>
        <w:tc>
          <w:tcPr>
            <w:tcW w:w="1880" w:type="dxa"/>
            <w:vAlign w:val="bottom"/>
            <w:vMerge w:val="continue"/>
          </w:tcPr>
          <w:p>
            <w:pPr>
              <w:spacing w:after="0"/>
              <w:rPr>
                <w:sz w:val="21"/>
                <w:szCs w:val="21"/>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Loans</w:t>
            </w:r>
          </w:p>
        </w:tc>
        <w:tc>
          <w:tcPr>
            <w:tcW w:w="1760" w:type="dxa"/>
            <w:vAlign w:val="bottom"/>
            <w:vMerge w:val="continue"/>
          </w:tcPr>
          <w:p>
            <w:pPr>
              <w:spacing w:after="0"/>
              <w:rPr>
                <w:sz w:val="21"/>
                <w:szCs w:val="21"/>
                <w:color w:val="auto"/>
              </w:rPr>
            </w:pPr>
          </w:p>
        </w:tc>
        <w:tc>
          <w:tcPr>
            <w:tcW w:w="14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II</w:t>
      </w: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III</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IV</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than or equal to 1.50 to 1.00</w:t>
      </w:r>
    </w:p>
    <w:p>
      <w:pPr>
        <w:spacing w:after="0" w:line="27"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Greater than 1.50 to 1.00, but less than or equal to 2.25 to 1.00</w:t>
      </w:r>
    </w:p>
    <w:p>
      <w:pPr>
        <w:spacing w:after="0" w:line="10"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Greater than 2.25 to 1.00, but less than or equal to 3.00 to 1.00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Greater than 3.00 to 1.00</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93"/>
              </w:rPr>
              <w:t>0.200%</w:t>
            </w:r>
          </w:p>
        </w:tc>
        <w:tc>
          <w:tcPr>
            <w:tcW w:w="1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1.25%</w:t>
            </w:r>
          </w:p>
        </w:tc>
        <w:tc>
          <w:tcPr>
            <w:tcW w:w="18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1.2826%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324"/>
        </w:trPr>
        <w:tc>
          <w:tcPr>
            <w:tcW w:w="12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93"/>
              </w:rPr>
              <w:t>0.225%</w:t>
            </w:r>
          </w:p>
        </w:tc>
        <w:tc>
          <w:tcPr>
            <w:tcW w:w="1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1.50%</w:t>
            </w:r>
          </w:p>
        </w:tc>
        <w:tc>
          <w:tcPr>
            <w:tcW w:w="18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1.5326%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r>
      <w:tr>
        <w:trPr>
          <w:trHeight w:val="418"/>
        </w:trPr>
        <w:tc>
          <w:tcPr>
            <w:tcW w:w="12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93"/>
              </w:rPr>
              <w:t>0.250%</w:t>
            </w:r>
          </w:p>
        </w:tc>
        <w:tc>
          <w:tcPr>
            <w:tcW w:w="1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1.75%</w:t>
            </w:r>
          </w:p>
        </w:tc>
        <w:tc>
          <w:tcPr>
            <w:tcW w:w="18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1.7826%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r>
      <w:tr>
        <w:trPr>
          <w:trHeight w:val="324"/>
        </w:trPr>
        <w:tc>
          <w:tcPr>
            <w:tcW w:w="12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93"/>
              </w:rPr>
              <w:t>0.300%</w:t>
            </w:r>
          </w:p>
        </w:tc>
        <w:tc>
          <w:tcPr>
            <w:tcW w:w="1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2.00%</w:t>
            </w:r>
          </w:p>
        </w:tc>
        <w:tc>
          <w:tcPr>
            <w:tcW w:w="18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2.0326%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-410845</wp:posOffset>
            </wp:positionV>
            <wp:extent cx="7132320" cy="265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3">
            <w:col w:w="600" w:space="580"/>
            <w:col w:w="3000" w:space="720"/>
            <w:col w:w="6340"/>
          </w:cols>
          <w:pgMar w:left="320" w:top="121" w:right="339" w:bottom="1440" w:gutter="0" w:footer="0" w:header="0"/>
          <w:type w:val="continuous"/>
        </w:sect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the event of default, outstanding borrowings would accrue interest at the Default Rate, as defined, whereby the obligations will bear interest at a per annum rate equal to 2% above the total per annum rate otherwise applicable.</w:t>
      </w:r>
    </w:p>
    <w:p>
      <w:pPr>
        <w:spacing w:after="0" w:line="9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Credit Facility provides for incremental revolving credit commitments for a minimum principal amount of $10.0 million, up to an aggregate amount of $150.0 million, subject to the lender's discretion to elect or decline the incremental increase. We can also borrow up to the lesser of $15.0 million or the revolving credit commitment, as defined, under a Swingline feature of the Credit Facility.</w:t>
      </w:r>
    </w:p>
    <w:p>
      <w:pPr>
        <w:spacing w:after="0" w:line="108"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The Credit Facility contains a: (1) Consolidated Interest Coverage Ratio requirement whereby we must not permit the Consolidated Interest Coverage Ratio, as defined, to be less than 2.25 to 1.00, and (2) Consolidated Leverage Ratio requirement, whereby we must not permit the Consolidated Leverage Ratio, as defined, to be greater than 3.25 to 1.00.</w:t>
      </w:r>
    </w:p>
    <w:p>
      <w:pPr>
        <w:spacing w:after="0" w:line="9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addition to maintaining these financial covenants, the Credit Facility also limits our ability to enter into certain business transactions, such as to incur indebtedness or liens, to acquire businesses or dispose of material assets, make restricted payments, pay dividends (limited to $20.0 million per year) and other transactions as further defined in the Credit Facility. Some of these limitations, however, do not take effect so long as total leverage is less than or equal to 2.75 to 1.00 and available liquidity exceeds $25.0 million. Substantially all of our domestic assets, with the exception of real property, are used as collateral for the Credit Agreement.</w:t>
      </w:r>
    </w:p>
    <w:p>
      <w:pPr>
        <w:spacing w:after="0" w:line="11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of April 30, 2022, we had $63.0 million of borrowings outstanding under the Credit Facility (reduced by unamortized debt issuance costs of $0.4 million), $4.4 million of outstanding letters of credit and $14.0 million outstanding primarily under finance leases and other debt. We had $257.6 million available for use under the 2018 Credit Facility at April 30, 2022. Outstanding borrowings under the 2018 Credit Facility accrue interest at 1.93% per annum. Our weighted average borrowing rate for borrowings outstanding during the six months ended April 30, 2022 and 2021 was 1.48% and 1.47%, respectively. We were in compliance with our debt covenants as of April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Retirement Plans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Pension Plan</w:t>
      </w:r>
    </w:p>
    <w:p>
      <w:pPr>
        <w:spacing w:after="0" w:line="173"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Our non-contributory, single employer defined benefit pension plan covers certain of our employees in the U.S. The net periodic pension cost for this plan for the three and six months ended April 30, 2022 and 2021 was as follows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2500" w:type="dxa"/>
            <w:vAlign w:val="bottom"/>
            <w:gridSpan w:val="4"/>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6"/>
                <w:szCs w:val="16"/>
                <w:color w:val="auto"/>
              </w:rPr>
            </w:pPr>
          </w:p>
        </w:tc>
      </w:tr>
      <w:tr>
        <w:trPr>
          <w:trHeight w:val="203"/>
        </w:trPr>
        <w:tc>
          <w:tcPr>
            <w:tcW w:w="5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80" w:type="dxa"/>
            <w:vAlign w:val="bottom"/>
            <w:gridSpan w:val="3"/>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900" w:type="dxa"/>
            <w:vAlign w:val="bottom"/>
          </w:tcPr>
          <w:p>
            <w:pPr>
              <w:spacing w:after="0"/>
              <w:rPr>
                <w:sz w:val="17"/>
                <w:szCs w:val="17"/>
                <w:color w:val="auto"/>
              </w:rPr>
            </w:pPr>
          </w:p>
        </w:tc>
      </w:tr>
      <w:tr>
        <w:trPr>
          <w:trHeight w:val="23"/>
        </w:trPr>
        <w:tc>
          <w:tcPr>
            <w:tcW w:w="50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50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r>
      <w:tr>
        <w:trPr>
          <w:trHeight w:val="229"/>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net loss</w:t>
            </w: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48"/>
        </w:trPr>
        <w:tc>
          <w:tcPr>
            <w:tcW w:w="5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periodic pension benefit</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During September 2021, we contributed $0.5 million to fund our plan. During fiscal 2022</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we do not expect to need to make a contribution to the pension plan to maintain targeted funding levels and meet minimum contribution requirements.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Plans</w:t>
      </w:r>
    </w:p>
    <w:p>
      <w:pPr>
        <w:spacing w:after="0" w:line="17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also have a supplemental benefit plan covering certain executive officers and key employees and a non-qualified deferred compensation plan covering members of the Board of Directors and certain key employees. As of April 30, 2022 and October 31, 2021, our liability under the supplemental benefit plan was approximately $2.9 million. As of April 30, 2022 and October 31, 2021, the liability associated with the deferred compensation plan was approximately $3.2 million and $3.4 million, respectively. We record the current portion of liabilities associated with these plans under the caption “Accrued Liabilities,” and the long-term portion under the caption “Other Liabilities” in the accompanying condensed consolidated balance sheets.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Income Taxes</w:t>
      </w:r>
    </w:p>
    <w:p>
      <w:pPr>
        <w:spacing w:after="0" w:line="175"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To determine our income tax expense or benefit for interim periods, consistent with accounting standards, we apply the estimated annual effective income tax rate to year-to-date results, plus any applicable discrete items, which are recorded in the period in which they occur. Discrete items include, among others, such events as changes in estimates due to the finalization of tax returns, tax audit settlements, expiration of statutes of limitations, tax benefits on equity compensation, and increase or decrease in valuation allowances on deferred tax assets. Our annual effective tax rates from continuing operations for the six months ended April 30, 2022 and 2021 were 25.2% and 27.3%, respectively. The difference between our effective income tax rate and the U.S. federal statutory rate of 21% principally results from discrete tax items, U.S. state tax, non-U.S. tax rate differential and other permanent differences. The primary discrete items affecting the 2022 effective rate were a benefit of $0.2 million related to the vesting or exercise of equity-based compensation awards and a benefit of $1.0 million for the true-up of our accruals and related deferred taxes from prior year. The 2021 effective tax rate was primarily impacted by state income taxes and the $0.8 million true-up of our deferred taxes from prior year filings, partially offset by a discrete benefit of $0.6 million related to the vesting or exercise of equity-based compensation awards.</w:t>
      </w:r>
    </w:p>
    <w:p>
      <w:pPr>
        <w:spacing w:after="0" w:line="8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As of April 30, 2022, our liability for uncertain tax positions (UTP) of $1.4 million relates to certain U.S. federal and state tax items regarding the interpretation of tax laws and regulations, including a minimal amount of interest and penalties. We include all interest and penalties related to uncertain tax benefits within our income tax provision account. To the extent interest and penalties are not assessed with respect to uncertain tax positions or the uncertainty of deductions in the future, amounts accrued will be reduced and reflected as a reduction of the overall income tax provision. Our total unrecognized tax benefits, if recognized, would not materially affect our effective tax rate. We do not believe that the recorded amount of unrecognized tax benefits will decrease significantly within the next twelve months.</w:t>
      </w:r>
    </w:p>
    <w:p>
      <w:pPr>
        <w:spacing w:after="0" w:line="133"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We evaluate the likelihood of realization of our deferred tax assets by considering both positive and negative evidence. We maintain a valuation allowance for certain state net operating losses which totaled $1.3 million as of April 30, 2022 and October 31, 2021.</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and Environmental Compliance Costs</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Under applicable state and federal laws, we may be responsible for, among other things, all or part of the costs required to remove or remediate wastes or hazardous substances at locations we, or our predecessors, have owned or operated. From time to time, we also have been alleged to be liable for all or part of the costs incurred to clean up third-party sites where there might have been an alleged improper disposal of hazardous substances. At present, we are not involved in any such matters.</w:t>
      </w:r>
    </w:p>
    <w:p>
      <w:pPr>
        <w:spacing w:after="0" w:line="12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From time to time, we incur routine expenses and capital expenditures associated with compliance with existing environmental regulations, including control of air emissions and water discharges, and plant decommissioning costs. We have not incurred any material expenses or capital expenditures related to environmental matters during the past three fiscal years, and do not expect to incur a material amount of such costs in fiscal 2022. While we will continue to have future expenditures related to environmental matters, any such amounts are impossible to reasonably estimate at this time. Based upon our experience to date, we do not believe that our compliance with environmental requirements will have a material adverse effect on our operations, financial condition or cash 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7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From time to time, we, along with our subsidiaries, are involved in various litigation matters arising in the ordinary course of our business, including those arising from or related to contractual matters, commercial disputes, intellectual property, personal injury, environmental matters, product performance or warranties, product liability, insurance coverage and personnel and employment disputes. We regularly review with legal counsel the status of all ongoing proceedings, and we maintain insurance against these risks to the extent deemed prudent by our management and to the extent such insurance is available. However, there is no assurance that we will prevail in these matters or that our insurers will accept full coverage of these matters, and we could, in the future, incur judgments, enter into settlements of claims, or revise our expectations regarding the outcome or insurability of matters we face, which could materially impact our results of operations.</w:t>
      </w:r>
    </w:p>
    <w:p>
      <w:pPr>
        <w:spacing w:after="0" w:line="13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have been and are currently party to multiple claims, some of which are in litigation, relating to alleged defects in a commercial sealant product that was manufactured and sold during the 2000’s. While we believe that our product was not defective and that we would prevail in these commercial sealant product claims if taken to trial, the timing, ultimate resolution and potential impact of these claims is not currently determinable. Nevertheless, after taking into account all currently available information, including our defenses, the advice of our counsel, and the extent and currently-expected availability of our existing insurance coverage, we believe that the eventual outcome of these commercial sealant claims will not have a material adverse effect on our overall financial condition, results of operations or cash flows, and we have not recorded any accrual with regard to these claims.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Fair Value Measurement of Assets and Liabilities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data developed based on the best information available in the circumstances (unobservable inputs). The fair value hierarchy consists of three broad levels, which gives the highest priority to Level 1 and the lowest priority to Level 3. The three levels of the fair value hierarchy are described below:</w:t>
      </w:r>
    </w:p>
    <w:p>
      <w:pPr>
        <w:spacing w:after="0" w:line="75" w:lineRule="exact"/>
        <w:rPr>
          <w:sz w:val="20"/>
          <w:szCs w:val="20"/>
          <w:color w:val="auto"/>
        </w:rPr>
      </w:pPr>
    </w:p>
    <w:p>
      <w:pPr>
        <w:ind w:left="480" w:hanging="148"/>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unrestricted assets or liabilities.</w:t>
      </w:r>
    </w:p>
    <w:p>
      <w:pPr>
        <w:spacing w:after="0" w:line="117" w:lineRule="exact"/>
        <w:rPr>
          <w:rFonts w:ascii="Times New Roman" w:cs="Times New Roman" w:eastAsia="Times New Roman" w:hAnsi="Times New Roman"/>
          <w:sz w:val="18"/>
          <w:szCs w:val="18"/>
          <w:color w:val="auto"/>
        </w:rPr>
      </w:pPr>
    </w:p>
    <w:p>
      <w:pPr>
        <w:jc w:val="both"/>
        <w:ind w:left="500" w:hanging="168"/>
        <w:spacing w:after="0" w:line="261"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within Level 1 that are observable for the asset or liability either directly or indirectly including quoted prices for similar assets or liabilities in active markets; quoted prices for identical or similar assets or liabilities in markets that are not active; inputs other than quoted prices that are observable for the asset or liability (e.g., interest rates) and inputs that are derived principally from or corroborated by observable market data by correlation or other means.</w:t>
      </w:r>
    </w:p>
    <w:p>
      <w:pPr>
        <w:spacing w:after="0" w:line="71"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that are both significant to the fair value measurement and unobservable.</w:t>
      </w:r>
    </w:p>
    <w:p>
      <w:pPr>
        <w:spacing w:after="0" w:line="171"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As of April 30, 2022, foreign currency derivatives were being measured on a recurring basis. Less than $0.1 million of foreign currency derivatives were included in total assets as of April 30, 2022. There were no outstanding foreign currency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derivatives as of October 31, 2021. All of our derivative contracts are valued using quoted market prices from brokers or exchanges and are classified within Level 2 of the fair value hierarchy.</w:t>
      </w:r>
    </w:p>
    <w:p>
      <w:pPr>
        <w:spacing w:after="0" w:line="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Carrying amounts reported on the balance sheet for cash, cash equivalents, accounts receivable and accounts payable approximate fair value due to the short-term maturity of these instruments. Our outstanding debt is variable rate debt that re-prices frequently, thereby limiting our exposure to significant change in interest rate risk. As a result, the fair value of our debt instrument approximates carrying value at April 30, 2022, and October 31, 2021 (Level 2 measurement).</w:t>
      </w:r>
    </w:p>
    <w:p>
      <w:pPr>
        <w:spacing w:after="0" w:line="12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performance share awards are marked-to-market on a quarterly basis during a three-year vesting period based on market data (Level 2 measurement). For further information, refer to Note 9, “Stock-Based Compensation - Performance Share Awards.”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have established and maintain an Omnibus Incentive Plan (2020 Plan) that provides for the granting of restricted stock awards, stock options, restricted stock units, performance share awards, performance restricted stock units, and other stock-based and cash-based awards. The 2020 Plan is administered by the Compensation and Management Development Committee of the Board of Directors.</w:t>
      </w:r>
    </w:p>
    <w:p>
      <w:pPr>
        <w:spacing w:after="0" w:line="122"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aggregate number of shares of common stock authorized for grant under the 2020 Plan is 3,139,895 as approved by shareholders. Any officer, key employee and/or non-employee director is eligible for awards under the 2020 Plan. We grant restricted stock units to non-employee directors on the first business day of each fiscal year. As approved by the Compensation &amp; Management Development Committee of our Board of Directors annually, we grant a mix of restricted stock awards, restricted stock units, performance shares and/or performance restricted stock units to officers, management and key employees. We also historically granted stock options to certain officers, directors and key employees. Occasionally, we may make additional grants to key employees at other times during the year.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173"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Restricted stock awards are granted to key employees and officers annually, and typically cliff vest over a three-year period with service and continued employment as the only vesting criteria. The recipient of the restricted stock award is entitled to all of the rights of a shareholder, except that the award is nontransferable during the vesting period. The fair value of the restricted stock award is established on the grant date and then expensed over the vesting period resulting in an increase in additional paid-in-capital. Shares are generally issued from treasury stock at the time of grant.</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non-vested restricted stock awards activity during the six months ended April 30, 2022 is presented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186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Restricted Stock Awards</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6"/>
        </w:trPr>
        <w:tc>
          <w:tcPr>
            <w:tcW w:w="7080" w:type="dxa"/>
            <w:vAlign w:val="bottom"/>
            <w:tcBorders>
              <w:bottom w:val="single" w:sz="8" w:color="CCEEFF"/>
            </w:tcBorders>
          </w:tcPr>
          <w:p>
            <w:pPr>
              <w:spacing w:after="0"/>
              <w:rPr>
                <w:sz w:val="17"/>
                <w:szCs w:val="17"/>
                <w:color w:val="auto"/>
              </w:rPr>
            </w:pPr>
          </w:p>
        </w:tc>
        <w:tc>
          <w:tcPr>
            <w:tcW w:w="18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1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Grant Date Fair Value per Share</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October 31, 2021</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216,400</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0" w:type="dxa"/>
            <w:vAlign w:val="bottom"/>
          </w:tcPr>
          <w:p>
            <w:pPr>
              <w:spacing w:after="0"/>
              <w:rPr>
                <w:sz w:val="1"/>
                <w:szCs w:val="1"/>
                <w:color w:val="auto"/>
              </w:rPr>
            </w:pPr>
          </w:p>
        </w:tc>
      </w:tr>
      <w:tr>
        <w:trPr>
          <w:trHeight w:val="230"/>
        </w:trPr>
        <w:tc>
          <w:tcPr>
            <w:tcW w:w="7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(88,700)</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0" w:type="dxa"/>
            <w:vAlign w:val="bottom"/>
          </w:tcPr>
          <w:p>
            <w:pPr>
              <w:spacing w:after="0"/>
              <w:rPr>
                <w:sz w:val="1"/>
                <w:szCs w:val="1"/>
                <w:color w:val="auto"/>
              </w:rPr>
            </w:pP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April 30, 2022</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212,100</w:t>
            </w: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The total weighted average grant-date fair value of restricted stock awards that vested during each of the six months ended April 30, 2022 and 2021 was $1.2 million and $0.9 million, respectively. As of April 30, 2022, total unrecognized compensation cost related to unamortized restricted stock awards was $2.7 million. We expect to recognize this expense over the remaining weighted average vesting period of 2.1 years.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Historically, stock options have been awarded to key employees, officers and non-employee directors. In December 2017, the Compensation &amp; Management Development Committee of the Board of Directors approved a change to the long-term incentive award program eliminating the grant of stock options and replacing this award with a grant of performance restricted stock units and performance shares as further described below. As a result, the final stock options were granted during the fiscal year ended October 31, 2017. Stock options typically vested ratably over a three-year period with service and continued employment as the vesting conditions. Our stock options may be exercised up to a maximum of ten years from the date of grant. The fair value of the stock options was determined on the grant date and expensed over the vesting period resulting in an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increase in additional paid-in-capital. For employees who were nearing retirement-eligibility, we recognized stock option expense ratably over the shorter of the vesting period or the period from the grant-date to the retirement-eligibility date.</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use a Black-Scholes pricing model to estimate the fair value of stock options. A description of the methodology for the valuation assumptions was disclosed in our Annual Report on Form 10-K for the fiscal year ended October 31, 2021.</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stock option activity for the six months ended April 30, 2022:</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0" w:type="dxa"/>
            <w:vAlign w:val="bottom"/>
          </w:tcPr>
          <w:p>
            <w:pPr>
              <w:spacing w:after="0"/>
              <w:rPr>
                <w:sz w:val="13"/>
                <w:szCs w:val="13"/>
                <w:color w:val="auto"/>
              </w:rPr>
            </w:pPr>
          </w:p>
        </w:tc>
        <w:tc>
          <w:tcPr>
            <w:tcW w:w="112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52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7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200" w:type="dxa"/>
            <w:vAlign w:val="bottom"/>
          </w:tcPr>
          <w:p>
            <w:pPr>
              <w:spacing w:after="0"/>
              <w:rPr>
                <w:sz w:val="12"/>
                <w:szCs w:val="12"/>
                <w:color w:val="auto"/>
              </w:rPr>
            </w:pPr>
          </w:p>
        </w:tc>
        <w:tc>
          <w:tcPr>
            <w:tcW w:w="112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200" w:type="dxa"/>
            <w:vAlign w:val="bottom"/>
          </w:tcPr>
          <w:p>
            <w:pPr>
              <w:spacing w:after="0"/>
              <w:rPr>
                <w:sz w:val="17"/>
                <w:szCs w:val="17"/>
                <w:color w:val="auto"/>
              </w:rPr>
            </w:pPr>
          </w:p>
        </w:tc>
        <w:tc>
          <w:tcPr>
            <w:tcW w:w="112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Value (000s)</w:t>
            </w:r>
          </w:p>
        </w:tc>
        <w:tc>
          <w:tcPr>
            <w:tcW w:w="0" w:type="dxa"/>
            <w:vAlign w:val="bottom"/>
          </w:tcPr>
          <w:p>
            <w:pPr>
              <w:spacing w:after="0"/>
              <w:rPr>
                <w:sz w:val="1"/>
                <w:szCs w:val="1"/>
                <w:color w:val="auto"/>
              </w:rPr>
            </w:pPr>
          </w:p>
        </w:tc>
      </w:tr>
      <w:tr>
        <w:trPr>
          <w:trHeight w:val="229"/>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October 31, 2021</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218,304</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2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(8,737)</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Forfeited/Expired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2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April 30,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209,067</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Vested at April 30, 2022</w:t>
            </w:r>
          </w:p>
        </w:tc>
        <w:tc>
          <w:tcPr>
            <w:tcW w:w="15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209,067</w:t>
            </w:r>
          </w:p>
        </w:tc>
        <w:tc>
          <w:tcPr>
            <w:tcW w:w="36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19.36</w:t>
            </w:r>
          </w:p>
        </w:tc>
        <w:tc>
          <w:tcPr>
            <w:tcW w:w="200" w:type="dxa"/>
            <w:vAlign w:val="bottom"/>
          </w:tcPr>
          <w:p>
            <w:pPr>
              <w:spacing w:after="0"/>
              <w:rPr>
                <w:sz w:val="17"/>
                <w:szCs w:val="17"/>
                <w:color w:val="auto"/>
              </w:rPr>
            </w:pPr>
          </w:p>
        </w:tc>
        <w:tc>
          <w:tcPr>
            <w:tcW w:w="15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7"/>
                <w:szCs w:val="17"/>
                <w:color w:val="auto"/>
              </w:rPr>
            </w:pPr>
          </w:p>
        </w:tc>
        <w:tc>
          <w:tcPr>
            <w:tcW w:w="20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April 30,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209,067</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Intrinsic value is the amount by which the market price of the common stock on the date of exercise exceeds the exercise price of the stock option. The total intrinsic value of stock options exercised during the six months ended April 30, 2022 and 2021 was less than $0.1 million and $4.2 million, 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73"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Restricted stock units may be awarded to key employees and officers from time to time, and annually to non-employee directors. The non-employee director restricted stock units vest immediately but are payable only upon the director's cessation of service unless an election is made by the non-employee director to settle and pay the award on an earlier specified date. Restricted stock units awarded to employees and officers typically cliff vest after a three-year period with service and continued employment as the vesting conditions. Restricted stock units are not considered outstanding shares and do not have voting rights, although the holder does receive a cash payment equivalent to the dividend paid, on a one-for-one basis, on our outstanding common shares. Once the criteria is met, each restricted stock unit is payable to the holder in cash based on the market value of one share of our common stock. Accordingly, we record a liability for the restricted stock units on our balance sheet and recognize any changes in the market value during each reporting period as compensation expense.</w:t>
      </w:r>
    </w:p>
    <w:p>
      <w:pPr>
        <w:spacing w:after="0" w:line="13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six months ended April 30, 2022 and 2021, non-employee directors received 36,669 and 28,826 restricted stock units, respectively, at a weighted average grant date fair value of $22.52 per share and $18.79 per share, respectively, which vested immediately. As of April 30, 2022, there were 21,774 non-vested restricted stock units, which were awarded in January 2020 to key employees at a weighted average grant date fair value of $17.08. During the six months ended April 30, 2022 we paid $1.0 million and $0.8 million for the comparable prior year to settle vested restricted stock units.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Share Awards</w:t>
      </w:r>
    </w:p>
    <w:p>
      <w:pPr>
        <w:spacing w:after="0" w:line="17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have awarded annual grants of performance shares to key employees and officers. Performance share awards vest with return on net assets (RONA) as the vesting condition and pay out 100% in cash, and are accounted for as liability.</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expected cash settlement of the performance share award is recorded as a liability and is being marked to market over the three-year term of the award and can fluctuate depending on the number of shares ultimately expected to vest. Depending on the achievement of the performance conditions, 0% to 200% of the awarded performance shares may ultimately vest.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performance share grants and the grant date fair value for the RONA performance metrics:</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gridSpan w:val="2"/>
            <w:vMerge w:val="restart"/>
          </w:tcPr>
          <w:p>
            <w:pPr>
              <w:ind w:left="344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 Awarded</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 Forfeited</w:t>
            </w:r>
          </w:p>
        </w:tc>
        <w:tc>
          <w:tcPr>
            <w:tcW w:w="0" w:type="dxa"/>
            <w:vAlign w:val="bottom"/>
          </w:tcPr>
          <w:p>
            <w:pPr>
              <w:spacing w:after="0"/>
              <w:rPr>
                <w:sz w:val="1"/>
                <w:szCs w:val="1"/>
                <w:color w:val="auto"/>
              </w:rPr>
            </w:pPr>
          </w:p>
        </w:tc>
      </w:tr>
      <w:tr>
        <w:trPr>
          <w:trHeight w:val="200"/>
        </w:trPr>
        <w:tc>
          <w:tcPr>
            <w:tcW w:w="786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5, 2019</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0" w:type="dxa"/>
            <w:vAlign w:val="bottom"/>
          </w:tcPr>
          <w:p>
            <w:pPr>
              <w:spacing w:after="0"/>
              <w:rPr>
                <w:sz w:val="1"/>
                <w:szCs w:val="1"/>
                <w:color w:val="auto"/>
              </w:rPr>
            </w:pPr>
          </w:p>
        </w:tc>
      </w:tr>
      <w:tr>
        <w:trPr>
          <w:trHeight w:val="229"/>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2, 2020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65,300</w:t>
            </w:r>
          </w:p>
        </w:tc>
        <w:tc>
          <w:tcPr>
            <w:tcW w:w="12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9, 2021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December 2021, 183,000 shares vested pursuant to the December 2018 grant, which were settled with a cash payment of $3.8 million.</w:t>
      </w:r>
    </w:p>
    <w:p>
      <w:pPr>
        <w:spacing w:after="0" w:line="17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Performance share awards are payable in cash based upon the number of performance shares ultimately earned, and are therefore not considered outstanding shares.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Restricted Stock Units</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award performance restricted stock units to key employees and officers. These awards cliff vest upon a three-year service period with the absolute total shareholder return of our common stock over this three-year term as the vesting criteria. The number of shares earned is variable depending on the metric achieved, and the settlement method is 100% in our common stock, with accrued dividends paid in cash at the time of vesting, assuming the shares had been outstanding throughout the performance period.</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To value the performance restricted stock units, we used a Monte Carlo simulation model to arrive at a grant-date fair value. This amount will be adjusted for forfeitures and expensed over the three-year term of the award with a credit to additional paid-in-capital. Depending on the achievement of the performance conditions, a minimum of 0% and a maximum of 150% of the awarded performance restricted stock units may vest. Specifically, the awards vest on a continuum with the following Absolute Total Shareholder Return (A-TSR) milestones: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Vesting Level</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Vesting Criteria</w:t>
            </w:r>
          </w:p>
        </w:tc>
        <w:tc>
          <w:tcPr>
            <w:tcW w:w="34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Percentage of Award Vested</w:t>
            </w:r>
          </w:p>
        </w:tc>
      </w:tr>
      <w:tr>
        <w:trPr>
          <w:trHeight w:val="223"/>
        </w:trPr>
        <w:tc>
          <w:tcPr>
            <w:tcW w:w="2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1</w:t>
            </w:r>
          </w:p>
        </w:tc>
        <w:tc>
          <w:tcPr>
            <w:tcW w:w="100" w:type="dxa"/>
            <w:vAlign w:val="bottom"/>
            <w:tcBorders>
              <w:top w:val="single" w:sz="8" w:color="CCEEFF"/>
            </w:tcBorders>
            <w:shd w:val="clear" w:color="auto" w:fill="CCEEFF"/>
          </w:tcPr>
          <w:p>
            <w:pPr>
              <w:spacing w:after="0"/>
              <w:rPr>
                <w:sz w:val="19"/>
                <w:szCs w:val="19"/>
                <w:color w:val="auto"/>
              </w:rPr>
            </w:pPr>
          </w:p>
        </w:tc>
        <w:tc>
          <w:tcPr>
            <w:tcW w:w="5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A-TSR greater than or equal to 50%</w:t>
            </w:r>
          </w:p>
        </w:tc>
        <w:tc>
          <w:tcPr>
            <w:tcW w:w="120" w:type="dxa"/>
            <w:vAlign w:val="bottom"/>
            <w:tcBorders>
              <w:top w:val="single" w:sz="8" w:color="CCEEFF"/>
            </w:tcBorders>
            <w:shd w:val="clear" w:color="auto" w:fill="CCEEFF"/>
          </w:tcPr>
          <w:p>
            <w:pPr>
              <w:spacing w:after="0"/>
              <w:rPr>
                <w:sz w:val="19"/>
                <w:szCs w:val="19"/>
                <w:color w:val="auto"/>
              </w:rPr>
            </w:pPr>
          </w:p>
        </w:tc>
        <w:tc>
          <w:tcPr>
            <w:tcW w:w="3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r>
      <w:tr>
        <w:trPr>
          <w:trHeight w:val="22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A-TSR less than 50% and greater than or equal to 20%</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3</w:t>
            </w:r>
          </w:p>
        </w:tc>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A-TSR less than 20% and greater than or equal to -20%</w:t>
            </w:r>
          </w:p>
        </w:tc>
        <w:tc>
          <w:tcPr>
            <w:tcW w:w="3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r>
      <w:tr>
        <w:trPr>
          <w:trHeight w:val="234"/>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Level 4</w:t>
            </w:r>
          </w:p>
        </w:tc>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A-TSR less than -20%</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performance restricted stock unit grants and the grant date fair value for the A-TSR performance metric:</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gridSpan w:val="2"/>
            <w:vMerge w:val="restart"/>
          </w:tcPr>
          <w:p>
            <w:pPr>
              <w:ind w:left="344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 Awarded</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 Forfeited</w:t>
            </w:r>
          </w:p>
        </w:tc>
        <w:tc>
          <w:tcPr>
            <w:tcW w:w="0" w:type="dxa"/>
            <w:vAlign w:val="bottom"/>
          </w:tcPr>
          <w:p>
            <w:pPr>
              <w:spacing w:after="0"/>
              <w:rPr>
                <w:sz w:val="1"/>
                <w:szCs w:val="1"/>
                <w:color w:val="auto"/>
              </w:rPr>
            </w:pPr>
          </w:p>
        </w:tc>
      </w:tr>
      <w:tr>
        <w:trPr>
          <w:trHeight w:val="200"/>
        </w:trPr>
        <w:tc>
          <w:tcPr>
            <w:tcW w:w="786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5, 2019</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2, 2020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38,400</w:t>
            </w:r>
          </w:p>
        </w:tc>
        <w:tc>
          <w:tcPr>
            <w:tcW w:w="12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2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9, 2021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six months ended April 30, 2022, 87,919 performance restricted stock units vested.</w:t>
      </w:r>
    </w:p>
    <w:p>
      <w:pPr>
        <w:spacing w:after="0" w:line="17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performance restricted stock units are not considered outstanding shares, do not have voting rights, and are excluded from diluted weighted-average shares used to calculate earnings per share until the performance criteria is probable to result in the issuance of contingent shares. As of April 30, 2022, we have deemed 27,979 shares related to the December 2019 grant of performance restricted stock units as probable to 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38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following table summarizes amounts expensed as selling, general and administrative expense related to restricted stock awards, stock options, restricted stock units, performance share awards and performance restricted stock units for the three and six months ended April 30, 2022 and 2021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2460" w:type="dxa"/>
            <w:vAlign w:val="bottom"/>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6"/>
                <w:szCs w:val="16"/>
                <w:color w:val="auto"/>
              </w:rPr>
            </w:pPr>
          </w:p>
        </w:tc>
      </w:tr>
      <w:tr>
        <w:trPr>
          <w:trHeight w:val="203"/>
        </w:trPr>
        <w:tc>
          <w:tcPr>
            <w:tcW w:w="5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gridSpan w:val="3"/>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900" w:type="dxa"/>
            <w:vAlign w:val="bottom"/>
          </w:tcPr>
          <w:p>
            <w:pPr>
              <w:spacing w:after="0"/>
              <w:rPr>
                <w:sz w:val="17"/>
                <w:szCs w:val="17"/>
                <w:color w:val="auto"/>
              </w:rPr>
            </w:pPr>
          </w:p>
        </w:tc>
      </w:tr>
      <w:tr>
        <w:trPr>
          <w:trHeight w:val="23"/>
        </w:trPr>
        <w:tc>
          <w:tcPr>
            <w:tcW w:w="50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50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92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w:t>
            </w: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share awards</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w:t>
            </w: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restricted stock units</w:t>
            </w:r>
          </w:p>
        </w:tc>
        <w:tc>
          <w:tcPr>
            <w:tcW w:w="9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6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6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6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23"/>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compensation expense</w:t>
            </w:r>
          </w:p>
        </w:tc>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60" w:type="dxa"/>
            <w:vAlign w:val="bottom"/>
          </w:tcPr>
          <w:p>
            <w:pPr>
              <w:spacing w:after="0"/>
              <w:rPr>
                <w:sz w:val="19"/>
                <w:szCs w:val="19"/>
                <w:color w:val="auto"/>
              </w:rPr>
            </w:pP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160" w:type="dxa"/>
            <w:vAlign w:val="bottom"/>
          </w:tcPr>
          <w:p>
            <w:pPr>
              <w:spacing w:after="0"/>
              <w:rPr>
                <w:sz w:val="19"/>
                <w:szCs w:val="19"/>
                <w:color w:val="auto"/>
              </w:rPr>
            </w:pP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16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6,456</w:t>
            </w:r>
          </w:p>
        </w:tc>
      </w:tr>
      <w:tr>
        <w:trPr>
          <w:trHeight w:val="21"/>
        </w:trPr>
        <w:tc>
          <w:tcPr>
            <w:tcW w:w="5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Shares</w:t>
      </w:r>
    </w:p>
    <w:p>
      <w:pPr>
        <w:spacing w:after="0" w:line="17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record treasury stock purchases under the cost method whereby the entire cost of the acquired stock is recorded as treasury stock. Shares are generally issued from treasury stock at the time of grant of restricted stock awards, upon the exercise of stock options, and upon the vesting of performance shares and performance restricted stock units. On the subsequent issuance of treasury shares, we record proceeds in excess of cost as an increase in additional paid in capital. A deficiency of such proceeds relative to costs would be applied to reduce paid-in-capital associated with prior issuances to the extent available, with the remainder recorded as a charge to retained earnings. There were no charges to retained earnings during the six months ended April 30, 2022.</w:t>
      </w:r>
    </w:p>
    <w:p>
      <w:pPr>
        <w:spacing w:after="0" w:line="1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treasury stock activity during the six months ended April 30, 2022:</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60" w:type="dxa"/>
            <w:vAlign w:val="bottom"/>
          </w:tcPr>
          <w:p>
            <w:pPr>
              <w:spacing w:after="0"/>
              <w:rPr>
                <w:sz w:val="16"/>
                <w:szCs w:val="16"/>
                <w:color w:val="auto"/>
              </w:rPr>
            </w:pPr>
          </w:p>
        </w:tc>
        <w:tc>
          <w:tcPr>
            <w:tcW w:w="21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03"/>
        </w:trPr>
        <w:tc>
          <w:tcPr>
            <w:tcW w:w="9060" w:type="dxa"/>
            <w:vAlign w:val="bottom"/>
          </w:tcPr>
          <w:p>
            <w:pPr>
              <w:spacing w:after="0"/>
              <w:rPr>
                <w:sz w:val="17"/>
                <w:szCs w:val="17"/>
                <w:color w:val="auto"/>
              </w:rPr>
            </w:pPr>
          </w:p>
        </w:tc>
        <w:tc>
          <w:tcPr>
            <w:tcW w:w="218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April 30, 2022</w:t>
            </w:r>
          </w:p>
        </w:tc>
      </w:tr>
      <w:tr>
        <w:trPr>
          <w:trHeight w:val="23"/>
        </w:trPr>
        <w:tc>
          <w:tcPr>
            <w:tcW w:w="906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as of November 1, 2021</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3,998,725</w:t>
            </w:r>
          </w:p>
        </w:tc>
      </w:tr>
      <w:tr>
        <w:trPr>
          <w:trHeight w:val="230"/>
        </w:trPr>
        <w:tc>
          <w:tcPr>
            <w:tcW w:w="9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stock awards granted</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(84,400)</w:t>
            </w:r>
          </w:p>
        </w:tc>
      </w:tr>
      <w:tr>
        <w:trPr>
          <w:trHeight w:val="230"/>
        </w:trPr>
        <w:tc>
          <w:tcPr>
            <w:tcW w:w="9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Performance restricted stock units vested</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(87,919)</w:t>
            </w:r>
          </w:p>
        </w:tc>
      </w:tr>
      <w:tr>
        <w:trPr>
          <w:trHeight w:val="229"/>
        </w:trPr>
        <w:tc>
          <w:tcPr>
            <w:tcW w:w="9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options exercised</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(8,737)</w:t>
            </w:r>
          </w:p>
        </w:tc>
      </w:tr>
      <w:tr>
        <w:trPr>
          <w:trHeight w:val="230"/>
        </w:trPr>
        <w:tc>
          <w:tcPr>
            <w:tcW w:w="9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stock repurchases</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r>
      <w:tr>
        <w:trPr>
          <w:trHeight w:val="223"/>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April 30, 2022</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3,892,669</w:t>
            </w:r>
          </w:p>
        </w:tc>
      </w:tr>
      <w:tr>
        <w:trPr>
          <w:trHeight w:val="21"/>
        </w:trPr>
        <w:tc>
          <w:tcPr>
            <w:tcW w:w="906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Other, net</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net on the condensed consolidated statements of income consisted of the following for the three and six months ended April 30,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2540" w:type="dxa"/>
            <w:vAlign w:val="bottom"/>
            <w:gridSpan w:val="4"/>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6"/>
                <w:szCs w:val="16"/>
                <w:color w:val="auto"/>
              </w:rPr>
            </w:pPr>
          </w:p>
        </w:tc>
      </w:tr>
      <w:tr>
        <w:trPr>
          <w:trHeight w:val="202"/>
        </w:trPr>
        <w:tc>
          <w:tcPr>
            <w:tcW w:w="5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80" w:type="dxa"/>
            <w:vAlign w:val="bottom"/>
            <w:gridSpan w:val="3"/>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8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900" w:type="dxa"/>
            <w:vAlign w:val="bottom"/>
          </w:tcPr>
          <w:p>
            <w:pPr>
              <w:spacing w:after="0"/>
              <w:rPr>
                <w:sz w:val="17"/>
                <w:szCs w:val="17"/>
                <w:color w:val="auto"/>
              </w:rPr>
            </w:pPr>
          </w:p>
        </w:tc>
      </w:tr>
      <w:tr>
        <w:trPr>
          <w:trHeight w:val="23"/>
        </w:trPr>
        <w:tc>
          <w:tcPr>
            <w:tcW w:w="50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50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transaction gains (losses)</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derivative gains</w:t>
            </w: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service benefit</w:t>
            </w: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60" w:type="dxa"/>
            <w:vAlign w:val="bottom"/>
          </w:tcPr>
          <w:p>
            <w:pPr>
              <w:spacing w:after="0"/>
              <w:rPr>
                <w:sz w:val="19"/>
                <w:szCs w:val="19"/>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60" w:type="dxa"/>
            <w:vAlign w:val="bottom"/>
          </w:tcPr>
          <w:p>
            <w:pPr>
              <w:spacing w:after="0"/>
              <w:rPr>
                <w:sz w:val="19"/>
                <w:szCs w:val="19"/>
                <w:color w:val="auto"/>
              </w:rPr>
            </w:pPr>
          </w:p>
        </w:tc>
        <w:tc>
          <w:tcPr>
            <w:tcW w:w="98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6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1"/>
        </w:trPr>
        <w:tc>
          <w:tcPr>
            <w:tcW w:w="5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175"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present three reportable business segments (1) NA Fenestration, comprising three operating segments primarily focused on the fenestration market in North America including vinyl profiles, insulating glass spacers, screens &amp; other fenestration components; (2) EU Fenestration, comprising our U.K.-based vinyl extrusion business, manufacturing vinyl profiles &amp; conservatories, and the European insulating glass business manufacturing insulating glass spacers; and (3) NA Cabinet Components, comprising our cabinet door and components operations. We maintain an Unallocated Corporate &amp; Other which includes transaction expenses, stock-based compensation, long-term incentive awards based on the performance of our common stock and other factors, certain severance, legal, and other costs not deemed to be allocable to all segments, depreciation of corporate assets, interest expense, other, net, income taxes and inter-segment eliminations, and executive incentive compensation and medical expense fluctuations relative to planned costs as determined during the annual planning process. Other general and administrative costs associated with the corporate office are allocated to the reportable segments, based upon a relative measure of profitability in order to more accurately reflect each reportable business segment's administrative costs. We allocate corporate expenses to businesses acquired mid-year from the date of acquisition. The accounting policies of our operating segments are the same as those used to prepare the accompanying condensed consolidated financial statements. Corporate general and administrative expense allocated during the three and six month period ended April 30, 2022 was $5.5 million and $11.3 million, respectively, and $5.4 million and $10.7 million for the comparable prior year periods.</w:t>
      </w:r>
    </w:p>
    <w:p>
      <w:pPr>
        <w:spacing w:after="0" w:line="13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ASC Topic 280-10-50, “Segment Reporting” (ASC 280) permits aggregation of operating segments based on factors including, but not limited to: (1) similar nature of products serving the building products industry, primarily the fenestration business; (2) similar production processes, although there are some differences in the amount of automation amongst operating plants; (3) similar types or classes of customers, namely the primary OEMs; (4) similar distribution methods for product delivery, although the extent of the use of third-party distributors will vary amongst the businesses; (5) similar regulatory environment; and (6) converging long-term economic similarities.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Segment information for the three and six months ended April 30, 2022 and 2021, and total assets as of April 30, 2022 and October 31, 2021 are summarized in the following table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 Fenestration</w:t>
            </w:r>
          </w:p>
        </w:tc>
        <w:tc>
          <w:tcPr>
            <w:tcW w:w="120" w:type="dxa"/>
            <w:vAlign w:val="bottom"/>
          </w:tcPr>
          <w:p>
            <w:pPr>
              <w:spacing w:after="0"/>
              <w:rPr>
                <w:sz w:val="13"/>
                <w:szCs w:val="13"/>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EU Fenestration</w:t>
            </w:r>
          </w:p>
        </w:tc>
        <w:tc>
          <w:tcPr>
            <w:tcW w:w="1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 Cabinet Comp.</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Unallocated Corp.</w:t>
            </w:r>
          </w:p>
        </w:tc>
        <w:tc>
          <w:tcPr>
            <w:tcW w:w="300" w:type="dxa"/>
            <w:vAlign w:val="bottom"/>
          </w:tcPr>
          <w:p>
            <w:pPr>
              <w:spacing w:after="0"/>
              <w:rPr>
                <w:sz w:val="13"/>
                <w:szCs w:val="13"/>
                <w:color w:val="auto"/>
              </w:rPr>
            </w:pPr>
          </w:p>
        </w:tc>
        <w:tc>
          <w:tcPr>
            <w:tcW w:w="96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42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3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500" w:type="dxa"/>
            <w:vAlign w:val="bottom"/>
            <w:tcBorders>
              <w:top w:val="single" w:sz="8" w:color="CCEEFF"/>
              <w:bottom w:val="single" w:sz="8" w:color="auto"/>
            </w:tcBorders>
            <w:gridSpan w:val="4"/>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color w:val="auto"/>
              </w:rPr>
              <w:t>Three Months Ended April 30, 2022</w:t>
            </w:r>
          </w:p>
        </w:tc>
        <w:tc>
          <w:tcPr>
            <w:tcW w:w="17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177,908</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73,427</w:t>
            </w:r>
          </w:p>
        </w:tc>
        <w:tc>
          <w:tcPr>
            <w:tcW w:w="18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72,878</w:t>
            </w:r>
          </w:p>
        </w:tc>
        <w:tc>
          <w:tcPr>
            <w:tcW w:w="18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322,893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12,597</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6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Three Months Ended April 30, 2021</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146,143</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61,657</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63,562</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15,783</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4,553</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260" w:type="dxa"/>
            <w:vAlign w:val="bottom"/>
            <w:gridSpan w:val="5"/>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Six Months Ended April 30, 2022</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23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Net sales</w:t>
            </w:r>
          </w:p>
        </w:tc>
        <w:tc>
          <w:tcPr>
            <w:tcW w:w="1960" w:type="dxa"/>
            <w:vAlign w:val="bottom"/>
            <w:tcBorders>
              <w:top w:val="single" w:sz="8" w:color="CCEEFF"/>
            </w:tcBorders>
            <w:gridSpan w:val="2"/>
          </w:tcPr>
          <w:p>
            <w:pPr>
              <w:spacing w:after="0"/>
              <w:rPr>
                <w:sz w:val="19"/>
                <w:szCs w:val="19"/>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324,539</w:t>
            </w:r>
          </w:p>
        </w:tc>
        <w:tc>
          <w:tcPr>
            <w:tcW w:w="1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132,341</w:t>
            </w:r>
          </w:p>
        </w:tc>
        <w:tc>
          <w:tcPr>
            <w:tcW w:w="18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135,231</w:t>
            </w:r>
          </w:p>
        </w:tc>
        <w:tc>
          <w:tcPr>
            <w:tcW w:w="18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1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589,933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8,177</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7,380</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20,412</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48,676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8,937</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60" w:type="dxa"/>
            <w:vAlign w:val="bottom"/>
            <w:gridSpan w:val="5"/>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Six Months Ended April 30, 2021</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274,259</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110,748</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117,556</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500,504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26,986</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18,437</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(11,911)</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9,799</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As of April 30, 2022</w:t>
            </w:r>
          </w:p>
        </w:tc>
        <w:tc>
          <w:tcPr>
            <w:tcW w:w="2880" w:type="dxa"/>
            <w:vAlign w:val="bottom"/>
            <w:tcBorders>
              <w:bottom w:val="single" w:sz="8" w:color="CCEEFF"/>
            </w:tcBorders>
            <w:gridSpan w:val="4"/>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295,186</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225,703</w:t>
            </w:r>
          </w:p>
        </w:tc>
        <w:tc>
          <w:tcPr>
            <w:tcW w:w="18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186,940</w:t>
            </w:r>
          </w:p>
        </w:tc>
        <w:tc>
          <w:tcPr>
            <w:tcW w:w="18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32,661</w:t>
            </w:r>
          </w:p>
        </w:tc>
        <w:tc>
          <w:tcPr>
            <w:tcW w:w="1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740,490</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auto"/>
            </w:tcBorders>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As of October 31, 2021</w:t>
            </w:r>
          </w:p>
        </w:tc>
        <w:tc>
          <w:tcPr>
            <w:tcW w:w="2680" w:type="dxa"/>
            <w:vAlign w:val="bottom"/>
            <w:tcBorders>
              <w:bottom w:val="single" w:sz="8" w:color="CCEEFF"/>
            </w:tcBorders>
            <w:gridSpan w:val="3"/>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268,773</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236,755</w:t>
            </w:r>
          </w:p>
        </w:tc>
        <w:tc>
          <w:tcPr>
            <w:tcW w:w="180" w:type="dxa"/>
            <w:vAlign w:val="bottom"/>
          </w:tcPr>
          <w:p>
            <w:pPr>
              <w:spacing w:after="0"/>
              <w:rPr>
                <w:sz w:val="20"/>
                <w:szCs w:val="20"/>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178,671</w:t>
            </w:r>
          </w:p>
        </w:tc>
        <w:tc>
          <w:tcPr>
            <w:tcW w:w="180" w:type="dxa"/>
            <w:vAlign w:val="bottom"/>
          </w:tcPr>
          <w:p>
            <w:pPr>
              <w:spacing w:after="0"/>
              <w:rPr>
                <w:sz w:val="20"/>
                <w:szCs w:val="20"/>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33,124</w:t>
            </w:r>
          </w:p>
        </w:tc>
        <w:tc>
          <w:tcPr>
            <w:tcW w:w="1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717,323</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 in the carrying amount of goodwill by reportable business segment for the six months ended April 30, 2022 (in thousands):</w:t>
      </w:r>
    </w:p>
    <w:p>
      <w:pPr>
        <w:spacing w:after="0" w:line="4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 Fenestration</w:t>
            </w:r>
          </w:p>
        </w:tc>
        <w:tc>
          <w:tcPr>
            <w:tcW w:w="100" w:type="dxa"/>
            <w:vAlign w:val="bottom"/>
          </w:tcPr>
          <w:p>
            <w:pPr>
              <w:spacing w:after="0"/>
              <w:rPr>
                <w:sz w:val="13"/>
                <w:szCs w:val="13"/>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EU Fenestration</w:t>
            </w: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 Cabinet Comp.</w:t>
            </w:r>
          </w:p>
        </w:tc>
        <w:tc>
          <w:tcPr>
            <w:tcW w:w="14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Unallocated Corp.</w:t>
            </w:r>
          </w:p>
        </w:tc>
        <w:tc>
          <w:tcPr>
            <w:tcW w:w="280" w:type="dxa"/>
            <w:vAlign w:val="bottom"/>
          </w:tcPr>
          <w:p>
            <w:pPr>
              <w:spacing w:after="0"/>
              <w:rPr>
                <w:sz w:val="13"/>
                <w:szCs w:val="13"/>
                <w:color w:val="auto"/>
              </w:rPr>
            </w:pPr>
          </w:p>
        </w:tc>
        <w:tc>
          <w:tcPr>
            <w:tcW w:w="96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October 31,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38,712</w:t>
            </w: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71,346</w:t>
            </w:r>
          </w:p>
        </w:tc>
        <w:tc>
          <w:tcPr>
            <w:tcW w:w="1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39,147</w:t>
            </w: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149,205</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8"/>
              </w:rPr>
              <w:t>(5,937)</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(5,937)</w:t>
            </w:r>
          </w:p>
        </w:tc>
        <w:tc>
          <w:tcPr>
            <w:tcW w:w="0" w:type="dxa"/>
            <w:vAlign w:val="bottom"/>
          </w:tcPr>
          <w:p>
            <w:pPr>
              <w:spacing w:after="0"/>
              <w:rPr>
                <w:sz w:val="1"/>
                <w:szCs w:val="1"/>
                <w:color w:val="auto"/>
              </w:rPr>
            </w:pPr>
          </w:p>
        </w:tc>
      </w:tr>
      <w:tr>
        <w:trPr>
          <w:trHeight w:val="248"/>
        </w:trPr>
        <w:tc>
          <w:tcPr>
            <w:tcW w:w="4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April 30, 2022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38,712</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65,409</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39,147</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143,268</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further details of Goodwill, see Note 3, “Goodwill &amp; Intangible Assets”, located herewith.</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We did not allocate non-operating loss or income tax benefit to the reportable segments. The following table reconciles operating income as reported above to net income for the three and six months ended April 30, 2022 and 2021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42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6"/>
                <w:szCs w:val="16"/>
                <w:color w:val="auto"/>
              </w:rPr>
            </w:pPr>
          </w:p>
        </w:tc>
      </w:tr>
      <w:tr>
        <w:trPr>
          <w:trHeight w:val="203"/>
        </w:trPr>
        <w:tc>
          <w:tcPr>
            <w:tcW w:w="5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80" w:type="dxa"/>
            <w:vAlign w:val="bottom"/>
            <w:gridSpan w:val="3"/>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8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900" w:type="dxa"/>
            <w:vAlign w:val="bottom"/>
          </w:tcPr>
          <w:p>
            <w:pPr>
              <w:spacing w:after="0"/>
              <w:rPr>
                <w:sz w:val="17"/>
                <w:szCs w:val="17"/>
                <w:color w:val="auto"/>
              </w:rPr>
            </w:pPr>
          </w:p>
        </w:tc>
      </w:tr>
      <w:tr>
        <w:trPr>
          <w:trHeight w:val="23"/>
        </w:trPr>
        <w:tc>
          <w:tcPr>
            <w:tcW w:w="50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506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34,550</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21,380</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48,676</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33,215</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30"/>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8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(7,879)</w:t>
            </w:r>
          </w:p>
        </w:tc>
        <w:tc>
          <w:tcPr>
            <w:tcW w:w="16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(6,454)</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(10,297)</w:t>
            </w:r>
          </w:p>
        </w:tc>
        <w:tc>
          <w:tcPr>
            <w:tcW w:w="1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(9,878)</w:t>
            </w:r>
          </w:p>
        </w:tc>
      </w:tr>
      <w:tr>
        <w:trPr>
          <w:trHeight w:val="248"/>
        </w:trPr>
        <w:tc>
          <w:tcPr>
            <w:tcW w:w="5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26,522</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14,551</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37,761</w:t>
            </w: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22,403</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Earnings Per Share</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compute basic earnings per share by dividing net income by the weighted average number of common shares outstanding during the period. Diluted earnings per common and potential common shares include the weighted average of additional shares associated with the incremental effect of dilutive employee stock options, non-vested restricted stock as determined using the treasury stock method prescribed by U.S. GAAP and contingent shares associated with performance share awards, if dilutive.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UNAUDITED CONDENSED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6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Basic and diluted earnings per share for the three and six months ended April 30, 2022 and 2021 were calculated as follows (in thousands, except per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4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500" w:type="dxa"/>
            <w:vAlign w:val="bottom"/>
            <w:tcBorders>
              <w:top w:val="single" w:sz="8" w:color="CCEEFF"/>
              <w:bottom w:val="single" w:sz="8" w:color="auto"/>
            </w:tcBorders>
            <w:gridSpan w:val="2"/>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color w:val="auto"/>
              </w:rPr>
              <w:t>Three Months Ended April 30, 2022</w:t>
            </w:r>
          </w:p>
        </w:tc>
        <w:tc>
          <w:tcPr>
            <w:tcW w:w="39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120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46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26,522</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33,157</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Effect of dilutive securities: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awards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Performance restricted stock units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4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26,522</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33,291</w:t>
            </w:r>
          </w:p>
        </w:tc>
        <w:tc>
          <w:tcPr>
            <w:tcW w:w="46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480" w:type="dxa"/>
            <w:vAlign w:val="bottom"/>
            <w:tcBorders>
              <w:top w:val="single" w:sz="8" w:color="CCEEFF"/>
              <w:bottom w:val="single" w:sz="8" w:color="CCEEFF"/>
            </w:tcBorders>
            <w:gridSpan w:val="3"/>
            <w:vMerge w:val="restart"/>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Three Months Ended April 30, 2021</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64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14,551</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33,355</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Effect of dilutive securities: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Restricted stock awards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Performance restricted stock units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14,551</w:t>
            </w:r>
          </w:p>
        </w:tc>
        <w:tc>
          <w:tcPr>
            <w:tcW w:w="2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33,637</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648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Six Months Ended April 30, 2022</w:t>
            </w: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37,761</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33,140</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Effect of dilutive securities: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awards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Performance restricted stock units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4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37,761</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33,292</w:t>
            </w:r>
          </w:p>
        </w:tc>
        <w:tc>
          <w:tcPr>
            <w:tcW w:w="46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480" w:type="dxa"/>
            <w:vAlign w:val="bottom"/>
            <w:tcBorders>
              <w:top w:val="single" w:sz="8" w:color="CCEEFF"/>
              <w:bottom w:val="single" w:sz="8" w:color="CCEEFF"/>
            </w:tcBorders>
            <w:gridSpan w:val="3"/>
            <w:vMerge w:val="restart"/>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Six Months Ended April 30, 2021</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64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22,403</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33,110</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Effect of dilutive securities: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Restricted stock awards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Performance restricted stock units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22,403</w:t>
            </w:r>
          </w:p>
        </w:tc>
        <w:tc>
          <w:tcPr>
            <w:tcW w:w="2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33,444</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do not include equity instruments in our calculation of diluted earnings per share if those instruments would be anti-dilutive. Such dilution is dependent on the excess of the market price of our stock over the exercise price and other components of the treasury stock method. There were no anti-dilutive instruments for the three and six months ended April 30, 2022 and 2021.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New Accounting Guidance</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standards setting bodies that we adopt as of the specified effective date. We did not adopt any new accounting pronouncements during the three and six months ended April 30, 2022. As of April 30, 2022, we believe the impact of any recently issued standards that are not yet effective are either not applicable to us at this time or will not have a material impact on our condensed consolidated financial statements upon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indicates otherwise, references to “Quanex”, the “Company”, “we”, “us” and “our” refer to the consolidated business operations of Quanex Building Products Corporation and its subsidiaries.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48"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 xml:space="preserve">Certain of the statements contained in this document and in documents incorporated by reference herein, including those made under the caption </w:t>
      </w:r>
      <w:r>
        <w:rPr>
          <w:rFonts w:ascii="Times New Roman" w:cs="Times New Roman" w:eastAsia="Times New Roman" w:hAnsi="Times New Roman"/>
          <w:sz w:val="18"/>
          <w:szCs w:val="18"/>
          <w:i w:val="1"/>
          <w:iCs w:val="1"/>
          <w:color w:val="auto"/>
        </w:rPr>
        <w:t xml:space="preserve">“Management’s Discussion and Analysis of Financial Condition and Results of Operations” </w:t>
      </w:r>
      <w:r>
        <w:rPr>
          <w:rFonts w:ascii="Times New Roman" w:cs="Times New Roman" w:eastAsia="Times New Roman" w:hAnsi="Times New Roman"/>
          <w:sz w:val="18"/>
          <w:szCs w:val="18"/>
          <w:color w:val="auto"/>
        </w:rPr>
        <w:t>are “forward-looking” statements as defined under the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Litigation Reform Act of 1995. Generally, the words “expect,” “believe,” “intend,” “estimate,” “anticipate,” “project,” “will” and similar expressions identify forward-looking statements, which generally are not historical in nature. Forward looking statements are (1) all statements which address future operating performance, (2) events or developments that we expect or anticipate will occur in the future, including statements relating to volume, sales, operating income and earnings per share, and (3) statements expressing general outlook about future operating results. Forward-looking statements are subject to certain risks and uncertainties that could cause actual results to differ materially from our historical experience and our current projections or expectations. As and when made, we believe that these forward-looking statements are reasonable. However, caution should be taken not to place undue reliance on any such forward-looking statements since such statements speak only as of the date when made and there can be no assurance that such forward-looking statements will occur. We are not obligated to publicly update or revise any forward-looking statements, whether as a result of new information, future events or otherwise. Factors that could cause actual results to differ materially from those expressed or implied by the forward-looking statements include, but are not limited to the following:</w:t>
      </w:r>
    </w:p>
    <w:p>
      <w:pPr>
        <w:spacing w:after="0" w:line="109" w:lineRule="exact"/>
        <w:rPr>
          <w:sz w:val="20"/>
          <w:szCs w:val="20"/>
          <w:color w:val="auto"/>
        </w:rPr>
      </w:pPr>
    </w:p>
    <w:p>
      <w:pPr>
        <w:ind w:left="660" w:right="20" w:hanging="166"/>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public health issues (including pandemics, such as the recent COVID-19 pandemic and quarantines) on the economy, demand for our products or our operations, including the responses of governmental authorities to contain such public health issues;</w:t>
      </w:r>
    </w:p>
    <w:p>
      <w:pPr>
        <w:spacing w:after="0" w:line="1"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conditions, particularly in the new home construction, and residential remodeling and replacement (R&amp;R) activity markets in the United States, United Kingdom, Germany and elsewhere;</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non-pass-through raw material costs;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international economic conditions;</w:t>
      </w:r>
    </w:p>
    <w:p>
      <w:pPr>
        <w:spacing w:after="0" w:line="63" w:lineRule="exact"/>
        <w:rPr>
          <w:rFonts w:ascii="Times New Roman" w:cs="Times New Roman" w:eastAsia="Times New Roman" w:hAnsi="Times New Roman"/>
          <w:sz w:val="18"/>
          <w:szCs w:val="18"/>
          <w:color w:val="auto"/>
        </w:rPr>
      </w:pPr>
    </w:p>
    <w:p>
      <w:pPr>
        <w:ind w:left="660" w:right="20" w:hanging="166"/>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availability and prices of raw material including inflationary pressures and supply chain challenges, which could be exacerbated by political or global unrest such as the current situation in Ukraine;</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skilled labor;</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purchases by our principal customers;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internal controls;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internal operating plans and acquisition strategies;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plans with respect to information technology (IT) systems and processes;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and increase profitability;</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environmental laws and regulations;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warranty obligations;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energy costs;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interpretations thereof;</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debt facilities and remain in good standing with our lenders;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availability or applicability of our insurance coverage;</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good relationships with our suppliers, subcontractors, and key customers; and</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of litigation and other legal proceedings.</w:t>
      </w:r>
    </w:p>
    <w:p>
      <w:pPr>
        <w:spacing w:after="0" w:line="142" w:lineRule="exact"/>
        <w:rPr>
          <w:sz w:val="20"/>
          <w:szCs w:val="20"/>
          <w:color w:val="auto"/>
        </w:rPr>
      </w:pPr>
    </w:p>
    <w:p>
      <w:pPr>
        <w:jc w:val="both"/>
        <w:ind w:right="20" w:firstLine="445"/>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on additional factors that could cause actual results to differ materially, please refer to the section entitled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in our Annual Report on Form 10-K for the fiscal year ended October 31, 2021.</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Third-Party Information</w:t>
      </w:r>
    </w:p>
    <w:p>
      <w:pPr>
        <w:spacing w:after="0" w:line="16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this report, we rely on and refer to information regarding industry data obtained from market research, publicly available information, industry publications, U.S. government sources and other third parties. Although we believe this information is reliable, we cannot guarantee the accuracy or completeness of the information and have not independently verified it.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2. Management’s Discussion and Analysis of Financial Condition and Results of Operations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accompanying unaudited condensed consolidated financial statements and related notes as of April 30, 2022, and for the three and six months ended April 30, 2022 and 2021, included elsewhere herein. For additional information pertaining to our business, including risk factors which should be considered before investing in our common stock, refer to our Annual Report on Form 10-K for the fiscal year ended October 31, 2021.</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manufacture components for original equipment manufacturers (OEMs) in the building products industry. These components can be categorized as window and door (fenestration) components and kitchen and bath cabinet components. Examples of fenestration components include (1) energy-efficient flexible insulating glass spacers, (2) extruded vinyl profiles, (3) window and door screens, and (4) precision-formed metal and wood products. We also manufacture cabinet doors and other components for OEMs in the kitchen and bathroom cabinet industry. In addition, we provide certain other non-fenestration components and products, which include solar panel sealants, trim moldings, vinyl decking, vinyl fencing, water retention barriers, and conservatory roof components. We use low-cost, short lead-time production processes and engineering expertise to provide our customers with specialized products for their specific window, door, and cabinet applications. We believe these capabilities provide us with unique competitive advantages. We serve a primary customer base in North America and the U.K., and also serve customers in international markets through our operating plants in the U.K. and Germany, as well as through sales and marketing efforts in other countries.</w:t>
      </w:r>
    </w:p>
    <w:p>
      <w:pPr>
        <w:spacing w:after="0" w:line="134"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8"/>
          <w:szCs w:val="18"/>
          <w:color w:val="auto"/>
        </w:rPr>
        <w:t>We continue to invest in organic growth initiatives and we intend to continue evaluating business acquisitions that allow us to expand our existing fenestration and cabinet component footprint, enhance our product offerings, provide new complementary technology, enhance our leadership position within the markets we serve and expand into new markets or service lines. We have disposed of non-core businesses in the past, and continue to evaluate our business portfolio to ensure that we are investing in markets where we believe there is potential future growth.</w:t>
      </w:r>
    </w:p>
    <w:p>
      <w:pPr>
        <w:spacing w:after="0" w:line="12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currently have three reportable business segments: (1) North American Fenestration segment (“NA Fenestration”), comprising three operating segments, manufacturing vinyl profiles, IG spacers, screens and other fenestration components; (2) European Fenestration segment (“EU Fenestration”), comprising our U.K.-based vinyl extrusion business, manufacturing vinyl profiles and conservatories, and the European insulating glass business manufacturing IG spacers; and (3) North American Cabinet Components segment (“NA Cabinet Components”), comprising our North American cabinet door and components business and two wood-manufacturing plants. We maintain a grouping called Unallocated Corporate &amp; Other, which includes transaction expenses, stock-based compensation, long-term incentive awards based on the performance of our common stock and other factors, certain severance, legal, and other costs not deemed to be allocable to all segments, depreciation of corporate assets, interest expense, other, net, income taxes and inter-segment eliminations, and executive incentive compensation and medical expense fluctuations relative to planned costs as determined during the annual planning process. Other corporate general and administrative costs have been allocated to the reportable business segments, based upon a relative measure of profitability in order to more accurately reflect each reportable business segment's administrative costs. We allocate corporate expenses to businesses acquired mid-year from the date of acquisition. The accounting policies of our operating segments are the same as those used to prepare our accompanying condensed consolidated financial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Transactions and Events</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U.S. and global markets are experiencing volatility and disruption following the escalation of geopolitical tensions and the start of the military conflict between Russia and Ukraine. Although the length and impact of the ongoing military conflict is highly unpredictable, the conflict in Ukraine could lead to market disruptions, including significant volatility in commodity prices, credit and capital markets, as well as supply chain interruptions. We are continuing to monitor the situation in Ukraine and globally and assessing its potential impact on our business.</w:t>
      </w:r>
    </w:p>
    <w:p>
      <w:pPr>
        <w:spacing w:after="0" w:line="12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On March 11, 2020, the WHO declared the outbreak of COVID-19 to be a global pandemic and recommended containment and mitigation measures. Our first priority with regard to the COVID-19 pandemic is to do everything we can to ensure the safety, health and welfare of our employees, customers, suppliers and other partners. With the implementation of health and safety practices at our facilities, we are continuing to supply the industry during this uncertain time, recognizing the essential role the construction industry plays in providing housing and necessary infrastructure. As federal, state and local governments react to the public health crisis, significant uncertainties have been created in the economy. The COVID-19 pandemic and its related effects continue to have a significant adverse effect on many sectors of the economy and we may be further impacted.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war in Ukraine and the impact of COVID-19 on the global economy including inflation and the price of raw materials, supply chain disruptions, and the volatility in interest rates including home mortgage rates are unpredictable and there may be developments outside our control requiring us to adjust our operating plan.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Overview and Outlook</w:t>
      </w:r>
    </w:p>
    <w:p>
      <w:pPr>
        <w:spacing w:after="0" w:line="16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believe the primary drivers of our operating results continue to be North American new home construction and residential remodeling and replacement (R&amp;R) activity. We believe that housing starts and window shipments are indicators of activity levels in the homebuilding and window industries, and we use this data, as published by or derived from third-party sources, to evaluate the market. We have evaluated the market using data from the National Association of Homebuilders (NAHB) with regard to housing starts, and published reports by Ducker Worldwide, LLC (Ducker), a consulting and research firm, with regard to window shipments in the U.S. We obtain market data from Catalina Research, a consulting and research firm, for insight into the U.S. residential wood cabinet demand.</w:t>
      </w:r>
    </w:p>
    <w:p>
      <w:pPr>
        <w:spacing w:after="0" w:line="10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May 2022, the NAHB forecasted calendar-year housing starts to be 1.7 million in 2022 and 1.6 million in both 2023 and 2024 calendar-years. In May 2022, the Ducker forecast indicated that total window shipments are expected to increase approximately 5% for calendar-year 2022 and 2% in 2023. The estimated increase in window shipments for the year ended December 31, 2022 includes an increase in both new construction shipments and R&amp;R shipments of approximately 5%. In May 2022, Catalina Research estimated that residential semi-custom cabinet demand in the U.S. is estimated to increase 2% in 2022.</w:t>
      </w:r>
    </w:p>
    <w:p>
      <w:pPr>
        <w:spacing w:after="0" w:line="11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Several commodities in our business are subject to pricing fluctuations, including polyvinyl resin (PVC), titanium dioxide (TiO2), petroleum products, aluminum and wood. For the majority of our customers and critical suppliers, we have price adjusters in place which effectively share the base pass-through price changes for our primary commodities with our customers commensurate with the market at large. Our long-term exposure to these price fluctuations is somewhat mitigated due to the contractual component of the adjuster programs. However, these adjusters are not in place with all customers and for all commodities, and there is a level of exposure to such volatility due to the lag associated with the timing of price updates in accordance with our customer agreements, particularly with regard to hardwoods. In addition, some of these commodities, such as silicone, are in high demand, particularly in Europe, which can affect the cost of the raw materials, a portion of which we may not be able to fully recover.</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global economy remains uncertain due to currency devaluations, political unrest, terror threats, global pandemics such as COVID-19, and even the political landscape in the U.S. These and other macro-economic factors have impacted the global financial markets, which may have contributed to significant changes in foreign currencies. We continue to monitor our exposure to changes in exchange rates.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April 30, 2022 Compared to Three Months Ended April 30, 2021</w:t>
      </w:r>
    </w:p>
    <w:p>
      <w:pPr>
        <w:spacing w:after="0" w:line="151" w:lineRule="exact"/>
        <w:rPr>
          <w:sz w:val="20"/>
          <w:szCs w:val="20"/>
          <w:color w:val="auto"/>
        </w:rPr>
      </w:pPr>
    </w:p>
    <w:p>
      <w:pPr>
        <w:jc w:val="right"/>
        <w:ind w:right="136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sales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income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net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Our period-over-period results by reportable segment follow.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Related to Operating Income by Reportable Segment: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NA Fenestration</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 Variance</w:t>
            </w:r>
          </w:p>
        </w:tc>
      </w:tr>
      <w:tr>
        <w:trPr>
          <w:trHeight w:val="195"/>
        </w:trPr>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4"/>
          </w:tcPr>
          <w:p>
            <w:pPr>
              <w:jc w:val="right"/>
              <w:ind w:right="432"/>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360" w:type="dxa"/>
            <w:vAlign w:val="bottom"/>
          </w:tcPr>
          <w:p>
            <w:pPr>
              <w:spacing w:after="0"/>
              <w:rPr>
                <w:sz w:val="16"/>
                <w:szCs w:val="16"/>
                <w:color w:val="auto"/>
              </w:rPr>
            </w:pPr>
          </w:p>
        </w:tc>
      </w:tr>
      <w:tr>
        <w:trPr>
          <w:trHeight w:val="241"/>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29"/>
        </w:trPr>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4"/>
        </w:trPr>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18"/>
        </w:trPr>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30"/>
        </w:trPr>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r>
      <w:tr>
        <w:trPr>
          <w:trHeight w:val="234"/>
        </w:trPr>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-4058285</wp:posOffset>
            </wp:positionH>
            <wp:positionV relativeFrom="paragraph">
              <wp:posOffset>-1362710</wp:posOffset>
            </wp:positionV>
            <wp:extent cx="71323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-1071245</wp:posOffset>
            </wp:positionV>
            <wp:extent cx="713232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-779145</wp:posOffset>
            </wp:positionV>
            <wp:extent cx="713232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-479425</wp:posOffset>
            </wp:positionV>
            <wp:extent cx="713232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-187960</wp:posOffset>
            </wp:positionV>
            <wp:extent cx="71323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p>
      <w:pPr>
        <w:spacing w:after="0" w:line="28" w:lineRule="exact"/>
        <w:rPr>
          <w:sz w:val="20"/>
          <w:szCs w:val="20"/>
          <w:color w:val="auto"/>
        </w:rPr>
      </w:pPr>
    </w:p>
    <w:p>
      <w:pPr>
        <w:sectPr>
          <w:pgSz w:w="11900" w:h="16838" w:orient="portrait"/>
          <w:cols w:equalWidth="0" w:num="2">
            <w:col w:w="5680" w:space="720"/>
            <w:col w:w="48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62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0" w:type="dxa"/>
            <w:vAlign w:val="bottom"/>
          </w:tcPr>
          <w:p>
            <w:pPr>
              <w:spacing w:after="0"/>
              <w:rPr>
                <w:sz w:val="1"/>
                <w:szCs w:val="1"/>
                <w:color w:val="auto"/>
              </w:rPr>
            </w:pPr>
          </w:p>
        </w:tc>
      </w:tr>
      <w:tr>
        <w:trPr>
          <w:trHeight w:val="176"/>
        </w:trPr>
        <w:tc>
          <w:tcPr>
            <w:tcW w:w="6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40" w:type="dxa"/>
            <w:vAlign w:val="bottom"/>
            <w:gridSpan w:val="4"/>
          </w:tcPr>
          <w:p>
            <w:pPr>
              <w:jc w:val="right"/>
              <w:ind w:right="653"/>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177.9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146.2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28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0" w:type="dxa"/>
            <w:vAlign w:val="bottom"/>
            <w:tcBorders>
              <w:bottom w:val="single" w:sz="8" w:color="CCEEFF"/>
            </w:tcBorders>
          </w:tcPr>
          <w:p>
            <w:pPr>
              <w:jc w:val="center"/>
              <w:ind w:left="13"/>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0" w:type="dxa"/>
            <w:vAlign w:val="bottom"/>
            <w:tcBorders>
              <w:bottom w:val="single" w:sz="8" w:color="CCEEFF"/>
            </w:tcBorders>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increased $31.7 million, or 22%, for the three months ended April 30, 2022 compared to the same period in 2021, which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an increase in price and raw material surcharges of $21.5 million and a $10.2 million increase in volumes.</w:t>
      </w:r>
    </w:p>
    <w:p>
      <w:pPr>
        <w:spacing w:after="0" w:line="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The cost of sales increased $25.1 million, or 22%, for the three months ended April 30, 2022 compared to the same period in 2021.</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sales, including labor, increased primarily due to higher volumes during the period as well as the inflation of raw materials.</w:t>
      </w:r>
    </w:p>
    <w:p>
      <w:pPr>
        <w:spacing w:after="0" w:line="124" w:lineRule="exact"/>
        <w:rPr>
          <w:sz w:val="20"/>
          <w:szCs w:val="20"/>
          <w:color w:val="auto"/>
        </w:rPr>
      </w:pPr>
    </w:p>
    <w:p>
      <w:pPr>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Selling, General and Administrative. S</w:t>
      </w:r>
      <w:r>
        <w:rPr>
          <w:rFonts w:ascii="Times New Roman" w:cs="Times New Roman" w:eastAsia="Times New Roman" w:hAnsi="Times New Roman"/>
          <w:sz w:val="18"/>
          <w:szCs w:val="18"/>
          <w:color w:val="auto"/>
        </w:rPr>
        <w:t>elling, general and administrative expenses increased $0.9 million, or 7%, for the three months ended April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compared to the same period in 2021, primarily due to increased general expenses year-over-year.</w:t>
      </w:r>
    </w:p>
    <w:p>
      <w:pPr>
        <w:spacing w:after="0" w:line="91" w:lineRule="exact"/>
        <w:rPr>
          <w:sz w:val="20"/>
          <w:szCs w:val="20"/>
          <w:color w:val="auto"/>
        </w:rPr>
      </w:pPr>
    </w:p>
    <w:p>
      <w:pPr>
        <w:jc w:val="both"/>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decreased $0.8 million for the three months ended April 30, 2022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same period in 2021, reflecting the run-off of depreciation expense related to existing assets and disposals during the period.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EU Fenestration</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5"/>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0" w:type="dxa"/>
            <w:vAlign w:val="bottom"/>
          </w:tcPr>
          <w:p>
            <w:pPr>
              <w:spacing w:after="0"/>
              <w:rPr>
                <w:sz w:val="1"/>
                <w:szCs w:val="1"/>
                <w:color w:val="auto"/>
              </w:rPr>
            </w:pPr>
          </w:p>
        </w:tc>
      </w:tr>
      <w:tr>
        <w:trPr>
          <w:trHeight w:val="176"/>
        </w:trPr>
        <w:tc>
          <w:tcPr>
            <w:tcW w:w="6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40" w:type="dxa"/>
            <w:vAlign w:val="bottom"/>
            <w:gridSpan w:val="4"/>
          </w:tcPr>
          <w:p>
            <w:pPr>
              <w:jc w:val="right"/>
              <w:ind w:right="653"/>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28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0" w:type="dxa"/>
            <w:vAlign w:val="bottom"/>
            <w:tcBorders>
              <w:bottom w:val="single" w:sz="8" w:color="CCEEFF"/>
            </w:tcBorders>
          </w:tcPr>
          <w:p>
            <w:pPr>
              <w:jc w:val="center"/>
              <w:ind w:left="33"/>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0" w:type="dxa"/>
            <w:vAlign w:val="bottom"/>
            <w:tcBorders>
              <w:bottom w:val="single" w:sz="8" w:color="CCEEFF"/>
            </w:tcBorders>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increased $11.8 million, or 19%, for the three months ended April 30, 2022 compared to the same period in 2021, which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$14.8 million of base price increases and a $0.3 million increase in volumes partially offset by $3.3 million of foreign currency rate changes.</w:t>
      </w:r>
    </w:p>
    <w:p>
      <w:pPr>
        <w:spacing w:after="0" w:line="92" w:lineRule="exact"/>
        <w:rPr>
          <w:sz w:val="20"/>
          <w:szCs w:val="20"/>
          <w:color w:val="auto"/>
        </w:rPr>
      </w:pPr>
    </w:p>
    <w:p>
      <w:pPr>
        <w:jc w:val="both"/>
        <w:ind w:right="2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The cost of sales increased $8.3 million, or 20%, for the three months ended April 30, 2022 compared to the same period in 2021. Cost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sales, including labor, increased primarily due to higher volumes during the period as well as the inflation of raw materials.</w:t>
      </w:r>
    </w:p>
    <w:p>
      <w:pPr>
        <w:spacing w:after="0" w:line="91"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Selling, general and administrative expense increased $1.2 million, or 16%,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30, 2022 compared to the same period in 2021. The increase is primarily due to higher compensation, general expenses and foreign currency impacts year-over-year.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NA Cabinet Components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5"/>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Variance %</w:t>
            </w:r>
          </w:p>
        </w:tc>
        <w:tc>
          <w:tcPr>
            <w:tcW w:w="0" w:type="dxa"/>
            <w:vAlign w:val="bottom"/>
          </w:tcPr>
          <w:p>
            <w:pPr>
              <w:spacing w:after="0"/>
              <w:rPr>
                <w:sz w:val="1"/>
                <w:szCs w:val="1"/>
                <w:color w:val="auto"/>
              </w:rPr>
            </w:pPr>
          </w:p>
        </w:tc>
      </w:tr>
      <w:tr>
        <w:trPr>
          <w:trHeight w:val="176"/>
        </w:trPr>
        <w:tc>
          <w:tcPr>
            <w:tcW w:w="6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40" w:type="dxa"/>
            <w:vAlign w:val="bottom"/>
            <w:gridSpan w:val="4"/>
          </w:tcPr>
          <w:p>
            <w:pPr>
              <w:jc w:val="right"/>
              <w:ind w:right="653"/>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28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0" w:type="dxa"/>
            <w:vAlign w:val="bottom"/>
            <w:tcBorders>
              <w:bottom w:val="single" w:sz="8" w:color="CCEEFF"/>
            </w:tcBorders>
          </w:tcPr>
          <w:p>
            <w:pPr>
              <w:jc w:val="center"/>
              <w:ind w:left="13"/>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0" w:type="dxa"/>
            <w:vAlign w:val="bottom"/>
            <w:tcBorders>
              <w:bottom w:val="single" w:sz="8" w:color="CCEEFF"/>
            </w:tcBorders>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9"/>
              </w:rPr>
              <w:t>700%</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income (loss) margin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jc w:val="both"/>
        <w:ind w:right="340" w:firstLine="445"/>
        <w:spacing w:after="0" w:line="243"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increased $9.3 million, or 15%, for the three months ended April 30, 2022 compared to the same period in 2021, which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an increase in price and raw material indexes of $18.3 million partially offset by a $9.0 million decrease in volumes due to labor and material shortages throughout the supply chain.</w:t>
      </w:r>
    </w:p>
    <w:p>
      <w:pPr>
        <w:spacing w:after="0" w:line="127" w:lineRule="exact"/>
        <w:rPr>
          <w:sz w:val="20"/>
          <w:szCs w:val="20"/>
          <w:color w:val="auto"/>
        </w:rPr>
      </w:pPr>
    </w:p>
    <w:p>
      <w:pPr>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increased $8.1 million, or 15%, for the three months ended April 30, 2022 compared to the same period in 2021. Cost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increased primarily due to rising lumber prices, which are recovered on a lag, partially offset by lower volumes during the period.</w:t>
      </w:r>
    </w:p>
    <w:p>
      <w:pPr>
        <w:spacing w:after="0" w:line="91" w:lineRule="exact"/>
        <w:rPr>
          <w:sz w:val="20"/>
          <w:szCs w:val="20"/>
          <w:color w:val="auto"/>
        </w:rPr>
      </w:pPr>
    </w:p>
    <w:p>
      <w:pPr>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 Selling, general and administrative expense was similar to the three months ended April 30, 2022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period in 2021.</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Unallocated Corporate &amp; Other</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5"/>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1220" w:type="dxa"/>
            <w:vAlign w:val="bottom"/>
            <w:tcBorders>
              <w:bottom w:val="single" w:sz="8" w:color="auto"/>
            </w:tcBorders>
          </w:tcPr>
          <w:p>
            <w:pPr>
              <w:spacing w:after="0"/>
              <w:rPr>
                <w:sz w:val="18"/>
                <w:szCs w:val="18"/>
                <w:color w:val="auto"/>
              </w:rPr>
            </w:pPr>
          </w:p>
        </w:tc>
      </w:tr>
      <w:tr>
        <w:trPr>
          <w:trHeight w:val="211"/>
        </w:trPr>
        <w:tc>
          <w:tcPr>
            <w:tcW w:w="648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Variance %</w:t>
            </w:r>
          </w:p>
        </w:tc>
      </w:tr>
      <w:tr>
        <w:trPr>
          <w:trHeight w:val="176"/>
        </w:trPr>
        <w:tc>
          <w:tcPr>
            <w:tcW w:w="6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60" w:type="dxa"/>
            <w:vAlign w:val="bottom"/>
            <w:gridSpan w:val="4"/>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220" w:type="dxa"/>
            <w:vAlign w:val="bottom"/>
          </w:tcPr>
          <w:p>
            <w:pPr>
              <w:spacing w:after="0"/>
              <w:rPr>
                <w:sz w:val="15"/>
                <w:szCs w:val="15"/>
                <w:color w:val="auto"/>
              </w:rPr>
            </w:pPr>
          </w:p>
        </w:tc>
      </w:tr>
      <w:tr>
        <w:trPr>
          <w:trHeight w:val="23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74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color w:val="auto"/>
                <w:w w:val="98"/>
              </w:rPr>
              <w:t>(1.0)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2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6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74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center"/>
              <w:ind w:left="375"/>
              <w:spacing w:after="0"/>
              <w:rPr>
                <w:sz w:val="20"/>
                <w:szCs w:val="20"/>
                <w:color w:val="auto"/>
              </w:rPr>
            </w:pPr>
            <w:r>
              <w:rPr>
                <w:rFonts w:ascii="Times New Roman" w:cs="Times New Roman" w:eastAsia="Times New Roman" w:hAnsi="Times New Roman"/>
                <w:sz w:val="18"/>
                <w:szCs w:val="18"/>
                <w:color w:val="auto"/>
                <w:w w:val="98"/>
              </w:rPr>
              <w:t>(0.4)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2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6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415"/>
              <w:spacing w:after="0"/>
              <w:rPr>
                <w:sz w:val="20"/>
                <w:szCs w:val="20"/>
                <w:color w:val="auto"/>
              </w:rPr>
            </w:pPr>
            <w:r>
              <w:rPr>
                <w:rFonts w:ascii="Times New Roman" w:cs="Times New Roman" w:eastAsia="Times New Roman" w:hAnsi="Times New Roman"/>
                <w:sz w:val="18"/>
                <w:szCs w:val="18"/>
                <w:color w:val="auto"/>
                <w:w w:val="97"/>
              </w:rPr>
              <w:t>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2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64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415"/>
              <w:spacing w:after="0"/>
              <w:rPr>
                <w:sz w:val="20"/>
                <w:szCs w:val="20"/>
                <w:color w:val="auto"/>
              </w:rPr>
            </w:pPr>
            <w:r>
              <w:rPr>
                <w:rFonts w:ascii="Times New Roman" w:cs="Times New Roman" w:eastAsia="Times New Roman" w:hAnsi="Times New Roman"/>
                <w:sz w:val="18"/>
                <w:szCs w:val="18"/>
                <w:color w:val="auto"/>
                <w:w w:val="97"/>
              </w:rPr>
              <w:t>0.1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tcPr>
          <w:p>
            <w:pPr>
              <w:jc w:val="center"/>
              <w:ind w:left="33"/>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740" w:type="dxa"/>
            <w:vAlign w:val="bottom"/>
            <w:tcBorders>
              <w:bottom w:val="single" w:sz="8" w:color="auto"/>
            </w:tcBorders>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color w:val="auto"/>
                <w:w w:val="98"/>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20" w:type="dxa"/>
            <w:vAlign w:val="bottom"/>
            <w:tcBorders>
              <w:bottom w:val="single" w:sz="8" w:color="CCEEFF"/>
            </w:tcBorders>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169" w:lineRule="exact"/>
        <w:rPr>
          <w:sz w:val="20"/>
          <w:szCs w:val="20"/>
          <w:color w:val="auto"/>
        </w:rPr>
      </w:pPr>
    </w:p>
    <w:p>
      <w:pPr>
        <w:jc w:val="both"/>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for Unallocated Corporate &amp; Other represents the elimination of inter-segment sales for the three months ended April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2021.</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for Unallocated Corporate &amp; Other consists of the elimination of inter-segment sales, profit in inventory, and other costs.</w:t>
      </w:r>
    </w:p>
    <w:p>
      <w:pPr>
        <w:spacing w:after="0" w:line="17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 Selling, general and administrative expenses decreased $3.5 million, or 95%,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30, 2022 compared to the same period in 2021. This decrease is primarily attributable to $2.3 million of lower compensation expense including the valuations of our stock based compensation awards, a decrease of $0.8 million related to medical expense claims, and a decrease of $0.5 million related to workers’ compensation claims during the three months ended April 30, 2022 as compared to the prior year period.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related to Non-Operating Items: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expenses were similar to the three months ended April 30, 2022 compared to the same period in 2021.</w:t>
      </w:r>
    </w:p>
    <w:p>
      <w:pPr>
        <w:spacing w:after="0" w:line="17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recorded income tax expense of $7.9 million on pre-tax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6"/>
          <w:szCs w:val="16"/>
          <w:color w:val="auto"/>
        </w:rPr>
        <w:t>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$34.4 million for the three months ended April 30, 2022,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effective rate of 22.9%, and income tax </w:t>
      </w:r>
      <w:r>
        <w:rPr>
          <w:rFonts w:ascii="Times New Roman" w:cs="Times New Roman" w:eastAsia="Times New Roman" w:hAnsi="Times New Roman"/>
          <w:sz w:val="16"/>
          <w:szCs w:val="16"/>
          <w:color w:val="auto"/>
        </w:rPr>
        <w:t>expense</w:t>
      </w:r>
      <w:r>
        <w:rPr>
          <w:rFonts w:ascii="Times New Roman" w:cs="Times New Roman" w:eastAsia="Times New Roman" w:hAnsi="Times New Roman"/>
          <w:sz w:val="18"/>
          <w:szCs w:val="18"/>
          <w:color w:val="auto"/>
        </w:rPr>
        <w:t xml:space="preserve"> of $6.5 million on pre-tax </w:t>
      </w:r>
      <w:r>
        <w:rPr>
          <w:rFonts w:ascii="Times New Roman" w:cs="Times New Roman" w:eastAsia="Times New Roman" w:hAnsi="Times New Roman"/>
          <w:sz w:val="16"/>
          <w:szCs w:val="16"/>
          <w:color w:val="auto"/>
        </w:rPr>
        <w:t>income</w:t>
      </w:r>
      <w:r>
        <w:rPr>
          <w:rFonts w:ascii="Times New Roman" w:cs="Times New Roman" w:eastAsia="Times New Roman" w:hAnsi="Times New Roman"/>
          <w:sz w:val="18"/>
          <w:szCs w:val="18"/>
          <w:color w:val="auto"/>
        </w:rPr>
        <w:t xml:space="preserve"> of $21.0 million for the three months ended April 30, 2021, an effective rate of 30.7%. The $1.4 million increase in income tax expense year-over-year primarily corresponds with the increase in pre-tax income partially offset by a benefit for the true-up of deferred taxes from prior year filings.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Six Months Ended </w:t>
      </w:r>
      <w:r>
        <w:rPr>
          <w:rFonts w:ascii="Times New Roman" w:cs="Times New Roman" w:eastAsia="Times New Roman" w:hAnsi="Times New Roman"/>
          <w:sz w:val="17"/>
          <w:szCs w:val="17"/>
          <w:b w:val="1"/>
          <w:bCs w:val="1"/>
          <w:i w:val="1"/>
          <w:iCs w:val="1"/>
          <w:color w:val="auto"/>
        </w:rPr>
        <w:t>April 30, 2022 Compared to</w:t>
      </w:r>
      <w:r>
        <w:rPr>
          <w:rFonts w:ascii="Times New Roman" w:cs="Times New Roman" w:eastAsia="Times New Roman" w:hAnsi="Times New Roman"/>
          <w:sz w:val="16"/>
          <w:szCs w:val="16"/>
          <w:b w:val="1"/>
          <w:bCs w:val="1"/>
          <w:i w:val="1"/>
          <w:iCs w:val="1"/>
          <w:color w:val="auto"/>
        </w:rPr>
        <w:t xml:space="preserve"> Six Months Ended April 30, </w:t>
      </w:r>
      <w:r>
        <w:rPr>
          <w:rFonts w:ascii="Times New Roman" w:cs="Times New Roman" w:eastAsia="Times New Roman" w:hAnsi="Times New Roman"/>
          <w:sz w:val="17"/>
          <w:szCs w:val="17"/>
          <w:b w:val="1"/>
          <w:bCs w:val="1"/>
          <w:i w:val="1"/>
          <w:iCs w:val="1"/>
          <w:color w:val="auto"/>
        </w:rPr>
        <w:t>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Six Months Ended April 30,</w:t>
            </w:r>
          </w:p>
        </w:tc>
        <w:tc>
          <w:tcPr>
            <w:tcW w:w="1360" w:type="dxa"/>
            <w:vAlign w:val="bottom"/>
            <w:tcBorders>
              <w:bottom w:val="single" w:sz="8" w:color="auto"/>
            </w:tcBorders>
          </w:tcPr>
          <w:p>
            <w:pPr>
              <w:spacing w:after="0"/>
              <w:rPr>
                <w:sz w:val="18"/>
                <w:szCs w:val="18"/>
                <w:color w:val="auto"/>
              </w:rPr>
            </w:pPr>
          </w:p>
        </w:tc>
      </w:tr>
      <w:tr>
        <w:trPr>
          <w:trHeight w:val="189"/>
        </w:trPr>
        <w:tc>
          <w:tcPr>
            <w:tcW w:w="6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3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 Variance</w:t>
            </w:r>
          </w:p>
        </w:tc>
      </w:tr>
      <w:tr>
        <w:trPr>
          <w:trHeight w:val="23"/>
        </w:trPr>
        <w:tc>
          <w:tcPr>
            <w:tcW w:w="6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4"/>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6"/>
        </w:trPr>
        <w:tc>
          <w:tcPr>
            <w:tcW w:w="6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4"/>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360" w:type="dxa"/>
            <w:vAlign w:val="bottom"/>
          </w:tcPr>
          <w:p>
            <w:pPr>
              <w:spacing w:after="0"/>
              <w:rPr>
                <w:sz w:val="16"/>
                <w:szCs w:val="16"/>
                <w:color w:val="auto"/>
              </w:rPr>
            </w:pPr>
          </w:p>
        </w:tc>
      </w:tr>
      <w:tr>
        <w:trPr>
          <w:trHeight w:val="23"/>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30"/>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9"/>
        </w:trPr>
        <w:tc>
          <w:tcPr>
            <w:tcW w:w="6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period-over-period results by reportable segment follow.</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Related to Operating Income by Reportable Segment: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NA Fenestration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Six Months Ended April 30,</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2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 Variance</w:t>
            </w:r>
          </w:p>
        </w:tc>
        <w:tc>
          <w:tcPr>
            <w:tcW w:w="0" w:type="dxa"/>
            <w:vAlign w:val="bottom"/>
          </w:tcPr>
          <w:p>
            <w:pPr>
              <w:spacing w:after="0"/>
              <w:rPr>
                <w:sz w:val="1"/>
                <w:szCs w:val="1"/>
                <w:color w:val="auto"/>
              </w:rPr>
            </w:pPr>
          </w:p>
        </w:tc>
      </w:tr>
      <w:tr>
        <w:trPr>
          <w:trHeight w:val="181"/>
        </w:trPr>
        <w:tc>
          <w:tcPr>
            <w:tcW w:w="6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gridSpan w:val="4"/>
          </w:tcPr>
          <w:p>
            <w:pPr>
              <w:jc w:val="right"/>
              <w:ind w:right="654"/>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324.5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274.3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20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0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253.5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211.8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20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0" w:type="dxa"/>
            <w:vAlign w:val="bottom"/>
            <w:tcBorders>
              <w:bottom w:val="single" w:sz="8" w:color="CCEEFF"/>
            </w:tcBorders>
          </w:tcPr>
          <w:p>
            <w:pPr>
              <w:jc w:val="right"/>
              <w:ind w:right="294"/>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0" w:type="dxa"/>
            <w:vAlign w:val="bottom"/>
            <w:tcBorders>
              <w:bottom w:val="single" w:sz="8" w:color="CCEEFF"/>
            </w:tcBorders>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increased $50.2 million, or 18%, for the six months ended April 30, 2022 compared to the same period in 2021, which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an increase in price and raw material surcharges of $32.8 million and a $17.4 million increase in volumes.</w:t>
      </w:r>
    </w:p>
    <w:p>
      <w:pPr>
        <w:spacing w:after="0" w:line="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The cost of sales increased $41.7 million, or 20%, for the six months ended April 30, 2022 as compared to the same period in 2021.</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sales, including labor, increased primarily due to higher volumes during the period as well as the inflation of raw materials.</w:t>
      </w:r>
    </w:p>
    <w:p>
      <w:pPr>
        <w:spacing w:after="0" w:line="124" w:lineRule="exact"/>
        <w:rPr>
          <w:sz w:val="20"/>
          <w:szCs w:val="20"/>
          <w:color w:val="auto"/>
        </w:rPr>
      </w:pPr>
    </w:p>
    <w:p>
      <w:pPr>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Selling, General and Administrative. S</w:t>
      </w:r>
      <w:r>
        <w:rPr>
          <w:rFonts w:ascii="Times New Roman" w:cs="Times New Roman" w:eastAsia="Times New Roman" w:hAnsi="Times New Roman"/>
          <w:sz w:val="18"/>
          <w:szCs w:val="18"/>
          <w:color w:val="auto"/>
        </w:rPr>
        <w:t>elling, general and administrative expenses increased $2.9 million, or 11%, for the six months ended April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as compared to the same period in 2021. This increase was due primarily to higher professional fees and general expenses year-over-year.</w:t>
      </w:r>
    </w:p>
    <w:p>
      <w:pPr>
        <w:spacing w:after="0" w:line="91" w:lineRule="exact"/>
        <w:rPr>
          <w:sz w:val="20"/>
          <w:szCs w:val="20"/>
          <w:color w:val="auto"/>
        </w:rPr>
      </w:pPr>
    </w:p>
    <w:p>
      <w:pPr>
        <w:jc w:val="both"/>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decreased $1.8 million, or 18%, for the six months ended April 30, 2022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2021, reflecting the run-off of depreciation expense related to existing assets and disposals during the period.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EU Fenestration</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Six Months Ended April 30,</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2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b w:val="1"/>
                <w:bCs w:val="1"/>
                <w:color w:val="auto"/>
              </w:rPr>
              <w:t>Variance %</w:t>
            </w:r>
          </w:p>
        </w:tc>
        <w:tc>
          <w:tcPr>
            <w:tcW w:w="0" w:type="dxa"/>
            <w:vAlign w:val="bottom"/>
          </w:tcPr>
          <w:p>
            <w:pPr>
              <w:spacing w:after="0"/>
              <w:rPr>
                <w:sz w:val="1"/>
                <w:szCs w:val="1"/>
                <w:color w:val="auto"/>
              </w:rPr>
            </w:pPr>
          </w:p>
        </w:tc>
      </w:tr>
      <w:tr>
        <w:trPr>
          <w:trHeight w:val="181"/>
        </w:trPr>
        <w:tc>
          <w:tcPr>
            <w:tcW w:w="6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gridSpan w:val="4"/>
          </w:tcPr>
          <w:p>
            <w:pPr>
              <w:jc w:val="right"/>
              <w:ind w:right="654"/>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0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0" w:type="dxa"/>
            <w:vAlign w:val="bottom"/>
          </w:tcPr>
          <w:p>
            <w:pPr>
              <w:jc w:val="center"/>
              <w:ind w:left="14"/>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tcPr>
          <w:p>
            <w:pPr>
              <w:jc w:val="center"/>
              <w:ind w:lef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0" w:type="dxa"/>
            <w:vAlign w:val="bottom"/>
            <w:tcBorders>
              <w:bottom w:val="single" w:sz="8" w:color="CCEEFF"/>
            </w:tcBorders>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96"/>
              </w:rPr>
              <w:t>11%</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increased $21.6 million, or 20%, comparing the six months ended April 30, 2022 to the same period in 2021, which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$23.1 million of base price increases and a $2.2 million increase in volumes partially offset by $3.7 million of foreign currency rate changes.</w:t>
      </w:r>
    </w:p>
    <w:p>
      <w:pPr>
        <w:spacing w:after="0" w:line="92" w:lineRule="exact"/>
        <w:rPr>
          <w:sz w:val="20"/>
          <w:szCs w:val="20"/>
          <w:color w:val="auto"/>
        </w:rPr>
      </w:pPr>
    </w:p>
    <w:p>
      <w:pPr>
        <w:jc w:val="both"/>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The cost of sales increased $17.7 million, or 24%, for the six months ended April 30, 2022 compared to the same period in 2021. Cost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sales increased primarily due to higher volumes during the period as well as the inflation of raw materials.</w:t>
      </w:r>
    </w:p>
    <w:p>
      <w:pPr>
        <w:spacing w:after="0" w:line="91"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Selling, general and administrative expense increased $1.9 million, or 14%, for the six months ended April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compared to the same period in 2021. The increase is primarily due to higher compensation, general expenses and foreign currency impacts year-over-year.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NA Cabinet Components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Six Months Ended April 30,</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2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b w:val="1"/>
                <w:bCs w:val="1"/>
                <w:color w:val="auto"/>
              </w:rPr>
              <w:t>Variance %</w:t>
            </w:r>
          </w:p>
        </w:tc>
        <w:tc>
          <w:tcPr>
            <w:tcW w:w="0" w:type="dxa"/>
            <w:vAlign w:val="bottom"/>
          </w:tcPr>
          <w:p>
            <w:pPr>
              <w:spacing w:after="0"/>
              <w:rPr>
                <w:sz w:val="1"/>
                <w:szCs w:val="1"/>
                <w:color w:val="auto"/>
              </w:rPr>
            </w:pPr>
          </w:p>
        </w:tc>
      </w:tr>
      <w:tr>
        <w:trPr>
          <w:trHeight w:val="181"/>
        </w:trPr>
        <w:tc>
          <w:tcPr>
            <w:tcW w:w="6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gridSpan w:val="4"/>
          </w:tcPr>
          <w:p>
            <w:pPr>
              <w:jc w:val="right"/>
              <w:ind w:right="654"/>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6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0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0" w:type="dxa"/>
            <w:vAlign w:val="bottom"/>
          </w:tcPr>
          <w:p>
            <w:pPr>
              <w:jc w:val="center"/>
              <w:ind w:left="14"/>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0" w:type="dxa"/>
            <w:vAlign w:val="bottom"/>
            <w:tcBorders>
              <w:bottom w:val="single" w:sz="8" w:color="CCEEFF"/>
            </w:tcBorders>
          </w:tcPr>
          <w:p>
            <w:pPr>
              <w:jc w:val="center"/>
              <w:ind w:left="34"/>
              <w:spacing w:after="0"/>
              <w:rPr>
                <w:sz w:val="20"/>
                <w:szCs w:val="20"/>
                <w:color w:val="auto"/>
              </w:rPr>
            </w:pPr>
            <w:r>
              <w:rPr>
                <w:rFonts w:ascii="Times New Roman" w:cs="Times New Roman" w:eastAsia="Times New Roman" w:hAnsi="Times New Roman"/>
                <w:sz w:val="18"/>
                <w:szCs w:val="18"/>
                <w:color w:val="auto"/>
                <w:w w:val="97"/>
              </w:rPr>
              <w:t>(11)%</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0" w:type="dxa"/>
            <w:vAlign w:val="bottom"/>
            <w:tcBorders>
              <w:bottom w:val="single" w:sz="8" w:color="CCEEFF"/>
            </w:tcBorders>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w w:val="99"/>
              </w:rPr>
              <w:t>(250)%</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loss margin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increased $17.7 million, or 15%, for the six months ended April 30, 2022 compared to the same period in 2021, which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a $32.6 million increase in price and raw material indexes partially offset by $14.9 million decrease in volumes due to labor and material shortages throughout the supply chain.</w:t>
      </w:r>
    </w:p>
    <w:p>
      <w:pPr>
        <w:spacing w:after="0" w:line="92" w:lineRule="exact"/>
        <w:rPr>
          <w:sz w:val="20"/>
          <w:szCs w:val="20"/>
          <w:color w:val="auto"/>
        </w:rPr>
      </w:pPr>
    </w:p>
    <w:p>
      <w:pPr>
        <w:jc w:val="both"/>
        <w:ind w:right="2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increased $17.2 million, or 17%, for the six months ended April 30, 2022 compared with the same period in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as a result of lumber price inflation, which is recovered on a lag, partially offset by lower volumes during the period.</w:t>
      </w:r>
    </w:p>
    <w:p>
      <w:pPr>
        <w:spacing w:after="0" w:line="91" w:lineRule="exact"/>
        <w:rPr>
          <w:sz w:val="20"/>
          <w:szCs w:val="20"/>
          <w:color w:val="auto"/>
        </w:rPr>
      </w:pPr>
    </w:p>
    <w:p>
      <w:pPr>
        <w:ind w:right="2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 Selling, general and administrative expense increased $0.3 million, or 3%, for the six months ended April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compared to the same period in 2021 due to an increase in general expenses year-over-year.</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Unallocated Corporate &amp; Other</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Six Months Ended April 30,</w:t>
            </w:r>
          </w:p>
        </w:tc>
        <w:tc>
          <w:tcPr>
            <w:tcW w:w="1220" w:type="dxa"/>
            <w:vAlign w:val="bottom"/>
            <w:tcBorders>
              <w:bottom w:val="single" w:sz="8" w:color="auto"/>
            </w:tcBorders>
          </w:tcPr>
          <w:p>
            <w:pPr>
              <w:spacing w:after="0"/>
              <w:rPr>
                <w:sz w:val="18"/>
                <w:szCs w:val="18"/>
                <w:color w:val="auto"/>
              </w:rPr>
            </w:pPr>
          </w:p>
        </w:tc>
      </w:tr>
      <w:tr>
        <w:trPr>
          <w:trHeight w:val="193"/>
        </w:trPr>
        <w:tc>
          <w:tcPr>
            <w:tcW w:w="648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2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b w:val="1"/>
                <w:bCs w:val="1"/>
                <w:color w:val="auto"/>
              </w:rPr>
              <w:t>Variance %</w:t>
            </w:r>
          </w:p>
        </w:tc>
      </w:tr>
      <w:tr>
        <w:trPr>
          <w:trHeight w:val="181"/>
        </w:trPr>
        <w:tc>
          <w:tcPr>
            <w:tcW w:w="6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60" w:type="dxa"/>
            <w:vAlign w:val="bottom"/>
            <w:gridSpan w:val="4"/>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220" w:type="dxa"/>
            <w:vAlign w:val="bottom"/>
          </w:tcPr>
          <w:p>
            <w:pPr>
              <w:spacing w:after="0"/>
              <w:rPr>
                <w:sz w:val="15"/>
                <w:szCs w:val="15"/>
                <w:color w:val="auto"/>
              </w:rPr>
            </w:pPr>
          </w:p>
        </w:tc>
      </w:tr>
      <w:tr>
        <w:trPr>
          <w:trHeight w:val="238"/>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72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2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w w:val="99"/>
              </w:rPr>
              <w:t>(5)%</w:t>
            </w:r>
          </w:p>
        </w:tc>
      </w:tr>
      <w:tr>
        <w:trPr>
          <w:trHeight w:val="229"/>
        </w:trPr>
        <w:tc>
          <w:tcPr>
            <w:tcW w:w="6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72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20" w:type="dxa"/>
            <w:vAlign w:val="bottom"/>
          </w:tcPr>
          <w:p>
            <w:pPr>
              <w:jc w:val="center"/>
              <w:ind w:left="14"/>
              <w:spacing w:after="0"/>
              <w:rPr>
                <w:sz w:val="20"/>
                <w:szCs w:val="20"/>
                <w:color w:val="auto"/>
              </w:rPr>
            </w:pPr>
            <w:r>
              <w:rPr>
                <w:rFonts w:ascii="Times New Roman" w:cs="Times New Roman" w:eastAsia="Times New Roman" w:hAnsi="Times New Roman"/>
                <w:sz w:val="18"/>
                <w:szCs w:val="18"/>
                <w:color w:val="auto"/>
                <w:w w:val="99"/>
              </w:rPr>
              <w:t>9%</w:t>
            </w:r>
          </w:p>
        </w:tc>
      </w:tr>
      <w:tr>
        <w:trPr>
          <w:trHeight w:val="230"/>
        </w:trPr>
        <w:tc>
          <w:tcPr>
            <w:tcW w:w="6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2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64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tcPr>
          <w:p>
            <w:pPr>
              <w:jc w:val="center"/>
              <w:ind w:left="34"/>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72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20" w:type="dxa"/>
            <w:vAlign w:val="bottom"/>
            <w:tcBorders>
              <w:bottom w:val="single" w:sz="8" w:color="CCEEFF"/>
            </w:tcBorders>
            <w:shd w:val="clear" w:color="auto" w:fill="CCEEFF"/>
          </w:tcPr>
          <w:p>
            <w:pPr>
              <w:jc w:val="center"/>
              <w:ind w:left="34"/>
              <w:spacing w:after="0"/>
              <w:rPr>
                <w:sz w:val="20"/>
                <w:szCs w:val="20"/>
                <w:color w:val="auto"/>
              </w:rPr>
            </w:pPr>
            <w:r>
              <w:rPr>
                <w:rFonts w:ascii="Times New Roman" w:cs="Times New Roman" w:eastAsia="Times New Roman" w:hAnsi="Times New Roman"/>
                <w:sz w:val="18"/>
                <w:szCs w:val="18"/>
                <w:color w:val="auto"/>
              </w:rPr>
              <w:t>55%</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for Unallocated Corporate &amp; Other represents the elimination of inter-segment sales for the six months ended April 30, 2022 and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151" w:lineRule="exact"/>
        <w:rPr>
          <w:sz w:val="20"/>
          <w:szCs w:val="20"/>
          <w:color w:val="auto"/>
        </w:rPr>
      </w:pPr>
    </w:p>
    <w:p>
      <w:pPr>
        <w:ind w:left="460" w:right="20"/>
        <w:spacing w:after="0" w:line="356"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for Unallocated Corporate &amp; Other consists of the elimination of inter-segment sales, profit in inventory, and other costs.</w:t>
      </w:r>
      <w:r>
        <w:rPr>
          <w:rFonts w:ascii="Times New Roman" w:cs="Times New Roman" w:eastAsia="Times New Roman" w:hAnsi="Times New Roman"/>
          <w:sz w:val="18"/>
          <w:szCs w:val="18"/>
          <w:i w:val="1"/>
          <w:iCs w:val="1"/>
          <w:color w:val="auto"/>
        </w:rPr>
        <w:t xml:space="preserve"> Selling, General and Administrative</w:t>
      </w:r>
      <w:r>
        <w:rPr>
          <w:rFonts w:ascii="Times New Roman" w:cs="Times New Roman" w:eastAsia="Times New Roman" w:hAnsi="Times New Roman"/>
          <w:sz w:val="18"/>
          <w:szCs w:val="18"/>
          <w:color w:val="auto"/>
        </w:rPr>
        <w:t>. Selling, general and administrative expenses decreased $6.6 million, or 62%, for the six months ended April 30,</w:t>
      </w:r>
    </w:p>
    <w:p>
      <w:pPr>
        <w:jc w:val="both"/>
        <w:spacing w:after="0" w:line="253" w:lineRule="auto"/>
        <w:rPr>
          <w:sz w:val="20"/>
          <w:szCs w:val="20"/>
          <w:color w:val="auto"/>
        </w:rPr>
      </w:pPr>
      <w:r>
        <w:rPr>
          <w:rFonts w:ascii="Times New Roman" w:cs="Times New Roman" w:eastAsia="Times New Roman" w:hAnsi="Times New Roman"/>
          <w:sz w:val="18"/>
          <w:szCs w:val="18"/>
          <w:color w:val="auto"/>
        </w:rPr>
        <w:t>2022 compared to the same period in 2021. This decrease is primarily attributable to $4.6 million of decreased compensation expense including the valuations of our stock based compensation awards, a decrease of $0.5 million related to workers’ compensation claims and a decrease of $0.2 million related to medical expense claims during the six months ended April 30, 2022 as compared to the prior year period. Additionally, we recorded a $1.4 million loss on the sale of a plant during the six months ended April 30, 2021, for which we did not have a comparable expense in the corresponding six months ended April 30,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related to Non-Operating Items:</w:t>
      </w:r>
    </w:p>
    <w:p>
      <w:pPr>
        <w:spacing w:after="0" w:line="106" w:lineRule="exact"/>
        <w:rPr>
          <w:sz w:val="20"/>
          <w:szCs w:val="20"/>
          <w:color w:val="auto"/>
        </w:rPr>
      </w:pPr>
    </w:p>
    <w:p>
      <w:pPr>
        <w:jc w:val="both"/>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decreased $0.3 million for the six months ended April 30, 2022 compared to the same period in 2021 as a result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 borrowings outstanding during the period.</w:t>
      </w:r>
    </w:p>
    <w:p>
      <w:pPr>
        <w:spacing w:after="0" w:line="91" w:lineRule="exact"/>
        <w:rPr>
          <w:sz w:val="20"/>
          <w:szCs w:val="20"/>
          <w:color w:val="auto"/>
        </w:rPr>
      </w:pPr>
    </w:p>
    <w:p>
      <w:pPr>
        <w:jc w:val="both"/>
        <w:ind w:firstLine="445"/>
        <w:spacing w:after="0" w:line="259"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recorded income tax expense of $10.3 million on pre-tax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6"/>
          <w:szCs w:val="16"/>
          <w:color w:val="auto"/>
        </w:rPr>
        <w:t>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$48.1 million for the six months ended April 30, 2022,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effective rate of 21.4%, and income tax </w:t>
      </w:r>
      <w:r>
        <w:rPr>
          <w:rFonts w:ascii="Times New Roman" w:cs="Times New Roman" w:eastAsia="Times New Roman" w:hAnsi="Times New Roman"/>
          <w:sz w:val="16"/>
          <w:szCs w:val="16"/>
          <w:color w:val="auto"/>
        </w:rPr>
        <w:t>expense</w:t>
      </w:r>
      <w:r>
        <w:rPr>
          <w:rFonts w:ascii="Times New Roman" w:cs="Times New Roman" w:eastAsia="Times New Roman" w:hAnsi="Times New Roman"/>
          <w:sz w:val="18"/>
          <w:szCs w:val="18"/>
          <w:color w:val="auto"/>
        </w:rPr>
        <w:t xml:space="preserve"> of $9.9 million on a pre-tax income of $32.3 million for the six months ended April 30, 2021, an effective</w:t>
      </w:r>
    </w:p>
    <w:p>
      <w:pPr>
        <w:spacing w:after="0" w:line="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rate of 30.6%. The $0.4 million increase in income tax expense year-over-year corresponds with the increase in pre-tax income partially offset by a benefit for the true-up of deferred taxes from prior year filings and a benefit related to the vesting or exercise of equity based compensation.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Historically, our principal sources of funds have been cash on hand, cash flow from operations, and borrowings under our credit facilities.</w:t>
      </w:r>
    </w:p>
    <w:p>
      <w:pPr>
        <w:spacing w:after="0" w:line="15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maintain a $325.0 million revolving credit facility (the Credit Facility) that matures in 2023 (5-year term) and requires interest payments calculated at a variable market rate depending upon our Consolidated Leverage Ratio. The applicable rate during the six months ended April 30, 2022 was LIBOR + 1.25%. Our cost of capital could increase depending upon the Consolidated Leverage Ratio at the end of any given quarter. In addition to the Consolidated Leverage Ratio covenant, we are required to meet a Consolidated Interest Coverage Ratio covenant, and there are limitations on certain transactions including our ability to incur indebtedness, incur liens, dispose of material assets, acquire businesses, make restricted payments and pay dividends (limited to $20.0 million per year). We are amortizing deferred financing fees of $0.4 million straight-line over the remaining term of the facility. For further details of the Credit Facility, refer to Note 4, “Debt and Finance Lease Obligations” to the accompanying unaudited condensed consolidated financial statements contained elsewhere herein.</w:t>
      </w:r>
    </w:p>
    <w:p>
      <w:pPr>
        <w:spacing w:after="0" w:line="11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April 30, 2022, we had $38.9 million of cash and equivalents, $63.0 million outstanding under the Credit Facility, $4.4 million of outstanding letters of credit and $14.0 million outstanding under finance leases and other debt. We had $257.6 million available for use under the Credit Facility at April 30, 2022.</w:t>
      </w:r>
    </w:p>
    <w:p>
      <w:pPr>
        <w:spacing w:after="0" w:line="10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repatriated $4.1 million and $8.8 million of foreign cash during the six months ended April 30, 2022 and 2021, respectively. We expect to repatriate excess cash moving forward and use the funds to retire debt or meet current working capital needs. In the U.K., we insure against a portion of our credit losses. We believe our business model, our current cash reserves and the recent steps we have taken to strengthen our balance sheet leave us well-positioned to manage our business and remain in compliance with our debt covenants.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Analysis of Cash Flow</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cash flow results for the six months ended April 30, 2022 and 2021:</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80" w:type="dxa"/>
            <w:vAlign w:val="bottom"/>
          </w:tcPr>
          <w:p>
            <w:pPr>
              <w:spacing w:after="0"/>
              <w:rPr>
                <w:sz w:val="16"/>
                <w:szCs w:val="16"/>
                <w:color w:val="auto"/>
              </w:rPr>
            </w:pPr>
          </w:p>
        </w:tc>
      </w:tr>
      <w:tr>
        <w:trPr>
          <w:trHeight w:val="203"/>
        </w:trPr>
        <w:tc>
          <w:tcPr>
            <w:tcW w:w="8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980" w:type="dxa"/>
            <w:vAlign w:val="bottom"/>
          </w:tcPr>
          <w:p>
            <w:pPr>
              <w:spacing w:after="0"/>
              <w:rPr>
                <w:sz w:val="17"/>
                <w:szCs w:val="17"/>
                <w:color w:val="auto"/>
              </w:rPr>
            </w:pPr>
          </w:p>
        </w:tc>
      </w:tr>
      <w:tr>
        <w:trPr>
          <w:trHeight w:val="23"/>
        </w:trPr>
        <w:tc>
          <w:tcPr>
            <w:tcW w:w="80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02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8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7"/>
                <w:szCs w:val="17"/>
                <w:color w:val="auto"/>
              </w:rPr>
            </w:pPr>
          </w:p>
        </w:tc>
      </w:tr>
      <w:tr>
        <w:trPr>
          <w:trHeight w:val="23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for) provided by operating activities</w:t>
            </w:r>
          </w:p>
        </w:tc>
        <w:tc>
          <w:tcPr>
            <w:tcW w:w="98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(1.9)</w:t>
            </w:r>
          </w:p>
        </w:tc>
        <w:tc>
          <w:tcPr>
            <w:tcW w:w="6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for investing activities</w:t>
            </w:r>
          </w:p>
        </w:tc>
        <w:tc>
          <w:tcPr>
            <w:tcW w:w="98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(13.7)</w:t>
            </w:r>
          </w:p>
        </w:tc>
        <w:tc>
          <w:tcPr>
            <w:tcW w:w="6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(used for) financing activities</w:t>
            </w:r>
          </w:p>
        </w:tc>
        <w:tc>
          <w:tcPr>
            <w:tcW w:w="98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16.5</w:t>
            </w:r>
          </w:p>
        </w:tc>
        <w:tc>
          <w:tcPr>
            <w:tcW w:w="6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r>
    </w:tbl>
    <w:p>
      <w:pPr>
        <w:spacing w:after="0" w:line="18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Operating Activities</w:t>
      </w:r>
      <w:r>
        <w:rPr>
          <w:rFonts w:ascii="Times New Roman" w:cs="Times New Roman" w:eastAsia="Times New Roman" w:hAnsi="Times New Roman"/>
          <w:sz w:val="18"/>
          <w:szCs w:val="18"/>
          <w:color w:val="auto"/>
        </w:rPr>
        <w:t>. Operating cash flows for the six months ended April 30, 2022 declined approximately $30.9 million compared to the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April 30, 2021. The decline in operating cash flows is primarily due to unfavorable changes in working capital partially offset by higher net income year-over-year due to increased demand. The unfavorable changes in working capital was largely driven by an increase in inventory value due to raw material price inflation and a higher payout of accrued incentives.</w:t>
      </w:r>
    </w:p>
    <w:p>
      <w:pPr>
        <w:spacing w:after="0" w:line="112" w:lineRule="exact"/>
        <w:rPr>
          <w:sz w:val="20"/>
          <w:szCs w:val="20"/>
          <w:color w:val="auto"/>
        </w:rPr>
      </w:pPr>
    </w:p>
    <w:p>
      <w:pPr>
        <w:jc w:val="both"/>
        <w:ind w:right="2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Cash used for investing activities increased $5.6 million for the six months ended April 30, 2022 compared to the same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primarily as a result of an increase in capital expenditures and a decrease in proceeds from dispositions.</w:t>
      </w:r>
    </w:p>
    <w:p>
      <w:pPr>
        <w:spacing w:after="0" w:line="77"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provided by financing activities was $16.5 million for the six months ended April 30, 2022, which included $24.6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net debt borrowings partially offset by $5.3 million of dividends paid to our shareholders, $1.6 million purchase of treasury stock and $1.4 million of payroll tax paid to settle shares forfeited upon vesting of stock.</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Requirements</w:t>
      </w:r>
    </w:p>
    <w:p>
      <w:pPr>
        <w:spacing w:after="0" w:line="17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Historically, our strategy for deploying cash has been to invest in organic growth opportunities, develop our infrastructure, and explore strategic acquisitions. Other uses of cash include paying cash dividends to our shareholders and repurchasing our common stock. During the six months ended April 30, 2022 and 2021, we repatriated $4.1 million and $8.8 million, respectively, of foreign earnings from our foreign locations. We maintain cash balances in foreign countries which total $10.6 million as of April 30, 2022.</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preparation of our financial statements in accordance with accounting principles generally accepted in the U.S. (U.S. GAAP) requires us to make estimates and assumptions that affect the reported amount of assets, liabilities, revenues and expenses and related disclosures of contingent assets and liabilities. Estimates and assumptions about future events and their effects cannot be perceived with certainty. Estimates may change as new events occur, as more experience is acquired, as additional information becomes available and as our operating environment changes. We base our estimates on historical experience and on various other assumptions that we believe are reasonable under the circumstances, and that we believe provide a basis for making judgments about the carrying value of assets and liabilities that are not readily available through open market quotes. We must use our judgment with regard to uncertainties in order to make these estimates. Actual results could differ from these estimates.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a description of our critical accounting policies and estimates, see our Annual Report on Form 10-K for the fiscal year ended October 31,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critical accounting policies and estimates have not changed materially during the six months ended April 30, 2022.</w:t>
      </w:r>
    </w:p>
    <w:p>
      <w:pPr>
        <w:spacing w:after="0" w:line="23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While there have been no changes in the application of principles, methods, and assumptions used to determine our significant estimates, we may be required to revise certain accounting estimates and judgments related to the economic and business impact of the COVID-19 pandemic, such as, but not limited to, those related to the valuation of goodwill, intangibles, long-lived assets, accounts receivable, and inventory, which could have a material adverse effect on our financial position and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6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standards setting bodies that we adopt as of the specified effective date. We did not adopt any new accounting pronouncements during the three and six months ended April 30, 2022. As of April 30, 2022, we believe the impact of any recently issued standards that are not yet effective are either not applicable to us at this time or will not have a material impact on our condensed consolidated financial statements upon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3. Quantitative and Qualitative Disclosures About Market Risk</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following discussion of our exposure to various market risks contains “forward looking statements” regarding our estimates, assumptions and beliefs concerning our exposure. Although we believe these estimates and assumptions are reasonable in light of information currently available to us, we cannot provide assurance that these estimates will not materially differ from actual results due to the inherent unpredictability of interest rates, foreign currency rates and commodity prices as well as other factors. We do not use derivative financial instruments for speculative or trading purposes.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outstanding debt bears interest at variable rates and accordingly is sensitive to changes in interest rates. Based upon the balances of the variable rate debt at April 30, 2022, a hypothetical 1.0% increase or decrease in interest rates could result in approximately $0.6 million of additional pretax charges or credit to our net income per year. This sensitivity is impacted by the amount of borrowings under our credit facilities, and amounts outstanding under finance leases.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Rate Risk</w:t>
      </w:r>
    </w:p>
    <w:p>
      <w:pPr>
        <w:spacing w:after="0" w:line="16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international operations have exposure to foreign currency rate risks, primarily due to fluctuations in the Euro, the British Pound Sterling and the Canadian Dollar. From time to time, we enter into foreign exchange contracts associated with our operations to manage a portion of the foreign currency rate risk. Less than $0.1 million of foreign currency derivatives were included in total assets as of April 30, 2022. There were no corresponding foreign currency derivatives as of October 31, 2021. These foreign currency derivative contracts hedge cross-border intercompany and commercial activity for our insulating glass spacer business. Although these derivatives hedge our exposure to fluctuations in foreign currency rates, we do not apply hedge accounting and therefore, the change in the fair value of these foreign currency derivatives is recorded directly to other income and expense in the accompanying condensed consolidated statements of income. To the extent the gain or loss on the derivative instrument offsets the gain or loss from the re-measurement of the underlying foreign currency balance, changes in exchange rates should have no effect.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4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purchase PVC as the significant raw material consumed in the manufacture of vinyl extrusions. We have resin adjusters in place with a majority of our customers and our resin supplier that is adjusted based upon published indices for lagging resin prices. These adjusters effectively share the base pass-through price changes of PVC with our customers commensurate with the market at large. Our long-term exposure to changes in PVC prices is somewhat mitigated due to the contractual component of the resin adjuster program. However, there is a level of exposure to short-term volatility due to timing lags.</w:t>
      </w:r>
    </w:p>
    <w:p>
      <w:pPr>
        <w:spacing w:after="0" w:line="11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adjust the pricing of petroleum-based raw materials for the majority of our customers who purchase products using these materials. This is intended to offset the fluctuating cost of products which are highly correlated to the price of oil including butyl and other oil-based raw materials. This program is adjusted monthly based upon the 90-day average published price for Brent crude. The oil-based raw materials that we purchase are subject to similar pricing schemes. As such, our long-term exposure to increases in oil-based raw material prices is significantly reduced under this program.</w:t>
      </w:r>
    </w:p>
    <w:p>
      <w:pPr>
        <w:spacing w:after="0" w:line="11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Similarly, NA Cabinet Components includes a price index provision in the majority of its customer arrangements to insulate against significant fluctuations in the price for various hardwood products used as the primary raw material for kitchen and bathroom cabinet doors. Like our vinyl extrusion business, we are exposed to short-term volatility in wood prices due to a lag in the timing of price updates which generally could extend for up to three months.</w:t>
      </w:r>
    </w:p>
    <w:p>
      <w:pPr>
        <w:spacing w:after="0" w:line="9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have begun implementing additional programs for other raw materials to facilitate more accurate pricing and reduce our exposure to changing material costs when necessary, however these are also subject to timing lags. While we maintain surcharges and other adjusters to manage our exposure to changes in the prices of our critical raw materials, we use several commodities in our business that are not covered by contractual surcharges or adjusters for which pricing can fluctuate, including PVC compound micro ingredients, silicone and other inputs. Further discussion of our industry risks is included within our Annual Report on Form 10-K for the fiscal year ended October 31, 2021.</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4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the Chief Executive Officer and Chief Financial Officer, we have evaluated the effectiveness of our disclosure controls and procedures pursuant to Rules 13a-15(e) and 15d-15(e) under the Securities Exchange Act of 1934 (1934 Act) as of April 30, 2022. Based on that evaluation, the Chief Executive Officer and Chief Financial Officer concluded that, as of April 30, 2022, the disclosure controls and procedures are effective.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There have been no changes in internal controls over financial reporting (as defined in Rules 13a-15(f) and 15d-15(f) under the 1934 Act) during the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three months ended April 30, 2022, we repurchased common stock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 Total Number of</w:t>
            </w:r>
          </w:p>
        </w:tc>
        <w:tc>
          <w:tcPr>
            <w:tcW w:w="120" w:type="dxa"/>
            <w:vAlign w:val="bottom"/>
          </w:tcPr>
          <w:p>
            <w:pPr>
              <w:spacing w:after="0"/>
              <w:rPr>
                <w:sz w:val="13"/>
                <w:szCs w:val="13"/>
                <w:color w:val="auto"/>
              </w:rPr>
            </w:pPr>
          </w:p>
        </w:tc>
        <w:tc>
          <w:tcPr>
            <w:tcW w:w="16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 Average Price Paid</w:t>
            </w: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 Total Number of Shares</w:t>
            </w:r>
          </w:p>
        </w:tc>
        <w:tc>
          <w:tcPr>
            <w:tcW w:w="100" w:type="dxa"/>
            <w:vAlign w:val="bottom"/>
          </w:tcPr>
          <w:p>
            <w:pPr>
              <w:spacing w:after="0"/>
              <w:rPr>
                <w:sz w:val="13"/>
                <w:szCs w:val="13"/>
                <w:color w:val="auto"/>
              </w:rPr>
            </w:pPr>
          </w:p>
        </w:tc>
        <w:tc>
          <w:tcPr>
            <w:tcW w:w="246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(d) Maximum US Dollars Remaining</w:t>
            </w:r>
          </w:p>
        </w:tc>
        <w:tc>
          <w:tcPr>
            <w:tcW w:w="0" w:type="dxa"/>
            <w:vAlign w:val="bottom"/>
          </w:tcPr>
          <w:p>
            <w:pPr>
              <w:spacing w:after="0"/>
              <w:rPr>
                <w:sz w:val="1"/>
                <w:szCs w:val="1"/>
                <w:color w:val="auto"/>
              </w:rPr>
            </w:pPr>
          </w:p>
        </w:tc>
      </w:tr>
      <w:tr>
        <w:trPr>
          <w:trHeight w:val="148"/>
        </w:trPr>
        <w:tc>
          <w:tcPr>
            <w:tcW w:w="312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a Publicly</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20" w:type="dxa"/>
            <w:vAlign w:val="bottom"/>
          </w:tcPr>
          <w:p>
            <w:pPr>
              <w:jc w:val="right"/>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 Used to Purchase</w:t>
            </w:r>
          </w:p>
        </w:tc>
        <w:tc>
          <w:tcPr>
            <w:tcW w:w="0" w:type="dxa"/>
            <w:vAlign w:val="bottom"/>
          </w:tcPr>
          <w:p>
            <w:pPr>
              <w:spacing w:after="0"/>
              <w:rPr>
                <w:sz w:val="1"/>
                <w:szCs w:val="1"/>
                <w:color w:val="auto"/>
              </w:rPr>
            </w:pPr>
          </w:p>
        </w:tc>
      </w:tr>
      <w:tr>
        <w:trPr>
          <w:trHeight w:val="203"/>
        </w:trPr>
        <w:tc>
          <w:tcPr>
            <w:tcW w:w="3120" w:type="dxa"/>
            <w:vAlign w:val="bottom"/>
            <w:gridSpan w:val="2"/>
            <w:vMerge w:val="continue"/>
          </w:tcPr>
          <w:p>
            <w:pPr>
              <w:spacing w:after="0"/>
              <w:rPr>
                <w:sz w:val="17"/>
                <w:szCs w:val="17"/>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7"/>
                <w:szCs w:val="17"/>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12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Announced Plans or Programs </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7"/>
                <w:szCs w:val="17"/>
                <w:color w:val="auto"/>
              </w:rPr>
            </w:pPr>
          </w:p>
        </w:tc>
        <w:tc>
          <w:tcPr>
            <w:tcW w:w="246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Shares Under the Plans or Programs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3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2022</w:t>
            </w:r>
          </w:p>
        </w:tc>
        <w:tc>
          <w:tcPr>
            <w:tcW w:w="8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75,000,000</w:t>
            </w:r>
          </w:p>
        </w:tc>
        <w:tc>
          <w:tcPr>
            <w:tcW w:w="0" w:type="dxa"/>
            <w:vAlign w:val="bottom"/>
          </w:tcPr>
          <w:p>
            <w:pPr>
              <w:spacing w:after="0"/>
              <w:rPr>
                <w:sz w:val="1"/>
                <w:szCs w:val="1"/>
                <w:color w:val="auto"/>
              </w:rPr>
            </w:pPr>
          </w:p>
        </w:tc>
      </w:tr>
      <w:tr>
        <w:trPr>
          <w:trHeight w:val="230"/>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2022</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75,000,000</w:t>
            </w:r>
          </w:p>
        </w:tc>
        <w:tc>
          <w:tcPr>
            <w:tcW w:w="0" w:type="dxa"/>
            <w:vAlign w:val="bottom"/>
          </w:tcPr>
          <w:p>
            <w:pPr>
              <w:spacing w:after="0"/>
              <w:rPr>
                <w:sz w:val="1"/>
                <w:szCs w:val="1"/>
                <w:color w:val="auto"/>
              </w:rPr>
            </w:pPr>
          </w:p>
        </w:tc>
      </w:tr>
      <w:tr>
        <w:trPr>
          <w:trHeight w:val="229"/>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2022</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00" w:type="dxa"/>
            <w:vAlign w:val="bottom"/>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73,430,997</w:t>
            </w:r>
          </w:p>
        </w:tc>
        <w:tc>
          <w:tcPr>
            <w:tcW w:w="0" w:type="dxa"/>
            <w:vAlign w:val="bottom"/>
          </w:tcPr>
          <w:p>
            <w:pPr>
              <w:spacing w:after="0"/>
              <w:rPr>
                <w:sz w:val="1"/>
                <w:szCs w:val="1"/>
                <w:color w:val="auto"/>
              </w:rPr>
            </w:pPr>
          </w:p>
        </w:tc>
      </w:tr>
      <w:tr>
        <w:trPr>
          <w:trHeight w:val="223"/>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00" w:type="dxa"/>
            <w:vAlign w:val="bottom"/>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413"/>
        <w:spacing w:after="0" w:line="239" w:lineRule="auto"/>
        <w:tabs>
          <w:tab w:leader="none" w:pos="601"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December 2021, our Board of Directors approved a stock repurchase program that authorized the repurchase of up to $75.0 million worth of shares of our common stock. Repurchases under the new program are made in open market transactions or privately negotiated transactions, subject to market conditions, applicable legal requirements and other relevant factors. The program does not have an expiration date or a limit on the number of shares that may be purchased.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6. Exhibits</w:t>
      </w:r>
    </w:p>
    <w:p>
      <w:pPr>
        <w:spacing w:after="0" w:line="162"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The exhibits required to be furnished pursuant to Item 6 are listed in the Exhibit Index filed herewith, which Exhibit Index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3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1" w:lineRule="exact"/>
        <w:rPr>
          <w:sz w:val="20"/>
          <w:szCs w:val="20"/>
          <w:color w:val="auto"/>
        </w:rPr>
      </w:pPr>
    </w:p>
    <w:p>
      <w:pPr>
        <w:ind w:left="240"/>
        <w:spacing w:after="0"/>
        <w:tabs>
          <w:tab w:leader="none" w:pos="4540" w:val="left"/>
        </w:tabs>
        <w:rPr>
          <w:sz w:val="20"/>
          <w:szCs w:val="20"/>
          <w:color w:val="auto"/>
        </w:rPr>
      </w:pPr>
      <w:r>
        <w:rPr>
          <w:rFonts w:ascii="Times New Roman" w:cs="Times New Roman" w:eastAsia="Times New Roman" w:hAnsi="Times New Roman"/>
          <w:sz w:val="18"/>
          <w:szCs w:val="18"/>
          <w:color w:val="auto"/>
        </w:rPr>
        <w:t>Date: June 3, 2022</w:t>
      </w:r>
      <w:r>
        <w:rPr>
          <w:sz w:val="20"/>
          <w:szCs w:val="20"/>
          <w:color w:val="auto"/>
        </w:rPr>
        <w:tab/>
      </w:r>
      <w:r>
        <w:rPr>
          <w:rFonts w:ascii="Times New Roman" w:cs="Times New Roman" w:eastAsia="Times New Roman" w:hAnsi="Times New Roman"/>
          <w:sz w:val="18"/>
          <w:szCs w:val="18"/>
          <w:color w:val="auto"/>
        </w:rPr>
        <w:t>/s/ Scott M. Zuehlke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42348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234815" cy="8255"/>
                    </a:xfrm>
                    <a:prstGeom prst="rect">
                      <a:avLst/>
                    </a:prstGeom>
                    <a:noFill/>
                  </pic:spPr>
                </pic:pic>
              </a:graphicData>
            </a:graphic>
          </wp:anchor>
        </w:drawing>
      </w:r>
    </w:p>
    <w:p>
      <w:pPr>
        <w:spacing w:after="0" w:line="1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Scott M. Zuehlke</w:t>
      </w:r>
    </w:p>
    <w:p>
      <w:pPr>
        <w:spacing w:after="0" w:line="1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Senior Vice President - Chief Financial Officer &amp; Treasurer</w:t>
      </w:r>
    </w:p>
    <w:p>
      <w:pPr>
        <w:jc w:val="center"/>
        <w:ind w:right="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6"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6"/>
          <w:szCs w:val="16"/>
          <w:b w:val="1"/>
          <w:bCs w:val="1"/>
          <w:color w:val="auto"/>
        </w:rPr>
        <w:t>Exhibit Number</w:t>
      </w:r>
      <w:r>
        <w:rPr>
          <w:sz w:val="20"/>
          <w:szCs w:val="20"/>
          <w:color w:val="auto"/>
        </w:rPr>
        <w:tab/>
      </w:r>
      <w:r>
        <w:rPr>
          <w:rFonts w:ascii="Times New Roman" w:cs="Times New Roman" w:eastAsia="Times New Roman" w:hAnsi="Times New Roman"/>
          <w:sz w:val="16"/>
          <w:szCs w:val="16"/>
          <w:b w:val="1"/>
          <w:bCs w:val="1"/>
          <w:color w:val="auto"/>
        </w:rPr>
        <w:t>Description of Exhibits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640"/>
        <w:spacing w:after="0"/>
        <w:rPr>
          <w:rFonts w:ascii="Times New Roman" w:cs="Times New Roman" w:eastAsia="Times New Roman" w:hAnsi="Times New Roman"/>
          <w:sz w:val="17"/>
          <w:szCs w:val="17"/>
          <w:u w:val="single" w:color="auto"/>
          <w:color w:val="0000FF"/>
        </w:rPr>
      </w:pPr>
      <w:hyperlink r:id="rId63">
        <w:r>
          <w:rPr>
            <w:rFonts w:ascii="Times New Roman" w:cs="Times New Roman" w:eastAsia="Times New Roman" w:hAnsi="Times New Roman"/>
            <w:sz w:val="17"/>
            <w:szCs w:val="17"/>
            <w:u w:val="single" w:color="auto"/>
            <w:color w:val="0000FF"/>
          </w:rPr>
          <w:t>3.1</w:t>
        </w:r>
      </w:hyperlink>
    </w:p>
    <w:p>
      <w:pPr>
        <w:spacing w:after="0" w:line="200" w:lineRule="exact"/>
        <w:rPr>
          <w:sz w:val="20"/>
          <w:szCs w:val="20"/>
          <w:color w:val="auto"/>
        </w:rPr>
      </w:pPr>
    </w:p>
    <w:p>
      <w:pPr>
        <w:spacing w:after="0" w:line="253" w:lineRule="exact"/>
        <w:rPr>
          <w:sz w:val="20"/>
          <w:szCs w:val="20"/>
          <w:color w:val="auto"/>
        </w:rPr>
      </w:pPr>
    </w:p>
    <w:p>
      <w:pPr>
        <w:ind w:left="640"/>
        <w:spacing w:after="0"/>
        <w:rPr>
          <w:rFonts w:ascii="Times New Roman" w:cs="Times New Roman" w:eastAsia="Times New Roman" w:hAnsi="Times New Roman"/>
          <w:sz w:val="17"/>
          <w:szCs w:val="17"/>
          <w:u w:val="single" w:color="auto"/>
          <w:color w:val="0000FF"/>
        </w:rPr>
      </w:pPr>
      <w:hyperlink r:id="rId64">
        <w:r>
          <w:rPr>
            <w:rFonts w:ascii="Times New Roman" w:cs="Times New Roman" w:eastAsia="Times New Roman" w:hAnsi="Times New Roman"/>
            <w:sz w:val="17"/>
            <w:szCs w:val="17"/>
            <w:u w:val="single" w:color="auto"/>
            <w:color w:val="0000FF"/>
          </w:rPr>
          <w:t>3.2</w:t>
        </w:r>
      </w:hyperlink>
    </w:p>
    <w:p>
      <w:pPr>
        <w:spacing w:after="0" w:line="200" w:lineRule="exact"/>
        <w:rPr>
          <w:sz w:val="20"/>
          <w:szCs w:val="20"/>
          <w:color w:val="auto"/>
        </w:rPr>
      </w:pPr>
    </w:p>
    <w:p>
      <w:pPr>
        <w:spacing w:after="0" w:line="253" w:lineRule="exact"/>
        <w:rPr>
          <w:sz w:val="20"/>
          <w:szCs w:val="20"/>
          <w:color w:val="auto"/>
        </w:rPr>
      </w:pPr>
    </w:p>
    <w:p>
      <w:pPr>
        <w:ind w:left="640"/>
        <w:spacing w:after="0"/>
        <w:rPr>
          <w:rFonts w:ascii="Times New Roman" w:cs="Times New Roman" w:eastAsia="Times New Roman" w:hAnsi="Times New Roman"/>
          <w:sz w:val="17"/>
          <w:szCs w:val="17"/>
          <w:u w:val="single" w:color="auto"/>
          <w:color w:val="0000FF"/>
        </w:rPr>
      </w:pPr>
      <w:hyperlink r:id="rId65">
        <w:r>
          <w:rPr>
            <w:rFonts w:ascii="Times New Roman" w:cs="Times New Roman" w:eastAsia="Times New Roman" w:hAnsi="Times New Roman"/>
            <w:sz w:val="17"/>
            <w:szCs w:val="17"/>
            <w:u w:val="single" w:color="auto"/>
            <w:color w:val="0000FF"/>
          </w:rPr>
          <w:t>4.1</w:t>
        </w:r>
      </w:hyperlink>
    </w:p>
    <w:p>
      <w:pPr>
        <w:spacing w:after="0" w:line="200" w:lineRule="exact"/>
        <w:rPr>
          <w:sz w:val="20"/>
          <w:szCs w:val="20"/>
          <w:color w:val="auto"/>
        </w:rPr>
      </w:pPr>
    </w:p>
    <w:p>
      <w:pPr>
        <w:spacing w:after="0" w:line="253" w:lineRule="exact"/>
        <w:rPr>
          <w:sz w:val="20"/>
          <w:szCs w:val="20"/>
          <w:color w:val="auto"/>
        </w:rPr>
      </w:pPr>
    </w:p>
    <w:p>
      <w:pPr>
        <w:ind w:left="640"/>
        <w:spacing w:after="0"/>
        <w:rPr>
          <w:rFonts w:ascii="Times New Roman" w:cs="Times New Roman" w:eastAsia="Times New Roman" w:hAnsi="Times New Roman"/>
          <w:sz w:val="17"/>
          <w:szCs w:val="17"/>
          <w:u w:val="single" w:color="auto"/>
          <w:color w:val="0000FF"/>
        </w:rPr>
      </w:pPr>
      <w:hyperlink r:id="rId66">
        <w:r>
          <w:rPr>
            <w:rFonts w:ascii="Times New Roman" w:cs="Times New Roman" w:eastAsia="Times New Roman" w:hAnsi="Times New Roman"/>
            <w:sz w:val="17"/>
            <w:szCs w:val="17"/>
            <w:u w:val="single" w:color="auto"/>
            <w:color w:val="0000FF"/>
          </w:rPr>
          <w:t>4.2</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5" w:lineRule="exact"/>
        <w:rPr>
          <w:sz w:val="20"/>
          <w:szCs w:val="20"/>
          <w:color w:val="auto"/>
        </w:rPr>
      </w:pPr>
    </w:p>
    <w:p>
      <w:pPr>
        <w:jc w:val="both"/>
        <w:ind w:right="1480"/>
        <w:spacing w:after="0" w:line="222" w:lineRule="auto"/>
        <w:rPr>
          <w:rFonts w:ascii="Times New Roman" w:cs="Times New Roman" w:eastAsia="Times New Roman" w:hAnsi="Times New Roman"/>
          <w:sz w:val="18"/>
          <w:szCs w:val="18"/>
          <w:u w:val="single" w:color="auto"/>
          <w:color w:val="0000FF"/>
        </w:rPr>
      </w:pPr>
      <w:hyperlink r:id="rId63">
        <w:r>
          <w:rPr>
            <w:rFonts w:ascii="Times New Roman" w:cs="Times New Roman" w:eastAsia="Times New Roman" w:hAnsi="Times New Roman"/>
            <w:sz w:val="18"/>
            <w:szCs w:val="18"/>
            <w:u w:val="single" w:color="auto"/>
            <w:color w:val="0000FF"/>
          </w:rPr>
          <w:t>Restated Certificate of Incorporation of the Registrant dated as of March 4, 2016, filed as Exhibit 3.1 of the</w:t>
        </w:r>
      </w:hyperlink>
      <w:r>
        <w:rPr>
          <w:rFonts w:ascii="Times New Roman" w:cs="Times New Roman" w:eastAsia="Times New Roman" w:hAnsi="Times New Roman"/>
          <w:sz w:val="18"/>
          <w:szCs w:val="18"/>
          <w:u w:val="single" w:color="auto"/>
          <w:color w:val="0000FF"/>
        </w:rPr>
        <w:t xml:space="preserve"> </w:t>
      </w:r>
      <w:hyperlink r:id="rId63">
        <w:r>
          <w:rPr>
            <w:rFonts w:ascii="Times New Roman" w:cs="Times New Roman" w:eastAsia="Times New Roman" w:hAnsi="Times New Roman"/>
            <w:sz w:val="18"/>
            <w:szCs w:val="18"/>
            <w:u w:val="single" w:color="auto"/>
            <w:color w:val="0000FF"/>
          </w:rPr>
          <w:t>Registrant’s Current Report on Form 8-K (Reg. No. 001-33913) as filed with the Securities and Exchange</w:t>
        </w:r>
      </w:hyperlink>
    </w:p>
    <w:p>
      <w:pPr>
        <w:spacing w:after="0" w:line="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63">
        <w:r>
          <w:rPr>
            <w:rFonts w:ascii="Times New Roman" w:cs="Times New Roman" w:eastAsia="Times New Roman" w:hAnsi="Times New Roman"/>
            <w:sz w:val="18"/>
            <w:szCs w:val="18"/>
            <w:u w:val="single" w:color="auto"/>
            <w:color w:val="0000FF"/>
          </w:rPr>
          <w:t>Commission on March 7, 2016, and incorporated herein by reference.</w:t>
        </w:r>
      </w:hyperlink>
    </w:p>
    <w:p>
      <w:pPr>
        <w:spacing w:after="0" w:line="57" w:lineRule="exact"/>
        <w:rPr>
          <w:sz w:val="20"/>
          <w:szCs w:val="20"/>
          <w:color w:val="auto"/>
        </w:rPr>
      </w:pPr>
    </w:p>
    <w:p>
      <w:pPr>
        <w:jc w:val="both"/>
        <w:ind w:right="1480"/>
        <w:spacing w:after="0" w:line="222" w:lineRule="auto"/>
        <w:rPr>
          <w:rFonts w:ascii="Times New Roman" w:cs="Times New Roman" w:eastAsia="Times New Roman" w:hAnsi="Times New Roman"/>
          <w:sz w:val="18"/>
          <w:szCs w:val="18"/>
          <w:u w:val="single" w:color="auto"/>
          <w:color w:val="0000FF"/>
        </w:rPr>
      </w:pPr>
      <w:hyperlink r:id="rId64">
        <w:r>
          <w:rPr>
            <w:rFonts w:ascii="Times New Roman" w:cs="Times New Roman" w:eastAsia="Times New Roman" w:hAnsi="Times New Roman"/>
            <w:sz w:val="18"/>
            <w:szCs w:val="18"/>
            <w:u w:val="single" w:color="auto"/>
            <w:color w:val="0000FF"/>
          </w:rPr>
          <w:t>Fourth Amended and Restated Bylaws of the Registrant dated as of February 27, 2020, filed as Exhibit 3.2 of the</w:t>
        </w:r>
      </w:hyperlink>
      <w:r>
        <w:rPr>
          <w:rFonts w:ascii="Times New Roman" w:cs="Times New Roman" w:eastAsia="Times New Roman" w:hAnsi="Times New Roman"/>
          <w:sz w:val="18"/>
          <w:szCs w:val="18"/>
          <w:u w:val="single" w:color="auto"/>
          <w:color w:val="0000FF"/>
        </w:rPr>
        <w:t xml:space="preserve"> </w:t>
      </w:r>
      <w:hyperlink r:id="rId64">
        <w:r>
          <w:rPr>
            <w:rFonts w:ascii="Times New Roman" w:cs="Times New Roman" w:eastAsia="Times New Roman" w:hAnsi="Times New Roman"/>
            <w:sz w:val="18"/>
            <w:szCs w:val="18"/>
            <w:u w:val="single" w:color="auto"/>
            <w:color w:val="0000FF"/>
          </w:rPr>
          <w:t>Registrant's Quarterly Report on Form 10-Q (Reg. No. 001-33913) for the quarter ended January 31, 2020, and</w:t>
        </w:r>
      </w:hyperlink>
    </w:p>
    <w:p>
      <w:pPr>
        <w:spacing w:after="0" w:line="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64">
        <w:r>
          <w:rPr>
            <w:rFonts w:ascii="Times New Roman" w:cs="Times New Roman" w:eastAsia="Times New Roman" w:hAnsi="Times New Roman"/>
            <w:sz w:val="18"/>
            <w:szCs w:val="18"/>
            <w:u w:val="single" w:color="auto"/>
            <w:color w:val="0000FF"/>
          </w:rPr>
          <w:t>incorporated herein by reference.</w:t>
        </w:r>
      </w:hyperlink>
    </w:p>
    <w:p>
      <w:pPr>
        <w:spacing w:after="0" w:line="57" w:lineRule="exact"/>
        <w:rPr>
          <w:sz w:val="20"/>
          <w:szCs w:val="20"/>
          <w:color w:val="auto"/>
        </w:rPr>
      </w:pPr>
    </w:p>
    <w:p>
      <w:pPr>
        <w:jc w:val="both"/>
        <w:ind w:right="1460"/>
        <w:spacing w:after="0" w:line="222" w:lineRule="auto"/>
        <w:rPr>
          <w:rFonts w:ascii="Times New Roman" w:cs="Times New Roman" w:eastAsia="Times New Roman" w:hAnsi="Times New Roman"/>
          <w:sz w:val="18"/>
          <w:szCs w:val="18"/>
          <w:u w:val="single" w:color="auto"/>
          <w:color w:val="0000FF"/>
        </w:rPr>
      </w:pPr>
      <w:hyperlink r:id="rId65">
        <w:r>
          <w:rPr>
            <w:rFonts w:ascii="Times New Roman" w:cs="Times New Roman" w:eastAsia="Times New Roman" w:hAnsi="Times New Roman"/>
            <w:sz w:val="18"/>
            <w:szCs w:val="18"/>
            <w:u w:val="single" w:color="auto"/>
            <w:color w:val="0000FF"/>
          </w:rPr>
          <w:t>Form of Registrant’s Common Stock certificate, filed as Exhibit 4.1 of Amendment No. 1 to the Registrant’s</w:t>
        </w:r>
      </w:hyperlink>
      <w:r>
        <w:rPr>
          <w:rFonts w:ascii="Times New Roman" w:cs="Times New Roman" w:eastAsia="Times New Roman" w:hAnsi="Times New Roman"/>
          <w:sz w:val="18"/>
          <w:szCs w:val="18"/>
          <w:u w:val="single" w:color="auto"/>
          <w:color w:val="0000FF"/>
        </w:rPr>
        <w:t xml:space="preserve"> </w:t>
      </w:r>
      <w:hyperlink r:id="rId65">
        <w:r>
          <w:rPr>
            <w:rFonts w:ascii="Times New Roman" w:cs="Times New Roman" w:eastAsia="Times New Roman" w:hAnsi="Times New Roman"/>
            <w:sz w:val="18"/>
            <w:szCs w:val="18"/>
            <w:u w:val="single" w:color="auto"/>
            <w:color w:val="0000FF"/>
          </w:rPr>
          <w:t>Registration Statement on Form 10 (Reg. No. 001-33913) as filed with the Securities and Exchange Commission</w:t>
        </w:r>
      </w:hyperlink>
    </w:p>
    <w:p>
      <w:pPr>
        <w:spacing w:after="0" w:line="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65">
        <w:r>
          <w:rPr>
            <w:rFonts w:ascii="Times New Roman" w:cs="Times New Roman" w:eastAsia="Times New Roman" w:hAnsi="Times New Roman"/>
            <w:sz w:val="18"/>
            <w:szCs w:val="18"/>
            <w:u w:val="single" w:color="auto"/>
            <w:color w:val="0000FF"/>
          </w:rPr>
          <w:t>on February 14, 2008, and incorporated herein by reference.</w:t>
        </w:r>
      </w:hyperlink>
    </w:p>
    <w:p>
      <w:pPr>
        <w:spacing w:after="0" w:line="151" w:lineRule="exact"/>
        <w:rPr>
          <w:sz w:val="20"/>
          <w:szCs w:val="20"/>
          <w:color w:val="auto"/>
        </w:rPr>
      </w:pPr>
    </w:p>
    <w:p>
      <w:pPr>
        <w:jc w:val="both"/>
        <w:ind w:right="1460"/>
        <w:spacing w:after="0" w:line="216" w:lineRule="auto"/>
        <w:rPr>
          <w:rFonts w:ascii="Times New Roman" w:cs="Times New Roman" w:eastAsia="Times New Roman" w:hAnsi="Times New Roman"/>
          <w:sz w:val="18"/>
          <w:szCs w:val="18"/>
          <w:u w:val="single" w:color="auto"/>
          <w:color w:val="0000FF"/>
        </w:rPr>
      </w:pPr>
      <w:hyperlink r:id="rId66">
        <w:r>
          <w:rPr>
            <w:rFonts w:ascii="Times New Roman" w:cs="Times New Roman" w:eastAsia="Times New Roman" w:hAnsi="Times New Roman"/>
            <w:sz w:val="18"/>
            <w:szCs w:val="18"/>
            <w:u w:val="single" w:color="auto"/>
            <w:color w:val="0000FF"/>
          </w:rPr>
          <w:t>Credit Agreement dated as of October 18, 2018, by and among the Company; the lenders party thereto; and</w:t>
        </w:r>
      </w:hyperlink>
      <w:r>
        <w:rPr>
          <w:rFonts w:ascii="Times New Roman" w:cs="Times New Roman" w:eastAsia="Times New Roman" w:hAnsi="Times New Roman"/>
          <w:sz w:val="18"/>
          <w:szCs w:val="18"/>
          <w:u w:val="single" w:color="auto"/>
          <w:color w:val="0000FF"/>
        </w:rPr>
        <w:t xml:space="preserve"> </w:t>
      </w:r>
      <w:hyperlink r:id="rId66">
        <w:r>
          <w:rPr>
            <w:rFonts w:ascii="Times New Roman" w:cs="Times New Roman" w:eastAsia="Times New Roman" w:hAnsi="Times New Roman"/>
            <w:sz w:val="18"/>
            <w:szCs w:val="18"/>
            <w:u w:val="single" w:color="auto"/>
            <w:color w:val="0000FF"/>
          </w:rPr>
          <w:t>Wells Fargo Bank, National Association, as Agent; filed as Exhibit 10.1 of the Registrant's Current Report on</w:t>
        </w:r>
      </w:hyperlink>
      <w:r>
        <w:rPr>
          <w:rFonts w:ascii="Times New Roman" w:cs="Times New Roman" w:eastAsia="Times New Roman" w:hAnsi="Times New Roman"/>
          <w:sz w:val="18"/>
          <w:szCs w:val="18"/>
          <w:u w:val="single" w:color="auto"/>
          <w:color w:val="0000FF"/>
        </w:rPr>
        <w:t xml:space="preserve"> </w:t>
      </w:r>
      <w:hyperlink r:id="rId66">
        <w:r>
          <w:rPr>
            <w:rFonts w:ascii="Times New Roman" w:cs="Times New Roman" w:eastAsia="Times New Roman" w:hAnsi="Times New Roman"/>
            <w:sz w:val="18"/>
            <w:szCs w:val="18"/>
            <w:u w:val="single" w:color="auto"/>
            <w:color w:val="0000FF"/>
          </w:rPr>
          <w:t>Form 8-K (Reg. No. 001-33913) as filed with the Securities and Exchange Commission on October 18, 2018,</w:t>
        </w:r>
      </w:hyperlink>
    </w:p>
    <w:p>
      <w:pPr>
        <w:spacing w:after="0" w:line="1"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66">
        <w:r>
          <w:rPr>
            <w:rFonts w:ascii="Times New Roman" w:cs="Times New Roman" w:eastAsia="Times New Roman" w:hAnsi="Times New Roman"/>
            <w:sz w:val="18"/>
            <w:szCs w:val="18"/>
            <w:u w:val="single" w:color="auto"/>
            <w:color w:val="0000FF"/>
          </w:rPr>
          <w:t>and incorporated herein by reference.</w:t>
        </w:r>
      </w:hyperlink>
    </w:p>
    <w:p>
      <w:pPr>
        <w:spacing w:after="0" w:line="138"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900" w:space="720"/>
            <w:col w:w="96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960" w:type="dxa"/>
            <w:vAlign w:val="bottom"/>
            <w:gridSpan w:val="4"/>
          </w:tcPr>
          <w:p>
            <w:pPr>
              <w:jc w:val="center"/>
              <w:ind w:left="450"/>
              <w:spacing w:after="0"/>
              <w:rPr>
                <w:rFonts w:ascii="Times New Roman" w:cs="Times New Roman" w:eastAsia="Times New Roman" w:hAnsi="Times New Roman"/>
                <w:sz w:val="18"/>
                <w:szCs w:val="18"/>
                <w:color w:val="0000FF"/>
                <w:w w:val="97"/>
              </w:rPr>
            </w:pPr>
            <w:hyperlink r:id="rId67">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3</w:t>
              </w:r>
            </w:hyperlink>
          </w:p>
        </w:tc>
        <w:tc>
          <w:tcPr>
            <w:tcW w:w="660" w:type="dxa"/>
            <w:vAlign w:val="bottom"/>
          </w:tcPr>
          <w:p>
            <w:pPr>
              <w:spacing w:after="0"/>
              <w:rPr>
                <w:sz w:val="17"/>
                <w:szCs w:val="17"/>
                <w:color w:val="auto"/>
              </w:rPr>
            </w:pPr>
          </w:p>
        </w:tc>
        <w:tc>
          <w:tcPr>
            <w:tcW w:w="8260" w:type="dxa"/>
            <w:vAlign w:val="bottom"/>
            <w:gridSpan w:val="11"/>
          </w:tcPr>
          <w:p>
            <w:pPr>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Amendment No. 1 to Amended and Restated Credit Agreement, by and among the Company; the lenders party</w:t>
              </w:r>
            </w:hyperlink>
          </w:p>
        </w:tc>
      </w:tr>
      <w:tr>
        <w:trPr>
          <w:trHeight w:val="156"/>
        </w:trPr>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14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thereto; and Wells Fargo Bank, National Association, as Agent (portions redacted). filed as Exhibit 4.3 of the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40" w:type="dxa"/>
            <w:vAlign w:val="bottom"/>
            <w:gridSpan w:val="10"/>
          </w:tcPr>
          <w:p>
            <w:pPr>
              <w:spacing w:after="0" w:line="169"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Registrant's Quarterly Report on Form 10-Q (Reg. No. 001-33913) for the quarter ended July 31, 2020, and</w:t>
              </w:r>
            </w:hyperlink>
          </w:p>
        </w:tc>
        <w:tc>
          <w:tcPr>
            <w:tcW w:w="20" w:type="dxa"/>
            <w:vAlign w:val="bottom"/>
          </w:tcPr>
          <w:p>
            <w:pPr>
              <w:spacing w:after="0"/>
              <w:rPr>
                <w:sz w:val="14"/>
                <w:szCs w:val="14"/>
                <w:color w:val="auto"/>
              </w:rPr>
            </w:pPr>
          </w:p>
        </w:tc>
      </w:tr>
      <w:tr>
        <w:trPr>
          <w:trHeight w:val="155"/>
        </w:trPr>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2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incorporated herein by reference</w:t>
              </w:r>
              <w:r>
                <w:rPr>
                  <w:rFonts w:ascii="Times New Roman" w:cs="Times New Roman" w:eastAsia="Times New Roman" w:hAnsi="Times New Roman"/>
                  <w:sz w:val="18"/>
                  <w:szCs w:val="18"/>
                  <w:color w:val="000000"/>
                </w:rPr>
                <w:t>.</w:t>
              </w:r>
            </w:hyperlink>
          </w:p>
        </w:tc>
        <w:tc>
          <w:tcPr>
            <w:tcW w:w="40" w:type="dxa"/>
            <w:vAlign w:val="bottom"/>
            <w:gridSpan w:val="2"/>
          </w:tcPr>
          <w:p>
            <w:pPr>
              <w:spacing w:after="0"/>
              <w:rPr>
                <w:sz w:val="13"/>
                <w:szCs w:val="13"/>
                <w:color w:val="auto"/>
              </w:rPr>
            </w:pPr>
          </w:p>
        </w:tc>
      </w:tr>
      <w:tr>
        <w:trPr>
          <w:trHeight w:val="20"/>
        </w:trPr>
        <w:tc>
          <w:tcPr>
            <w:tcW w:w="5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4"/>
        </w:trPr>
        <w:tc>
          <w:tcPr>
            <w:tcW w:w="960" w:type="dxa"/>
            <w:vAlign w:val="bottom"/>
            <w:gridSpan w:val="4"/>
          </w:tcPr>
          <w:p>
            <w:pPr>
              <w:jc w:val="center"/>
              <w:ind w:left="450"/>
              <w:spacing w:after="0"/>
              <w:rPr>
                <w:rFonts w:ascii="Times New Roman" w:cs="Times New Roman" w:eastAsia="Times New Roman" w:hAnsi="Times New Roman"/>
                <w:sz w:val="18"/>
                <w:szCs w:val="18"/>
                <w:color w:val="0000FF"/>
                <w:w w:val="97"/>
              </w:rPr>
            </w:pPr>
            <w:hyperlink r:id="rId68">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4</w:t>
              </w:r>
            </w:hyperlink>
          </w:p>
        </w:tc>
        <w:tc>
          <w:tcPr>
            <w:tcW w:w="660" w:type="dxa"/>
            <w:vAlign w:val="bottom"/>
          </w:tcPr>
          <w:p>
            <w:pPr>
              <w:spacing w:after="0"/>
              <w:rPr>
                <w:sz w:val="22"/>
                <w:szCs w:val="22"/>
                <w:color w:val="auto"/>
              </w:rPr>
            </w:pPr>
          </w:p>
        </w:tc>
        <w:tc>
          <w:tcPr>
            <w:tcW w:w="8260" w:type="dxa"/>
            <w:vAlign w:val="bottom"/>
            <w:gridSpan w:val="11"/>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Amendment No. 2 to Amended and Restated Credit Agreement dated as of December 28, 2021 by and among</w:t>
              </w:r>
            </w:hyperlink>
          </w:p>
        </w:tc>
      </w:tr>
      <w:tr>
        <w:trPr>
          <w:trHeight w:val="156"/>
        </w:trPr>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16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Quanex Building Products Corporation, the lenders thereto and Wells Fargo Bank, National Association as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0" w:type="dxa"/>
            <w:vAlign w:val="bottom"/>
            <w:gridSpan w:val="8"/>
          </w:tcPr>
          <w:p>
            <w:pPr>
              <w:spacing w:after="0" w:line="169"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Agent, filed as Exhibit 10.1 of the Registrant's Current Report on Form 8-K (Reg. No. 001-33913) as filed with</w:t>
              </w:r>
            </w:hyperlink>
          </w:p>
        </w:tc>
        <w:tc>
          <w:tcPr>
            <w:tcW w:w="60" w:type="dxa"/>
            <w:vAlign w:val="bottom"/>
            <w:gridSpan w:val="3"/>
          </w:tcPr>
          <w:p>
            <w:pPr>
              <w:spacing w:after="0"/>
              <w:rPr>
                <w:sz w:val="14"/>
                <w:szCs w:val="14"/>
                <w:color w:val="auto"/>
              </w:rPr>
            </w:pPr>
          </w:p>
        </w:tc>
      </w:tr>
      <w:tr>
        <w:trPr>
          <w:trHeight w:val="156"/>
        </w:trPr>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18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the Securities and Exchange Commission on January 3. 2022, and incorporated herein by reference.</w:t>
              </w:r>
            </w:hyperlink>
          </w:p>
        </w:tc>
        <w:tc>
          <w:tcPr>
            <w:tcW w:w="80" w:type="dxa"/>
            <w:vAlign w:val="bottom"/>
            <w:gridSpan w:val="4"/>
          </w:tcPr>
          <w:p>
            <w:pPr>
              <w:spacing w:after="0"/>
              <w:rPr>
                <w:sz w:val="13"/>
                <w:szCs w:val="13"/>
                <w:color w:val="auto"/>
              </w:rPr>
            </w:pPr>
          </w:p>
        </w:tc>
      </w:tr>
      <w:tr>
        <w:trPr>
          <w:trHeight w:val="263"/>
        </w:trPr>
        <w:tc>
          <w:tcPr>
            <w:tcW w:w="960" w:type="dxa"/>
            <w:vAlign w:val="bottom"/>
            <w:gridSpan w:val="4"/>
          </w:tcPr>
          <w:p>
            <w:pPr>
              <w:jc w:val="center"/>
              <w:ind w:left="470"/>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1</w:t>
            </w:r>
          </w:p>
        </w:tc>
        <w:tc>
          <w:tcPr>
            <w:tcW w:w="660" w:type="dxa"/>
            <w:vAlign w:val="bottom"/>
          </w:tcPr>
          <w:p>
            <w:pPr>
              <w:spacing w:after="0"/>
              <w:rPr>
                <w:sz w:val="22"/>
                <w:szCs w:val="22"/>
                <w:color w:val="auto"/>
              </w:rPr>
            </w:pPr>
          </w:p>
        </w:tc>
        <w:tc>
          <w:tcPr>
            <w:tcW w:w="71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Certification by chief executive officer pursuant to Rule 13a-14(a)/15d-14(a).</w:t>
            </w:r>
          </w:p>
        </w:tc>
        <w:tc>
          <w:tcPr>
            <w:tcW w:w="1080" w:type="dxa"/>
            <w:vAlign w:val="bottom"/>
            <w:gridSpan w:val="7"/>
          </w:tcPr>
          <w:p>
            <w:pPr>
              <w:spacing w:after="0"/>
              <w:rPr>
                <w:sz w:val="22"/>
                <w:szCs w:val="22"/>
                <w:color w:val="auto"/>
              </w:rPr>
            </w:pPr>
          </w:p>
        </w:tc>
      </w:tr>
      <w:tr>
        <w:trPr>
          <w:trHeight w:val="20"/>
        </w:trPr>
        <w:tc>
          <w:tcPr>
            <w:tcW w:w="56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740" w:type="dxa"/>
            <w:vAlign w:val="bottom"/>
            <w:tcBorders>
              <w:left w:val="single" w:sz="8" w:color="0000FF"/>
            </w:tcBorders>
            <w:gridSpan w:val="8"/>
          </w:tcPr>
          <w:p>
            <w:pPr>
              <w:spacing w:after="0" w:line="20" w:lineRule="exact"/>
              <w:rPr>
                <w:sz w:val="1"/>
                <w:szCs w:val="1"/>
                <w:color w:val="auto"/>
              </w:rPr>
            </w:pPr>
          </w:p>
        </w:tc>
      </w:tr>
      <w:tr>
        <w:trPr>
          <w:trHeight w:val="263"/>
        </w:trPr>
        <w:tc>
          <w:tcPr>
            <w:tcW w:w="960" w:type="dxa"/>
            <w:vAlign w:val="bottom"/>
            <w:gridSpan w:val="4"/>
          </w:tcPr>
          <w:p>
            <w:pPr>
              <w:jc w:val="center"/>
              <w:ind w:left="470"/>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p>
        </w:tc>
        <w:tc>
          <w:tcPr>
            <w:tcW w:w="660" w:type="dxa"/>
            <w:vAlign w:val="bottom"/>
          </w:tcPr>
          <w:p>
            <w:pPr>
              <w:spacing w:after="0"/>
              <w:rPr>
                <w:sz w:val="22"/>
                <w:szCs w:val="22"/>
                <w:color w:val="auto"/>
              </w:rPr>
            </w:pPr>
          </w:p>
        </w:tc>
        <w:tc>
          <w:tcPr>
            <w:tcW w:w="82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by chief financial officer pursuant to Rule 13a-14(a)/15d-14(a).</w:t>
            </w:r>
          </w:p>
        </w:tc>
      </w:tr>
      <w:tr>
        <w:trPr>
          <w:trHeight w:val="20"/>
        </w:trPr>
        <w:tc>
          <w:tcPr>
            <w:tcW w:w="56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740" w:type="dxa"/>
            <w:vAlign w:val="bottom"/>
            <w:gridSpan w:val="8"/>
          </w:tcPr>
          <w:p>
            <w:pPr>
              <w:spacing w:after="0" w:line="20" w:lineRule="exact"/>
              <w:rPr>
                <w:sz w:val="1"/>
                <w:szCs w:val="1"/>
                <w:color w:val="auto"/>
              </w:rPr>
            </w:pPr>
          </w:p>
        </w:tc>
      </w:tr>
      <w:tr>
        <w:trPr>
          <w:trHeight w:val="263"/>
        </w:trPr>
        <w:tc>
          <w:tcPr>
            <w:tcW w:w="960" w:type="dxa"/>
            <w:vAlign w:val="bottom"/>
            <w:gridSpan w:val="4"/>
          </w:tcPr>
          <w:p>
            <w:pPr>
              <w:jc w:val="center"/>
              <w:ind w:left="470"/>
              <w:spacing w:after="0"/>
              <w:rPr>
                <w:sz w:val="20"/>
                <w:szCs w:val="20"/>
                <w:color w:val="auto"/>
              </w:rPr>
            </w:pPr>
            <w:r>
              <w:rPr>
                <w:rFonts w:ascii="Times New Roman" w:cs="Times New Roman" w:eastAsia="Times New Roman" w:hAnsi="Times New Roman"/>
                <w:sz w:val="18"/>
                <w:szCs w:val="18"/>
                <w:color w:val="0000FF"/>
                <w:w w:val="98"/>
              </w:rPr>
              <w:t>*32.</w:t>
            </w:r>
            <w:r>
              <w:rPr>
                <w:rFonts w:ascii="Times New Roman" w:cs="Times New Roman" w:eastAsia="Times New Roman" w:hAnsi="Times New Roman"/>
                <w:sz w:val="18"/>
                <w:szCs w:val="18"/>
                <w:u w:val="single" w:color="auto"/>
                <w:color w:val="0000FF"/>
                <w:w w:val="98"/>
              </w:rPr>
              <w:t>1</w:t>
            </w:r>
          </w:p>
        </w:tc>
        <w:tc>
          <w:tcPr>
            <w:tcW w:w="660" w:type="dxa"/>
            <w:vAlign w:val="bottom"/>
          </w:tcPr>
          <w:p>
            <w:pPr>
              <w:spacing w:after="0"/>
              <w:rPr>
                <w:sz w:val="22"/>
                <w:szCs w:val="22"/>
                <w:color w:val="auto"/>
              </w:rPr>
            </w:pPr>
          </w:p>
        </w:tc>
        <w:tc>
          <w:tcPr>
            <w:tcW w:w="82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pursuant to Section 906 of the Sarbanes-Oxley Act of 2002.</w:t>
            </w:r>
          </w:p>
        </w:tc>
      </w:tr>
      <w:tr>
        <w:trPr>
          <w:trHeight w:val="20"/>
        </w:trPr>
        <w:tc>
          <w:tcPr>
            <w:tcW w:w="56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60" w:type="dxa"/>
            <w:vAlign w:val="bottom"/>
            <w:gridSpan w:val="2"/>
            <w:shd w:val="clear" w:color="auto" w:fill="0000FF"/>
          </w:tcPr>
          <w:p>
            <w:pPr>
              <w:spacing w:after="0" w:line="20" w:lineRule="exact"/>
              <w:rPr>
                <w:sz w:val="1"/>
                <w:szCs w:val="1"/>
                <w:color w:val="auto"/>
              </w:rPr>
            </w:pPr>
          </w:p>
        </w:tc>
        <w:tc>
          <w:tcPr>
            <w:tcW w:w="3000" w:type="dxa"/>
            <w:vAlign w:val="bottom"/>
            <w:gridSpan w:val="9"/>
          </w:tcPr>
          <w:p>
            <w:pPr>
              <w:spacing w:after="0" w:line="20" w:lineRule="exact"/>
              <w:rPr>
                <w:sz w:val="1"/>
                <w:szCs w:val="1"/>
                <w:color w:val="auto"/>
              </w:rPr>
            </w:pPr>
          </w:p>
        </w:tc>
      </w:tr>
      <w:tr>
        <w:trPr>
          <w:trHeight w:val="250"/>
        </w:trPr>
        <w:tc>
          <w:tcPr>
            <w:tcW w:w="16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rPr>
              <w:t>*101.INS</w:t>
            </w:r>
          </w:p>
        </w:tc>
        <w:tc>
          <w:tcPr>
            <w:tcW w:w="8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w:t>
            </w:r>
          </w:p>
        </w:tc>
      </w:tr>
      <w:tr>
        <w:trPr>
          <w:trHeight w:val="234"/>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 document.</w:t>
            </w:r>
          </w:p>
        </w:tc>
      </w:tr>
      <w:tr>
        <w:trPr>
          <w:trHeight w:val="292"/>
        </w:trPr>
        <w:tc>
          <w:tcPr>
            <w:tcW w:w="162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color w:val="auto"/>
              </w:rPr>
              <w:t>*101.SCH</w:t>
            </w:r>
          </w:p>
        </w:tc>
        <w:tc>
          <w:tcPr>
            <w:tcW w:w="8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84"/>
        </w:trPr>
        <w:tc>
          <w:tcPr>
            <w:tcW w:w="162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*101.CAL</w:t>
            </w:r>
          </w:p>
        </w:tc>
        <w:tc>
          <w:tcPr>
            <w:tcW w:w="8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83"/>
        </w:trPr>
        <w:tc>
          <w:tcPr>
            <w:tcW w:w="16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*101.DEF</w:t>
            </w:r>
          </w:p>
        </w:tc>
        <w:tc>
          <w:tcPr>
            <w:tcW w:w="8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83"/>
        </w:trPr>
        <w:tc>
          <w:tcPr>
            <w:tcW w:w="162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*101.LAB</w:t>
            </w:r>
          </w:p>
        </w:tc>
        <w:tc>
          <w:tcPr>
            <w:tcW w:w="8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84"/>
        </w:trPr>
        <w:tc>
          <w:tcPr>
            <w:tcW w:w="16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rPr>
              <w:t>*101.PRE</w:t>
            </w:r>
          </w:p>
        </w:tc>
        <w:tc>
          <w:tcPr>
            <w:tcW w:w="8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526"/>
        </w:trPr>
        <w:tc>
          <w:tcPr>
            <w:tcW w:w="1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Filed herewith</w:t>
            </w:r>
          </w:p>
        </w:tc>
        <w:tc>
          <w:tcPr>
            <w:tcW w:w="23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permitted by Item 601(b)(4)(iii)(A) of Regulation S-K, the Registrant has not filed with this Quarterly Report on Form 10-Q certain instruments defining the rights of holders of long-term debt of the Registrant and its subsidiaries because the total amount of securities authorized under any of such instruments does not exceed 10% of the total assets of the Registrant and its subsidiaries on a consolidated basis. The Registrant agrees to furnish a copy of any such agreements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21" w:right="339" w:bottom="1440" w:gutter="0" w:footer="0" w:header="0"/>
          <w:type w:val="continuous"/>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L. Wilson, certify that:</w:t>
      </w:r>
    </w:p>
    <w:p>
      <w:pPr>
        <w:spacing w:after="0" w:line="158"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Quanex Building Products Corporation (the “Registrant”);</w:t>
      </w:r>
    </w:p>
    <w:p>
      <w:pPr>
        <w:spacing w:after="0" w:line="15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1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1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1620" w:hanging="316"/>
        <w:spacing w:after="0" w:line="282" w:lineRule="auto"/>
        <w:tabs>
          <w:tab w:leader="none" w:pos="161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 2022</w:t>
      </w:r>
    </w:p>
    <w:p>
      <w:pPr>
        <w:spacing w:after="0" w:line="3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George L.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44659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4465955"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George L. Wilson</w:t>
      </w:r>
    </w:p>
    <w:p>
      <w:pPr>
        <w:ind w:left="40"/>
        <w:spacing w:after="0" w:line="205" w:lineRule="auto"/>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CERTIFICATION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M. Zuehlke, certify that:</w:t>
      </w:r>
    </w:p>
    <w:p>
      <w:pPr>
        <w:spacing w:after="0" w:line="158"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Quanex Building Products Corporation (the “Registrant”);</w:t>
      </w:r>
    </w:p>
    <w:p>
      <w:pPr>
        <w:spacing w:after="0" w:line="15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1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1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1620" w:hanging="316"/>
        <w:spacing w:after="0" w:line="282" w:lineRule="auto"/>
        <w:tabs>
          <w:tab w:leader="none" w:pos="161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 2022</w:t>
      </w:r>
    </w:p>
    <w:p>
      <w:pPr>
        <w:spacing w:after="0" w:line="3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Scott M. Zuehlke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44659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4465955"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Scott M. Zuehlke</w:t>
      </w:r>
    </w:p>
    <w:p>
      <w:pPr>
        <w:ind w:left="40"/>
        <w:spacing w:after="0" w:line="205" w:lineRule="auto"/>
        <w:rPr>
          <w:sz w:val="20"/>
          <w:szCs w:val="20"/>
          <w:color w:val="auto"/>
        </w:rPr>
      </w:pPr>
      <w:r>
        <w:rPr>
          <w:rFonts w:ascii="Times New Roman" w:cs="Times New Roman" w:eastAsia="Times New Roman" w:hAnsi="Times New Roman"/>
          <w:sz w:val="18"/>
          <w:szCs w:val="18"/>
          <w:color w:val="auto"/>
        </w:rPr>
        <w:t>Senior Vice President - Chief Financial Officer and Treasurer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58"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14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hereby certify that the accompanying Quarterly Report on Form 10-Q of Quanex Building Products Corporation for the quarter ended April 30, 2022 fully complies with the requirements of Section 13(a) or 15(d) of the Securities Exchange Act of 1934 and that information contained in such Report fairly presents, in all material respects, the financial condition and results of operations of Quanex Building Products Corporation.</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 2022</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/s/ George L. Wilson</w:t>
            </w: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Scott M. Zuehlke</w:t>
            </w:r>
          </w:p>
        </w:tc>
      </w:tr>
      <w:tr>
        <w:trPr>
          <w:trHeight w:val="169"/>
        </w:trPr>
        <w:tc>
          <w:tcPr>
            <w:tcW w:w="54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George L. Wilson</w:t>
            </w:r>
          </w:p>
        </w:tc>
        <w:tc>
          <w:tcPr>
            <w:tcW w:w="440" w:type="dxa"/>
            <w:vAlign w:val="bottom"/>
          </w:tcPr>
          <w:p>
            <w:pPr>
              <w:spacing w:after="0"/>
              <w:rPr>
                <w:sz w:val="14"/>
                <w:szCs w:val="14"/>
                <w:color w:val="auto"/>
              </w:rPr>
            </w:pPr>
          </w:p>
        </w:tc>
        <w:tc>
          <w:tcPr>
            <w:tcW w:w="54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Scott M. Zuehlke</w:t>
            </w:r>
          </w:p>
        </w:tc>
      </w:tr>
      <w:tr>
        <w:trPr>
          <w:trHeight w:val="182"/>
        </w:trPr>
        <w:tc>
          <w:tcPr>
            <w:tcW w:w="5840" w:type="dxa"/>
            <w:vAlign w:val="bottom"/>
            <w:gridSpan w:val="2"/>
          </w:tcPr>
          <w:p>
            <w:pPr>
              <w:jc w:val="center"/>
              <w:ind w:right="420"/>
              <w:spacing w:after="0" w:line="182" w:lineRule="exact"/>
              <w:rPr>
                <w:sz w:val="20"/>
                <w:szCs w:val="20"/>
                <w:color w:val="auto"/>
              </w:rPr>
            </w:pPr>
            <w:r>
              <w:rPr>
                <w:rFonts w:ascii="Times New Roman" w:cs="Times New Roman" w:eastAsia="Times New Roman" w:hAnsi="Times New Roman"/>
                <w:sz w:val="18"/>
                <w:szCs w:val="18"/>
                <w:i w:val="1"/>
                <w:iCs w:val="1"/>
                <w:color w:val="auto"/>
                <w:w w:val="99"/>
              </w:rPr>
              <w:t>President and Chief Executive Officer</w:t>
            </w:r>
          </w:p>
        </w:tc>
        <w:tc>
          <w:tcPr>
            <w:tcW w:w="54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i w:val="1"/>
                <w:iCs w:val="1"/>
                <w:color w:val="auto"/>
                <w:w w:val="98"/>
              </w:rPr>
              <w:t>Senior Vice President—Chief Financial Officer and Treasurer</w:t>
            </w:r>
          </w:p>
        </w:tc>
      </w:tr>
      <w:tr>
        <w:trPr>
          <w:trHeight w:val="236"/>
        </w:trPr>
        <w:tc>
          <w:tcPr>
            <w:tcW w:w="58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63" Type="http://schemas.openxmlformats.org/officeDocument/2006/relationships/hyperlink" Target="http://www.sec.gov/Archives/edgar/data/1423221/000119312516495257/d156158dex31.htm" TargetMode="External"/><Relationship Id="rId64" Type="http://schemas.openxmlformats.org/officeDocument/2006/relationships/hyperlink" Target="http://www.sec.gov/Archives/edgar/data/1423221/000142322120000005/nx01312020ex32.htm" TargetMode="External"/><Relationship Id="rId65" Type="http://schemas.openxmlformats.org/officeDocument/2006/relationships/hyperlink" Target="http://www.sec.gov/Archives/edgar/data/1423221/000095012908000988/h52992a1exv4w1.htm" TargetMode="External"/><Relationship Id="rId66" Type="http://schemas.openxmlformats.org/officeDocument/2006/relationships/hyperlink" Target="http://www.sec.gov/Archives/edgar/data/1423221/000119312518302063/d637291dex101.htm" TargetMode="External"/><Relationship Id="rId67" Type="http://schemas.openxmlformats.org/officeDocument/2006/relationships/hyperlink" Target="http://www.sec.gov/Archives/edgar/data/1423221/000142322120000016/exhibit43.htm" TargetMode="External"/><Relationship Id="rId68" Type="http://schemas.openxmlformats.org/officeDocument/2006/relationships/hyperlink" Target="http://www.sec.gov/Archives/edgar/data/1423221/000110465922000403/tm2136684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2022-06-03T15:12:29Z</dcterms:created>
  <dcterms:modified xsi:type="dcterms:W3CDTF">2022-06-03T15:12:29Z</dcterms:modified>
</cp:coreProperties>
</file>