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740" w:hanging="428"/>
        <w:spacing w:after="0"/>
        <w:tabs>
          <w:tab w:leader="none" w:pos="7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9" w:lineRule="exact"/>
        <w:rPr>
          <w:rFonts w:ascii="Times New Roman" w:cs="Times New Roman" w:eastAsia="Times New Roman" w:hAnsi="Times New Roman"/>
          <w:sz w:val="22"/>
          <w:szCs w:val="22"/>
          <w:color w:val="auto"/>
        </w:rPr>
      </w:pPr>
    </w:p>
    <w:p>
      <w:pPr>
        <w:ind w:left="3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For the quarterly period ended January 31, 2019</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4" w:lineRule="exact"/>
        <w:rPr>
          <w:sz w:val="24"/>
          <w:szCs w:val="24"/>
          <w:color w:val="auto"/>
        </w:rPr>
      </w:pPr>
    </w:p>
    <w:p>
      <w:pPr>
        <w:ind w:left="740" w:hanging="469"/>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0" w:lineRule="exact"/>
        <w:rPr>
          <w:sz w:val="24"/>
          <w:szCs w:val="24"/>
          <w:color w:val="auto"/>
        </w:rPr>
      </w:pPr>
    </w:p>
    <w:p>
      <w:pPr>
        <w:ind w:left="39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69"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4000" w:type="dxa"/>
            <w:vAlign w:val="bottom"/>
          </w:tcPr>
          <w:p>
            <w:pPr>
              <w:jc w:val="center"/>
              <w:ind w:right="2045"/>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3240" w:type="dxa"/>
            <w:vAlign w:val="bottom"/>
          </w:tcPr>
          <w:p>
            <w:pPr>
              <w:jc w:val="center"/>
              <w:ind w:left="2065"/>
              <w:spacing w:after="0"/>
              <w:rPr>
                <w:sz w:val="20"/>
                <w:szCs w:val="20"/>
                <w:color w:val="auto"/>
              </w:rPr>
            </w:pPr>
            <w:r>
              <w:rPr>
                <w:rFonts w:ascii="Times New Roman" w:cs="Times New Roman" w:eastAsia="Times New Roman" w:hAnsi="Times New Roman"/>
                <w:sz w:val="16"/>
                <w:szCs w:val="16"/>
                <w:b w:val="1"/>
                <w:bCs w:val="1"/>
                <w:color w:val="auto"/>
              </w:rPr>
              <w:t>26-1561397</w:t>
            </w:r>
          </w:p>
        </w:tc>
      </w:tr>
      <w:tr>
        <w:trPr>
          <w:trHeight w:val="197"/>
        </w:trPr>
        <w:tc>
          <w:tcPr>
            <w:tcW w:w="4000" w:type="dxa"/>
            <w:vAlign w:val="bottom"/>
          </w:tcPr>
          <w:p>
            <w:pPr>
              <w:jc w:val="center"/>
              <w:ind w:right="204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2045"/>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204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1800 West Loop South, Suite 1500, Houston, Texas 77027</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3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3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tc>
        <w:tc>
          <w:tcPr>
            <w:tcW w:w="3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45"/>
        </w:trPr>
        <w:tc>
          <w:tcPr>
            <w:tcW w:w="20" w:type="dxa"/>
            <w:vAlign w:val="bottom"/>
          </w:tcPr>
          <w:p>
            <w:pPr>
              <w:spacing w:after="0"/>
              <w:rPr>
                <w:sz w:val="21"/>
                <w:szCs w:val="21"/>
                <w:color w:val="auto"/>
              </w:rPr>
            </w:pPr>
          </w:p>
        </w:tc>
        <w:tc>
          <w:tcPr>
            <w:tcW w:w="11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period for complying with any new or</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20" w:type="dxa"/>
            <w:vAlign w:val="bottom"/>
          </w:tcPr>
          <w:p>
            <w:pPr>
              <w:spacing w:after="0"/>
              <w:rPr>
                <w:sz w:val="20"/>
                <w:szCs w:val="20"/>
                <w:color w:val="auto"/>
              </w:rPr>
            </w:pPr>
          </w:p>
        </w:tc>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revised financial accounting standards provided pursuant to Section 13(a) of the Securities Act.</w:t>
            </w:r>
          </w:p>
        </w:tc>
        <w:tc>
          <w:tcPr>
            <w:tcW w:w="1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9"/>
        </w:trPr>
        <w:tc>
          <w:tcPr>
            <w:tcW w:w="1102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tc>
        <w:tc>
          <w:tcPr>
            <w:tcW w:w="380" w:type="dxa"/>
            <w:vAlign w:val="bottom"/>
          </w:tcPr>
          <w:p>
            <w:pPr>
              <w:spacing w:after="0"/>
              <w:rPr>
                <w:sz w:val="24"/>
                <w:szCs w:val="24"/>
                <w:color w:val="auto"/>
              </w:rPr>
            </w:pPr>
          </w:p>
        </w:tc>
      </w:tr>
      <w:tr>
        <w:trPr>
          <w:trHeight w:val="234"/>
        </w:trPr>
        <w:tc>
          <w:tcPr>
            <w:tcW w:w="11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38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38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Outstanding at March 4, 2019</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33,292,529</w:t>
            </w:r>
          </w:p>
        </w:tc>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15"/>
        </w:trPr>
        <w:tc>
          <w:tcPr>
            <w:tcW w:w="20" w:type="dxa"/>
            <w:vAlign w:val="bottom"/>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06"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9360" w:type="dxa"/>
            <w:vAlign w:val="bottom"/>
            <w:gridSpan w:val="9"/>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7"/>
          </w:tcPr>
          <w:p>
            <w:pPr>
              <w:jc w:val="center"/>
              <w:ind w:right="48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360" w:type="dxa"/>
            <w:vAlign w:val="bottom"/>
            <w:gridSpan w:val="9"/>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INFORMATION</w:t>
              </w:r>
            </w:hyperlink>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r>
      <w:tr>
        <w:trPr>
          <w:trHeight w:val="5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r>
      <w:tr>
        <w:trPr>
          <w:trHeight w:val="439"/>
        </w:trPr>
        <w:tc>
          <w:tcPr>
            <w:tcW w:w="1180" w:type="dxa"/>
            <w:vAlign w:val="bottom"/>
          </w:tcPr>
          <w:p>
            <w:pPr>
              <w:spacing w:after="0"/>
              <w:rPr>
                <w:sz w:val="24"/>
                <w:szCs w:val="24"/>
                <w:color w:val="auto"/>
              </w:rPr>
            </w:pPr>
          </w:p>
        </w:tc>
        <w:tc>
          <w:tcPr>
            <w:tcW w:w="9360" w:type="dxa"/>
            <w:vAlign w:val="bottom"/>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 xml:space="preserve">Condensed Consolidated Balance Sheets – </w:t>
              </w:r>
            </w:hyperlink>
            <w:r>
              <w:rPr>
                <w:rFonts w:ascii="Times New Roman" w:cs="Times New Roman" w:eastAsia="Times New Roman" w:hAnsi="Times New Roman"/>
                <w:sz w:val="18"/>
                <w:szCs w:val="18"/>
                <w:color w:val="0000FF"/>
              </w:rPr>
              <w:t>January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31, 2019 and October 31, 2018</w:t>
            </w:r>
          </w:p>
        </w:tc>
        <w:tc>
          <w:tcPr>
            <w:tcW w:w="18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0"/>
        </w:trPr>
        <w:tc>
          <w:tcPr>
            <w:tcW w:w="118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 xml:space="preserve">Condensed Consolidated Statements of Income (Loss) – Three </w:t>
              </w:r>
            </w:hyperlink>
            <w:r>
              <w:rPr>
                <w:rFonts w:ascii="Times New Roman" w:cs="Times New Roman" w:eastAsia="Times New Roman" w:hAnsi="Times New Roman"/>
                <w:sz w:val="18"/>
                <w:szCs w:val="18"/>
                <w:color w:val="0000FF"/>
              </w:rPr>
              <w:t>Months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Ended January 31, 2019 and 2018</w:t>
            </w:r>
          </w:p>
        </w:tc>
        <w:tc>
          <w:tcPr>
            <w:tcW w:w="18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11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Months Ended January 31, 2019 and 2018</w:t>
            </w:r>
          </w:p>
        </w:tc>
        <w:tc>
          <w:tcPr>
            <w:tcW w:w="18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20"/>
        </w:trPr>
        <w:tc>
          <w:tcPr>
            <w:tcW w:w="1180" w:type="dxa"/>
            <w:vAlign w:val="bottom"/>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874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 xml:space="preserve">Condensed Consolidated Statements of Cash Flow – </w:t>
              </w:r>
            </w:hyperlink>
            <w:r>
              <w:rPr>
                <w:rFonts w:ascii="Times New Roman" w:cs="Times New Roman" w:eastAsia="Times New Roman" w:hAnsi="Times New Roman"/>
                <w:sz w:val="18"/>
                <w:szCs w:val="18"/>
                <w:color w:val="0000FF"/>
              </w:rPr>
              <w:t>Three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Months Ended January 31, 2019 and 2018</w:t>
            </w:r>
          </w:p>
        </w:tc>
        <w:tc>
          <w:tcPr>
            <w:tcW w:w="620" w:type="dxa"/>
            <w:vAlign w:val="bottom"/>
          </w:tcPr>
          <w:p>
            <w:pPr>
              <w:spacing w:after="0"/>
              <w:rPr>
                <w:sz w:val="24"/>
                <w:szCs w:val="24"/>
                <w:color w:val="auto"/>
              </w:rPr>
            </w:pPr>
          </w:p>
        </w:tc>
        <w:tc>
          <w:tcPr>
            <w:tcW w:w="180" w:type="dxa"/>
            <w:vAlign w:val="bottom"/>
            <w:gridSpan w:val="3"/>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r>
      <w:tr>
        <w:trPr>
          <w:trHeight w:val="20"/>
        </w:trPr>
        <w:tc>
          <w:tcPr>
            <w:tcW w:w="11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060" w:type="dxa"/>
            <w:vAlign w:val="bottom"/>
            <w:tcBorders>
              <w:left w:val="single" w:sz="8" w:color="0000FF"/>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 xml:space="preserve">Condensed Consolidated Statement of Stockholders’ Equity – </w:t>
              </w:r>
            </w:hyperlink>
            <w:r>
              <w:rPr>
                <w:rFonts w:ascii="Times New Roman" w:cs="Times New Roman" w:eastAsia="Times New Roman" w:hAnsi="Times New Roman"/>
                <w:sz w:val="18"/>
                <w:szCs w:val="18"/>
                <w:color w:val="0000FF"/>
              </w:rPr>
              <w:t>Three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Months Ended January 31, 2019</w:t>
            </w:r>
          </w:p>
        </w:tc>
        <w:tc>
          <w:tcPr>
            <w:tcW w:w="18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r>
      <w:tr>
        <w:trPr>
          <w:trHeight w:val="20"/>
        </w:trPr>
        <w:tc>
          <w:tcPr>
            <w:tcW w:w="1180" w:type="dxa"/>
            <w:vAlign w:val="bottom"/>
          </w:tcPr>
          <w:p>
            <w:pPr>
              <w:spacing w:after="0" w:line="20" w:lineRule="exact"/>
              <w:rPr>
                <w:sz w:val="1"/>
                <w:szCs w:val="1"/>
                <w:color w:val="auto"/>
              </w:rPr>
            </w:pPr>
          </w:p>
        </w:tc>
        <w:tc>
          <w:tcPr>
            <w:tcW w:w="4520" w:type="dxa"/>
            <w:vAlign w:val="bottom"/>
            <w:tcBorders>
              <w:right w:val="single" w:sz="8" w:color="0000FF"/>
            </w:tcBorders>
            <w:gridSpan w:val="3"/>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4800" w:type="dxa"/>
            <w:vAlign w:val="bottom"/>
            <w:gridSpan w:val="4"/>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Condensed Consolidated Financial Statements</w:t>
              </w:r>
            </w:hyperlink>
          </w:p>
        </w:tc>
        <w:tc>
          <w:tcPr>
            <w:tcW w:w="4560" w:type="dxa"/>
            <w:vAlign w:val="bottom"/>
            <w:gridSpan w:val="5"/>
          </w:tcPr>
          <w:p>
            <w:pPr>
              <w:spacing w:after="0"/>
              <w:rPr>
                <w:sz w:val="24"/>
                <w:szCs w:val="24"/>
                <w:color w:val="auto"/>
              </w:rPr>
            </w:pPr>
          </w:p>
        </w:tc>
        <w:tc>
          <w:tcPr>
            <w:tcW w:w="180" w:type="dxa"/>
            <w:vAlign w:val="bottom"/>
            <w:gridSpan w:val="3"/>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r>
      <w:tr>
        <w:trPr>
          <w:trHeight w:val="20"/>
        </w:trPr>
        <w:tc>
          <w:tcPr>
            <w:tcW w:w="1180" w:type="dxa"/>
            <w:vAlign w:val="bottom"/>
          </w:tcPr>
          <w:p>
            <w:pPr>
              <w:spacing w:after="0" w:line="20" w:lineRule="exact"/>
              <w:rPr>
                <w:sz w:val="1"/>
                <w:szCs w:val="1"/>
                <w:color w:val="auto"/>
              </w:rPr>
            </w:pPr>
          </w:p>
        </w:tc>
        <w:tc>
          <w:tcPr>
            <w:tcW w:w="4800" w:type="dxa"/>
            <w:vAlign w:val="bottom"/>
            <w:gridSpan w:val="4"/>
            <w:shd w:val="clear" w:color="auto" w:fill="0000EE"/>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60" w:type="dxa"/>
            <w:vAlign w:val="bottom"/>
            <w:gridSpan w:val="9"/>
          </w:tcPr>
          <w:p>
            <w:pPr>
              <w:spacing w:after="0"/>
              <w:rPr>
                <w:rFonts w:ascii="Times New Roman" w:cs="Times New Roman" w:eastAsia="Times New Roman" w:hAnsi="Times New Roman"/>
                <w:sz w:val="18"/>
                <w:szCs w:val="18"/>
                <w:b w:val="1"/>
                <w:bCs w:val="1"/>
                <w:color w:val="auto"/>
              </w:rPr>
            </w:pPr>
            <w:hyperlink w:anchor="page27">
              <w:r>
                <w:rPr>
                  <w:rFonts w:ascii="Times New Roman" w:cs="Times New Roman" w:eastAsia="Times New Roman" w:hAnsi="Times New Roman"/>
                  <w:sz w:val="18"/>
                  <w:szCs w:val="18"/>
                  <w:b w:val="1"/>
                  <w:bCs w:val="1"/>
                  <w:color w:val="auto"/>
                </w:rPr>
                <w:t>Management’s Discussion and Analysis of Financial Condition and Results of Operations</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25</w:t>
              </w:r>
            </w:hyperlink>
          </w:p>
        </w:tc>
      </w:tr>
      <w:tr>
        <w:trPr>
          <w:trHeight w:val="5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360" w:type="dxa"/>
            <w:vAlign w:val="bottom"/>
            <w:gridSpan w:val="9"/>
          </w:tcPr>
          <w:p>
            <w:pPr>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Quantitative and Qualitative Disclosures About Market Risk</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r>
      <w:tr>
        <w:trPr>
          <w:trHeight w:val="5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60" w:type="dxa"/>
            <w:vAlign w:val="bottom"/>
            <w:gridSpan w:val="9"/>
          </w:tcPr>
          <w:p>
            <w:pPr>
              <w:spacing w:after="0"/>
              <w:rPr>
                <w:rFonts w:ascii="Times New Roman" w:cs="Times New Roman" w:eastAsia="Times New Roman" w:hAnsi="Times New Roman"/>
                <w:sz w:val="18"/>
                <w:szCs w:val="18"/>
                <w:b w:val="1"/>
                <w:bCs w:val="1"/>
                <w:color w:val="auto"/>
              </w:rPr>
            </w:pPr>
            <w:hyperlink w:anchor="page36">
              <w:r>
                <w:rPr>
                  <w:rFonts w:ascii="Times New Roman" w:cs="Times New Roman" w:eastAsia="Times New Roman" w:hAnsi="Times New Roman"/>
                  <w:sz w:val="18"/>
                  <w:szCs w:val="18"/>
                  <w:b w:val="1"/>
                  <w:bCs w:val="1"/>
                  <w:color w:val="auto"/>
                </w:rPr>
                <w:t>Controls and Procedures</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34</w:t>
              </w:r>
            </w:hyperlink>
          </w:p>
        </w:tc>
      </w:tr>
      <w:tr>
        <w:trPr>
          <w:trHeight w:val="52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360" w:type="dxa"/>
            <w:vAlign w:val="bottom"/>
            <w:gridSpan w:val="9"/>
          </w:tcPr>
          <w:p>
            <w:pPr>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OTHER INFORMATION</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r>
        <w:trPr>
          <w:trHeight w:val="5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r>
        <w:trPr>
          <w:trHeight w:val="5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60" w:type="dxa"/>
            <w:vAlign w:val="bottom"/>
            <w:gridSpan w:val="9"/>
          </w:tcPr>
          <w:p>
            <w:pPr>
              <w:spacing w:after="0"/>
              <w:rPr>
                <w:rFonts w:ascii="Times New Roman" w:cs="Times New Roman" w:eastAsia="Times New Roman" w:hAnsi="Times New Roman"/>
                <w:sz w:val="18"/>
                <w:szCs w:val="18"/>
                <w:b w:val="1"/>
                <w:bCs w:val="1"/>
                <w:color w:val="auto"/>
              </w:rPr>
            </w:pPr>
            <w:hyperlink w:anchor="page37">
              <w:r>
                <w:rPr>
                  <w:rFonts w:ascii="Times New Roman" w:cs="Times New Roman" w:eastAsia="Times New Roman" w:hAnsi="Times New Roman"/>
                  <w:sz w:val="18"/>
                  <w:szCs w:val="18"/>
                  <w:b w:val="1"/>
                  <w:bCs w:val="1"/>
                  <w:color w:val="auto"/>
                </w:rPr>
                <w:t>Exhibits</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bl>
    <w:p>
      <w:pPr>
        <w:sectPr>
          <w:pgSz w:w="11900" w:h="16838" w:orient="portrait"/>
          <w:cols w:equalWidth="0" w:num="1">
            <w:col w:w="10720"/>
          </w:cols>
          <w:pgMar w:left="600" w:top="360" w:right="5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13"/>
                <w:szCs w:val="13"/>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October 31,</w:t>
            </w:r>
          </w:p>
        </w:tc>
      </w:tr>
      <w:tr>
        <w:trPr>
          <w:trHeight w:val="195"/>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9"/>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4"/>
          </w:tcPr>
          <w:p>
            <w:pPr>
              <w:jc w:val="right"/>
              <w:ind w:right="391"/>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0"/>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0" w:type="dxa"/>
            <w:vAlign w:val="bottom"/>
          </w:tcPr>
          <w:p>
            <w:pPr>
              <w:spacing w:after="0"/>
              <w:rPr>
                <w:sz w:val="16"/>
                <w:szCs w:val="16"/>
                <w:color w:val="auto"/>
              </w:rPr>
            </w:pPr>
          </w:p>
        </w:tc>
      </w:tr>
      <w:tr>
        <w:trPr>
          <w:trHeight w:val="230"/>
        </w:trPr>
        <w:tc>
          <w:tcPr>
            <w:tcW w:w="8800" w:type="dxa"/>
            <w:vAlign w:val="bottom"/>
          </w:tcPr>
          <w:p>
            <w:pPr>
              <w:ind w:left="4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4"/>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29,003</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$468 and $325</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84,014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69,365</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7,296</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189,678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$296,877 and $288,607</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198,717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201,370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219,627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121,919</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9,255</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725,740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741,849</w:t>
            </w:r>
          </w:p>
        </w:tc>
      </w:tr>
      <w:tr>
        <w:trPr>
          <w:trHeight w:val="67"/>
        </w:trPr>
        <w:tc>
          <w:tcPr>
            <w:tcW w:w="88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87"/>
        </w:trPr>
        <w:tc>
          <w:tcPr>
            <w:tcW w:w="880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64"/>
        </w:trPr>
        <w:tc>
          <w:tcPr>
            <w:tcW w:w="8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52,389</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45,968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2,780</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102,361</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229,550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209,332</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17,215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14,571</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335,937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347,697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$0.01 par value, shares authorized 125,000,000; issued 37,403,044 and 37,433,817, respectively;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33,288,029 and 33,339,032, respectively</w:t>
            </w: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254,678</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242,834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Treasury stock at cost, 4,115,015 and 4,094,785 shares, respectively</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(73,029)</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389,803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394,152</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725,740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741,849</w:t>
            </w:r>
          </w:p>
        </w:tc>
      </w:tr>
      <w:tr>
        <w:trPr>
          <w:trHeight w:val="27"/>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24765</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700" w:type="dxa"/>
            <w:vAlign w:val="bottom"/>
          </w:tcPr>
          <w:p>
            <w:pPr>
              <w:spacing w:after="0"/>
              <w:rPr>
                <w:sz w:val="17"/>
                <w:szCs w:val="17"/>
                <w:color w:val="auto"/>
              </w:rPr>
            </w:pPr>
          </w:p>
        </w:tc>
        <w:tc>
          <w:tcPr>
            <w:tcW w:w="2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55"/>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196,808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191,666</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and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158,557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154,521</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24,102</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12,572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13,273</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7,560</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4,947</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income per common share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r>
      <w:tr>
        <w:trPr>
          <w:trHeight w:val="324"/>
        </w:trPr>
        <w:tc>
          <w:tcPr>
            <w:tcW w:w="8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income per common share: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r>
      <w:tr>
        <w:trPr>
          <w:trHeight w:val="324"/>
        </w:trPr>
        <w:tc>
          <w:tcPr>
            <w:tcW w:w="8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34,662</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35,286</w:t>
            </w:r>
          </w:p>
        </w:tc>
      </w:tr>
      <w:tr>
        <w:trPr>
          <w:trHeight w:val="324"/>
        </w:trPr>
        <w:tc>
          <w:tcPr>
            <w:tcW w:w="8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0.04</w:t>
            </w:r>
          </w:p>
        </w:tc>
      </w:tr>
      <w:tr>
        <w:trPr>
          <w:trHeight w:val="702"/>
        </w:trPr>
        <w:tc>
          <w:tcPr>
            <w:tcW w:w="87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5"/>
        </w:trPr>
        <w:tc>
          <w:tcPr>
            <w:tcW w:w="87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24765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4,947</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gain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11,150</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pension from net unamortized loss adjustment (pretax)</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pension from net unamortized loss adjustment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10,453</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15,400</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24765</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4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4,947</w:t>
            </w:r>
          </w:p>
        </w:tc>
      </w:tr>
      <w:tr>
        <w:trPr>
          <w:trHeight w:val="24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cash (used for) provided by 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12,572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13,273</w:t>
            </w: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12,679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18,378</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inventory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w:t>
            </w: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in deferred pension and postretirement benefits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8,192</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9,500</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2,231</w:t>
            </w: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14,560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29,003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17,455</w:t>
            </w:r>
          </w:p>
        </w:tc>
      </w:tr>
      <w:tr>
        <w:trPr>
          <w:trHeight w:val="25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17,456</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13,757</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4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 OF STOCKHOLDERS’ EQUITY (Unaudited)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2019</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1"/>
                <w:szCs w:val="11"/>
                <w:color w:val="auto"/>
              </w:rPr>
            </w:pPr>
          </w:p>
        </w:tc>
        <w:tc>
          <w:tcPr>
            <w:tcW w:w="94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1"/>
                <w:szCs w:val="11"/>
                <w:color w:val="auto"/>
              </w:rPr>
            </w:pPr>
          </w:p>
        </w:tc>
        <w:tc>
          <w:tcPr>
            <w:tcW w:w="9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1"/>
                <w:szCs w:val="11"/>
                <w:color w:val="auto"/>
              </w:rPr>
            </w:pPr>
          </w:p>
        </w:tc>
        <w:tc>
          <w:tcPr>
            <w:tcW w:w="980" w:type="dxa"/>
            <w:vAlign w:val="bottom"/>
          </w:tcPr>
          <w:p>
            <w:pPr>
              <w:jc w:val="center"/>
              <w:ind w:right="34"/>
              <w:spacing w:after="0" w:line="12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gridSpan w:val="11"/>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October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254,678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394,152</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252,931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235,979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389,803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121" w:right="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13,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0"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U.S. (U.S. GAAP) have been condensed or omitted pursuant to such rules and regulations. The condensed consolidated balance sheet as of October 31, 2018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2018.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November 1, 2018, we adopted Accounting Standards Codification Topic 606, “Revenue from Contracts with Customers” (ASC Topic 606) using the modified retrospective method and applying ASC Topic 606 to all revenue contracts with customers. Results for reporting periods beginning on or after November 1, 2018 are presented under ASC Topic 606. In accordance with the modified retrospective approach, prior period amounts were not adjusted and are reported under ASC Topic 605, “Revenue Recognition.” As a result of adoption, there was not a material impact on our consolidated financial statements. We expect the impact of the adoption of ASC Topic 606 to continue to be immaterial to our net income on an ongoing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core principle of ASC Topic 606 is to recognize revenue that reflects the consideration we expect to receive for product sales when the promised items are transferred to customers. Revenue for product sales is recognized when control of the promised products is transferred to our customers, and we expect to be entitled to consideration in exchange for transferring those products. We account for a contract when a customer provides us with a firm purchase order that identifies the products to be provided, the payment terms for those services, and when collectability of the consideration due is probable.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elected to account for shipping and handling services as fulfillment services in accordance ASC Topic 606 guidance; accordingly, freight revenue will be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 As of January 31, 2019, accounts receivables were $71.7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30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months ended January 31, 2019 and January 31, 2018 into groupings by segment which we believe depicts how the nature, amount, timing and uncertainty of our revenues and cash flows are affected by economic factors. For further details regarding our results by segment, refer to Note 13, “Segment Information”.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00" w:type="dxa"/>
            <w:vAlign w:val="bottom"/>
            <w:tcBorders>
              <w:bottom w:val="single" w:sz="8" w:color="auto"/>
            </w:tcBorders>
          </w:tcPr>
          <w:p>
            <w:pPr>
              <w:spacing w:after="0"/>
              <w:rPr>
                <w:sz w:val="16"/>
                <w:szCs w:val="16"/>
                <w:color w:val="auto"/>
              </w:rPr>
            </w:pPr>
          </w:p>
        </w:tc>
      </w:tr>
      <w:tr>
        <w:trPr>
          <w:trHeight w:val="264"/>
        </w:trPr>
        <w:tc>
          <w:tcPr>
            <w:tcW w:w="9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9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Fenestration: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93,884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88,216</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7,008</w:t>
            </w: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4,147</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3,356</w:t>
            </w:r>
          </w:p>
        </w:tc>
      </w:tr>
      <w:tr>
        <w:trPr>
          <w:trHeight w:val="237"/>
        </w:trPr>
        <w:tc>
          <w:tcPr>
            <w:tcW w:w="9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109,049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5"/>
              </w:rPr>
              <w:t>102,727</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European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30,724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29,869</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4,127</w:t>
            </w:r>
          </w:p>
        </w:tc>
      </w:tr>
      <w:tr>
        <w:trPr>
          <w:trHeight w:val="237"/>
        </w:trPr>
        <w:tc>
          <w:tcPr>
            <w:tcW w:w="9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35,254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33,996</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Cabinet Components: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3,445</w:t>
            </w: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52,006</w:t>
            </w: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w:t>
            </w:r>
          </w:p>
        </w:tc>
      </w:tr>
      <w:tr>
        <w:trPr>
          <w:trHeight w:val="27"/>
        </w:trPr>
        <w:tc>
          <w:tcPr>
            <w:tcW w:w="9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55,922</w:t>
            </w: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9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37"/>
        </w:trPr>
        <w:tc>
          <w:tcPr>
            <w:tcW w:w="9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9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196,808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5"/>
              </w:rPr>
              <w:t>191,666</w:t>
            </w:r>
          </w:p>
        </w:tc>
      </w:tr>
      <w:tr>
        <w:trPr>
          <w:trHeight w:val="20"/>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rental in the current period. For other costs directly related to the restructuring effort, such as equipment moving costs, we expense in the period incurred.</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closed a kitchen and bathroom cabinet door business in Mexico in October 2016 and another plant in Lansing, Kansas in September 2017. We closed two U.S. vinyl operations plants in November 2016 and January 2017. Pursuant to these restructuring efforts, we expensed $0.1 million during the three months ended January 31, 2019 and $0.4 million for the comparable prior year period. We have not negotiated exit from our lease obligation, which is deemed to be at fair market value, at one of these facilities. We expect to continue to incur costs related to this operating lease during fiscal 2019 until we are able to sublet or otherwise exit the lease.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consisted of the following at January 31, 2019 and October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400" w:type="dxa"/>
            <w:vAlign w:val="bottom"/>
          </w:tcPr>
          <w:p>
            <w:pPr>
              <w:spacing w:after="0"/>
              <w:rPr>
                <w:sz w:val="13"/>
                <w:szCs w:val="13"/>
                <w:color w:val="auto"/>
              </w:rPr>
            </w:pPr>
          </w:p>
        </w:tc>
        <w:tc>
          <w:tcPr>
            <w:tcW w:w="13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41,127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41,584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44,103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31,727</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1,981</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1,794</w:t>
            </w: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87,211</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75,105</w:t>
            </w: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Inventory reserves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5,768</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5,740</w:t>
            </w:r>
          </w:p>
        </w:tc>
      </w:tr>
      <w:tr>
        <w:trPr>
          <w:trHeight w:val="257"/>
        </w:trPr>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81,443</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69,365</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inventories at January 31, 2019 and October 31, 2018 were valued using the following costing methods: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400" w:type="dxa"/>
            <w:vAlign w:val="bottom"/>
          </w:tcPr>
          <w:p>
            <w:pPr>
              <w:spacing w:after="0"/>
              <w:rPr>
                <w:sz w:val="13"/>
                <w:szCs w:val="13"/>
                <w:color w:val="auto"/>
              </w:rPr>
            </w:pP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4,894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4,273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FIFO</w:t>
            </w:r>
          </w:p>
        </w:tc>
        <w:tc>
          <w:tcPr>
            <w:tcW w:w="30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76,549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65,092</w:t>
            </w: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81,443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69,365</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interim periods, we estimate a LIFO reserve based on our expectations of year-end inventory levels and costs. If our calculations indicate that an adjustment at year-end will be required, we may record a proportionate share of this amount during the period. At year-end, we calculate the actual LIFO reserve and record an adjustment for the difference between the annual calculation and any estimates recognized during the interim periods. Because the interim projections are subject to many factors beyond our control, the results could differ significantly from the year-end LIFO calculation. We did not record an interim LIFO reserve adjustment for the three months ended January 31, 2019 and 2018.</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inventories valued under the LIFO method, replacement cost exceeded the LIFO value by approximately $1.4 million at January 31, 2019 and October 31,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January 31, 2019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8"/>
        </w:trPr>
        <w:tc>
          <w:tcPr>
            <w:tcW w:w="9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50"/>
        </w:trPr>
        <w:tc>
          <w:tcPr>
            <w:tcW w:w="9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as of November 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219,627</w:t>
            </w: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1,598</w:t>
            </w:r>
          </w:p>
        </w:tc>
      </w:tr>
      <w:tr>
        <w:trPr>
          <w:trHeight w:val="27"/>
        </w:trPr>
        <w:tc>
          <w:tcPr>
            <w:tcW w:w="9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221,225</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our last annual test date, August 31, 2018, we evaluated the recoverability of goodwill at each of our five reportable units with goodwill balances and determined that our goodwill was not impaired. For the reporting unit included in our NA Cabinet Components operating segment, we performed the first step of the goodwill impairment test as part of our annual testing. We determined the fair value of this reporting unit exceeded its carrying value by approximately 7.2% as of August 31, 2018. As of January 31, 2019, there were no indicators of impairment. Should our actual results for our NA Cabinet Components operating segment be lower than expected in the future, the corresponding goodwill could become impaired and the impairment could be material. The goodwill impairment testing process is more fully described in our Annual Report on Form 10-K for the year ended</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2018. For a summary of the change in the carrying amount of goodwill by segment, see Note 13, "Segment Information", included herewith.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January 31, 2019 and October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October 31, 2018</w:t>
            </w:r>
          </w:p>
        </w:tc>
      </w:tr>
      <w:tr>
        <w:trPr>
          <w:trHeight w:val="149"/>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2"/>
                <w:szCs w:val="12"/>
                <w:color w:val="auto"/>
              </w:rPr>
            </w:pPr>
          </w:p>
        </w:tc>
        <w:tc>
          <w:tcPr>
            <w:tcW w:w="1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2"/>
                <w:szCs w:val="12"/>
                <w:color w:val="auto"/>
              </w:rPr>
            </w:pPr>
          </w:p>
        </w:tc>
        <w:tc>
          <w:tcPr>
            <w:tcW w:w="126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50"/>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5"/>
        </w:trPr>
        <w:tc>
          <w:tcPr>
            <w:tcW w:w="4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154,429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61,955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153,704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59,332</w:t>
            </w:r>
          </w:p>
        </w:tc>
      </w:tr>
      <w:tr>
        <w:trPr>
          <w:trHeight w:val="243"/>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55,898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33,509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55,583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32,668</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22,296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18,106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22,278</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17,646</w:t>
            </w:r>
          </w:p>
        </w:tc>
      </w:tr>
      <w:tr>
        <w:trPr>
          <w:trHeight w:val="257"/>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232,623</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113,570</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231,565</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109,646</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January 31, 2019, we retired identifiable intangible assets of $0.3 million related to customer relationships.</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months ended January 31, 2019 of $4.0 million and $4.1 million for the comparable prior year period.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based on current intangible balances, for each of the fiscal years ending October 31, is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 nine months)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57,640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119,053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Debt and Capital Lease Obligations</w:t>
            </w: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Debt consisted of the following at January 31, 2019 and October 31, 2018: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other</w:t>
            </w:r>
          </w:p>
        </w:tc>
        <w:tc>
          <w:tcPr>
            <w:tcW w:w="240" w:type="dxa"/>
            <w:vAlign w:val="bottom"/>
          </w:tcPr>
          <w:p>
            <w:pPr>
              <w:spacing w:after="0"/>
              <w:rPr>
                <w:sz w:val="21"/>
                <w:szCs w:val="21"/>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230,684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210,556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57"/>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229,550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209,332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more fully described in our Annual Report on Form 10-K for the year ended October 31, 2018,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LIBOR Rate plus an applicable margin. In addition, we are subject to commitment fees for the unused portion of the Credit Facility.</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 Level</w:t>
            </w:r>
          </w:p>
        </w:tc>
        <w:tc>
          <w:tcPr>
            <w:tcW w:w="34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Consolidated Leverage Ratio</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Commitment Fee</w:t>
            </w:r>
          </w:p>
        </w:tc>
        <w:tc>
          <w:tcPr>
            <w:tcW w:w="2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LIBOR Rate Loans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r>
      <w:tr>
        <w:trPr>
          <w:trHeight w:val="34"/>
        </w:trPr>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than or equal to 1.50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0.200%</w:t>
            </w:r>
          </w:p>
        </w:tc>
        <w:tc>
          <w:tcPr>
            <w:tcW w:w="232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1.25%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r>
      <w:tr>
        <w:trPr>
          <w:trHeight w:val="225"/>
        </w:trPr>
        <w:tc>
          <w:tcPr>
            <w:tcW w:w="13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than 1.50 to 1.00, but less than or</w:t>
            </w:r>
          </w:p>
        </w:tc>
        <w:tc>
          <w:tcPr>
            <w:tcW w:w="2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equal to 2.25 to 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0.225%</w:t>
            </w:r>
          </w:p>
        </w:tc>
        <w:tc>
          <w:tcPr>
            <w:tcW w:w="2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1.50%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r>
      <w:tr>
        <w:trPr>
          <w:trHeight w:val="27"/>
        </w:trPr>
        <w:tc>
          <w:tcPr>
            <w:tcW w:w="1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5"/>
        </w:trPr>
        <w:tc>
          <w:tcPr>
            <w:tcW w:w="1360" w:type="dxa"/>
            <w:vAlign w:val="bottom"/>
            <w:shd w:val="clear" w:color="auto" w:fill="CCEEFF"/>
          </w:tcPr>
          <w:p>
            <w:pPr>
              <w:spacing w:after="0"/>
              <w:rPr>
                <w:sz w:val="19"/>
                <w:szCs w:val="19"/>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than 2.25 to 1.00, but less than or</w:t>
            </w:r>
          </w:p>
        </w:tc>
        <w:tc>
          <w:tcPr>
            <w:tcW w:w="20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1"/>
        </w:trPr>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equal to 3.00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232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1.75%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r>
      <w:tr>
        <w:trPr>
          <w:trHeight w:val="24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than 3.00 to 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0.300%</w:t>
            </w:r>
          </w:p>
        </w:tc>
        <w:tc>
          <w:tcPr>
            <w:tcW w:w="2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2.00%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8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Substantially all of our domestic assets, with the exception of real property, are utilized as collateral for the Credit Facility.</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January 31, 2019, we had $215.0 million of borrowings outstanding under the Credit Agreement (reduced by unamortized debt issuance costs of $1.4 million), $4.7 million of outstanding letters of credit and $17.1 million outstanding primarily under capital leases. We had $105.3 million available for use under the Credit Agreement at January 31, 2019. Outstanding borrowings under the Credit Agreement accrue interest at 4.25% per annum. Our weighted average borrowing rate for borrowings outstanding during the three months ended January 31, 2019 and 2018 was 4.03% and 3.40%, respectively. We were in compliance with our debt covenants as of January 31, 2019.</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 Instruments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maintain certain capital lease obligations related to equipment purchases, vehicles, and one lease for warehouse space. The cost and accumulated depreciation of property, plant and equipment under all outstanding capital leases at January 31, 2019 was $22.8 million and $3.8 million, respectively, including $16.8 million and $1.7 million, respectively, related to the warehouse lease. Our total obligations under capital leases and other total $17.1 million at January 31, 2019, of which $1.4 million is classified in the current portion of long-term debt and $15.7 million is classified as long-term debt on the accompanying unaudited condensed consolidated balance sheets. These obligations accrue interest at an average rate of 3.58%, and extend through the year 2036.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Retirement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17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covers a majority of our employees in the U.S. The net periodic pension cost for this plan for the three months ended January 31, 2019 and 2018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75"/>
        </w:trPr>
        <w:tc>
          <w:tcPr>
            <w:tcW w:w="83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52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90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2018, we contributed $0.8 million to fund our plan, and we expect to make a contribution to our plan in September 2019 of approximately $0.8 million, which is in line with our policy to make the minimum annual contributions required while maintaining 100% percent funding.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have a supplemental benefit plan covering certain executive officers and key employees and a non-qualified deferred compensation plan covering members of the Board of Directors and certain key employees. As of January 31, 2019 and October 31, 2018, our liability under the supplemental benefit plan was approximately $3.4 million. As of January 31, 2019 and October 31, 2018, the liability associated with the deferred compensation plan was approximately $3.5 million. We record the current portion of liabilities associated with these plans under the caption "Accrued Liabilities," and the long-term portion under the caption "Other Liabilities" in the accompanying condensed consolidated balance sheets.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Warranty Obligations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accrue warranty obligations as we recognize revenue associated with certain products. We make provisions for our warranty obligations based upon historical experience of costs incurred for such obligations adjusted, as necessary, for current conditions and factors. There are significant uncertainties and judgments involved in estimating our warranty obligations, including changing product designs, differences in customer installation processes and future claims experience which may vary from historical claims experience. Therefore, the ultimate amount we incur as warranty costs in the near and long-term may not be consistent with our current estimate.</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activity related to our accrued warranty, including both the current and long-term portions (reported in accrued liabilities and other liabilities, respectively, on the accompanying condensed consolidated balance sheets)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8"/>
        </w:trPr>
        <w:tc>
          <w:tcPr>
            <w:tcW w:w="9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50"/>
        </w:trPr>
        <w:tc>
          <w:tcPr>
            <w:tcW w:w="9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as of November 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295</w:t>
            </w: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warranty expense</w:t>
            </w:r>
          </w:p>
        </w:tc>
        <w:tc>
          <w:tcPr>
            <w:tcW w:w="2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costs paid</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accrued warranty as of the end of the period</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Less: Current portion of accrued warranty</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148</w:t>
            </w:r>
          </w:p>
        </w:tc>
      </w:tr>
      <w:tr>
        <w:trPr>
          <w:trHeight w:val="257"/>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portion of accrued warranty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Our estimated annual effective tax rates for the each of the three months ended January 31, 2019 and 2018 was 24.0%, respectively, excluding discrete items. On December 22, 2017, the U.S. enacted the Tax Cuts and Jobs Act (the Act), which significantly changed U.S. tax law. The Act reduced our federal income tax statutory rate from 35.0% to 23.3% for the fiscal year ended October 31, 2018.</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2019 effective rate was impacted by a discrete charge of $0.1 million related to the vesting or exercise of equity-based compensation awards and a benefit of $0.2 million for the adjustment of the one-time mandatory transition tax on deemed repatriation of previously tax-deferred and unremitted foreign earnings. Discrete items contributing to the income tax benefit for the three months ended January 31, 2018 included $7.7 million for the re-measurement of our deferred income tax assets and liabilities due to the decrease in the federal corporate income tax rate, a benefit of $0.3 million for the true up of our accruals and related deferred taxes from prior year filings and settled tax audits, and a benefit of $0.1 million related to the vesting or exercise of equity-based compensation awards, partially offset by a tax expense of $1.2 million for the one-time mandatory transition tax on deemed repatriation of previously tax-deferred and unremitted foreign earnings.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effective income tax benefit rate to the federal statutory rate of 21.0% and 23.3%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2019 and 2018, respectively:</w:t>
      </w:r>
    </w:p>
    <w:p>
      <w:pPr>
        <w:spacing w:after="0" w:line="21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tax at statutory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43"/>
        </w:trPr>
        <w:tc>
          <w:tcPr>
            <w:tcW w:w="9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Non-U.S. income tax</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9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rate impact of enactment of tax reform</w:t>
            </w:r>
          </w:p>
        </w:tc>
        <w:tc>
          <w:tcPr>
            <w:tcW w:w="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297.4</w:t>
            </w:r>
          </w:p>
        </w:tc>
      </w:tr>
      <w:tr>
        <w:trPr>
          <w:trHeight w:val="243"/>
        </w:trPr>
        <w:tc>
          <w:tcPr>
            <w:tcW w:w="9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Tax impact of stock based compensation</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Impact of deemed repatriation</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(46.9)</w:t>
            </w:r>
          </w:p>
        </w:tc>
      </w:tr>
      <w:tr>
        <w:trPr>
          <w:trHeight w:val="243"/>
        </w:trPr>
        <w:tc>
          <w:tcPr>
            <w:tcW w:w="9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Return to actual adjustments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Effective tax benefit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21.3 %</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289.3 %</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U.S. statutory rate of 23.3% reflects the period November 1, 2017 to December 31, 2017 at the previous 35.0% rate and the period January 1, 2018 to October 31, 2018 at the new 21.0% rate.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continued our analysis of the Act during the first quarter of fiscal 2019. This resulted in a benefit of $0.2 million to the provisional amount recorded in fiscal 2018 related to the one-time mandatory transition tax on deemed repatriation of previously tax-deferred and unremitted foreign earnings. As of January 31, 2019, the Company completed the accounting for the income tax effects of the Act within the one-year measurement period as allowed by the U.S. Securities and Exchange Commission Staff Accounting Bulletin No. 118.</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light of the Act, we repatriated $2.3 million of excess cash from our insulating glass spacer division in Germany during the three months ended January 31, 2019. This repatriation of excess cash was a portion of the one-time mandatory transition tax discussed above. We will continue to evaluate our foreign cash position and may repatriate additional foreign earnings in the future. With the exception of the one-time mandatory transition tax on deemed repatriation of previously tax-deferred and unremitted foreign earnings, we do not anticipate any material tax impact from any potential repatriation of previously unremitted foreign earnings.</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January 31, 2019, our liability for uncertain tax positions (UTP) of $0.6 million relates to certain state tax items regarding the interpretation of tax laws and regulations. 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January 31, 2019 will be recognized within the next twelve months.</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believe there is no need for a valuation allowance of the federal net operating losses. We will continue to evaluate our position throughout the year. We maintain a valuation allowance for certain state net operating losses which totaled $1.3 million at January 31, 2019.</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February 11, 2019, we were notified by the Internal Revenue Service that our federal income tax return for the fiscal year ended October 31, 2017 will be audited.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2019.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During the three months ended January 31, 2018, our insurance carrier reimbursed fees and expenses originally incurred as part of our defense of these various commercial sealant claims totaling $0.5 million. There were no corresponding reimbursements received during the three months ended January 31, 2019.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Instruments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derivative activities are subject to the management, direction, and control of the Chief Financial Officer and Chief Executive Officer. Certain transactions in excess of specified levels require further approval from the Board of Directors.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nature of our business activities requires the management of various financial and market risks, including those related to changes in foreign currency exchange rates. We have historically used foreign currency forwards and options to mitigate or eliminate certain of those risks at our subsidiaries. We use foreign currency contracts to offset fluctuations in the value of accounts receivable and accounts payable balances that are denominated in currencies other than the United States Dollar, including the Euro, British Pound and Canadian Dollar. Currently, we do not enter into derivative transactions for speculative or trading purposes. We are exposed to credit loss in the event of nonperformance by the counterparties to our derivative transactions. We attempt to</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mitigate this risk by monitoring the creditworthiness of our counterparties and limiting our exposure to individual counterparties. In addition, we have established master netting agreements in certain cases to facilitate the settlement of gains and losses on specific derivative contracts.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have not designated any of our derivative contracts as hedges for accounting purposes in accordance with the provisions under the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(ASC 815). Therefore, changes in the fair value of these contracts and the realized gains and losses are recorded in the unaudited condensed consolidated statements of income (loss) for the three months ended January 31, 2019 and 2018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r>
      <w:tr>
        <w:trPr>
          <w:trHeight w:val="275"/>
        </w:trPr>
        <w:tc>
          <w:tcPr>
            <w:tcW w:w="238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60" w:type="dxa"/>
            <w:vAlign w:val="bottom"/>
            <w:tcBorders>
              <w:bottom w:val="single" w:sz="8" w:color="auto"/>
            </w:tcBorders>
          </w:tcPr>
          <w:p>
            <w:pPr>
              <w:spacing w:after="0"/>
              <w:rPr>
                <w:sz w:val="23"/>
                <w:szCs w:val="23"/>
                <w:color w:val="auto"/>
              </w:rPr>
            </w:pPr>
          </w:p>
        </w:tc>
      </w:tr>
      <w:tr>
        <w:trPr>
          <w:trHeight w:val="264"/>
        </w:trPr>
        <w:tc>
          <w:tcPr>
            <w:tcW w:w="2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Location of gains (losses):</w:t>
            </w:r>
          </w:p>
        </w:tc>
        <w:tc>
          <w:tcPr>
            <w:tcW w:w="68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r>
      <w:tr>
        <w:trPr>
          <w:trHeight w:val="242"/>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68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70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r>
      <w:tr>
        <w:trPr>
          <w:trHeight w:val="27"/>
        </w:trPr>
        <w:tc>
          <w:tcPr>
            <w:tcW w:w="238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chosen not to offset any of our derivative instruments in accordance with the provisions of ASC 815. Therefore, the assets and liabilities are presented on a gross basis on the accompanying condensed consolidated balance sheets. Less than $0.1 million of fair value related to foreign currency derivatives was included in prepaid and other current assets as of October 31, 2018 and January 31, 2019. Less than $0.1 million of fair value related to foreign currency derivatives was included in accrued liabilities as of January 31, 2019.</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notional amounts and fair value of outstanding derivative contracts at January 31, 2019 and October 31,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Notional as indicated</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Fair Value in $</w:t>
            </w:r>
          </w:p>
        </w:tc>
      </w:tr>
      <w:tr>
        <w:trPr>
          <w:trHeight w:val="149"/>
        </w:trPr>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2"/>
                <w:szCs w:val="12"/>
                <w:color w:val="auto"/>
              </w:rPr>
            </w:pPr>
          </w:p>
        </w:tc>
        <w:tc>
          <w:tcPr>
            <w:tcW w:w="116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4"/>
        </w:trPr>
        <w:tc>
          <w:tcPr>
            <w:tcW w:w="3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3"/>
        </w:trPr>
        <w:tc>
          <w:tcPr>
            <w:tcW w:w="35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Foreign currency derivatives:</w:t>
            </w: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50"/>
              <w:spacing w:after="0"/>
              <w:rPr>
                <w:sz w:val="20"/>
                <w:szCs w:val="20"/>
                <w:color w:val="auto"/>
              </w:rPr>
            </w:pPr>
            <w:r>
              <w:rPr>
                <w:rFonts w:ascii="Times New Roman" w:cs="Times New Roman" w:eastAsia="Times New Roman" w:hAnsi="Times New Roman"/>
                <w:sz w:val="18"/>
                <w:szCs w:val="18"/>
                <w:color w:val="auto"/>
              </w:rPr>
              <w:t>Buy EUR, sell USD</w:t>
            </w:r>
          </w:p>
        </w:tc>
        <w:tc>
          <w:tcPr>
            <w:tcW w:w="1940" w:type="dxa"/>
            <w:vAlign w:val="bottom"/>
            <w:tcBorders>
              <w:bottom w:val="single" w:sz="8" w:color="CCEEFF"/>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EUR</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5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Sell CAD, buy USD</w:t>
            </w:r>
          </w:p>
        </w:tc>
        <w:tc>
          <w:tcPr>
            <w:tcW w:w="19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CAD</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90"/>
              <w:spacing w:after="0"/>
              <w:rPr>
                <w:sz w:val="20"/>
                <w:szCs w:val="20"/>
                <w:color w:val="auto"/>
              </w:rPr>
            </w:pPr>
            <w:r>
              <w:rPr>
                <w:rFonts w:ascii="Times New Roman" w:cs="Times New Roman" w:eastAsia="Times New Roman" w:hAnsi="Times New Roman"/>
                <w:sz w:val="18"/>
                <w:szCs w:val="18"/>
                <w:color w:val="auto"/>
                <w:w w:val="98"/>
              </w:rPr>
              <w:t>Sell GBP, buy USD</w:t>
            </w:r>
          </w:p>
        </w:tc>
        <w:tc>
          <w:tcPr>
            <w:tcW w:w="194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GBP</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Buy EUR, sell GBP</w:t>
            </w:r>
          </w:p>
        </w:tc>
        <w:tc>
          <w:tcPr>
            <w:tcW w:w="19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EUR</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60" w:type="dxa"/>
            <w:vAlign w:val="bottom"/>
            <w:shd w:val="clear" w:color="auto" w:fill="CCEEFF"/>
          </w:tcPr>
          <w:p>
            <w:pPr>
              <w:jc w:val="center"/>
              <w:ind w:right="1250"/>
              <w:spacing w:after="0"/>
              <w:rPr>
                <w:sz w:val="20"/>
                <w:szCs w:val="20"/>
                <w:color w:val="auto"/>
              </w:rPr>
            </w:pPr>
            <w:r>
              <w:rPr>
                <w:rFonts w:ascii="Times New Roman" w:cs="Times New Roman" w:eastAsia="Times New Roman" w:hAnsi="Times New Roman"/>
                <w:sz w:val="18"/>
                <w:szCs w:val="18"/>
                <w:color w:val="auto"/>
              </w:rPr>
              <w:t>Buy USD, sell EUR</w:t>
            </w:r>
          </w:p>
        </w:tc>
        <w:tc>
          <w:tcPr>
            <w:tcW w:w="19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USD</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classification in the fair value hierarchy, see Note 10, "Fair Value Measurement of Assets and Liabilities", included herewith.</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6" w:lineRule="exact"/>
        <w:rPr>
          <w:sz w:val="20"/>
          <w:szCs w:val="20"/>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1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January 31, 2019 and October 31, 2018, foreign currency derivatives were the only instruments being measured on a recurring basis. Less than $0.1 million of foreign currency derivatives were included in total liabilities as of January 31, 2019 and</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 than $0.1 million of foreign currency derivatives were included in total assets as of January 31, 2019 and October 31, 2018. All of our derivative contracts are valued using quoted market prices from brokers or exchanges and are classified within Level 2 of the fair value hierarchy.</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instruments approximates carrying value at January 31, 2019, and October 31, 2018 (Level 3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(2008 Plan) that provides for the granting of restricted stock awards, stock options, restricted stock units, performance share awards, performance restricted stock units, and other stock-based and cash-based awards. The 2008 Plan is administered by the Compensation and Management Development Committee of the Board of Directors.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2008 Plan is 7,650,000 as approved by shareholders. Any officer, key employee and/or non-employee director is eligible for awards under the 2008 Plan. We grant restricted stock units to non-employee directors on the first business day of each fiscal year. As approved by the Compensation &amp; Management Development Committee of our Board of Directors annually, we grant a mix of stock options, restricted stock awards, performance shares and/or performance restricted stock units to officers, management and key employees. Occasionally, we may make additional grants to key employees at other times during the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three months ended January 31, 2019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October 31, 2018</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217,200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120,300</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31, 2019</w:t>
            </w:r>
          </w:p>
        </w:tc>
        <w:tc>
          <w:tcPr>
            <w:tcW w:w="1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259,300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each of the three month periods ended January 31, 2019 and 2018 was $1.3 million. As of January 31, 2019, total unrecognized compensation cost related to unamortized restricted stock awards was $2.8 million. We expect to recognize this expense over the remaining weighted average vesting period of 2.3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Effective May 2015, the director compensation structure was revised to eliminate the annual grant of stock options to non-employee directors. Additionally, stock options were not granted during the year ended October 31, 2018 or during the three months ended January 31, 2019. Employee stock options typically vest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 During December 2017, the Compensation &amp; Management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Committee of the Board of Directors approved a change to the long-term incentive award program eliminating the grant of stock options and replacing this award with a grant of performance restricted stock units as further described below.</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2018.</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January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1,753,656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18.47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Forfeited/Expired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16.29</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1,748,256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Vested or expected to vest at January 31, 2019</w:t>
            </w: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1,748,256</w:t>
            </w:r>
          </w:p>
        </w:tc>
        <w:tc>
          <w:tcPr>
            <w:tcW w:w="4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January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1,654,517</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18.44</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 total intrinsic value of stock options exercised during the three months ended January 31, 2019 and 2018 was less than $0.1 million and $1.9 million, respectively. The weighted-average grant date fair value of stock options that vested during the three months ended January 31, 2019 and 2018 was $1.1 million and $1.5 million, respectively. As of January 31, 2019, total unrecognized compensation cost related to stock options was $0.2 million. We expect to recognize this expense over the remaining weighted average vesting period of 0.8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January 31, 2019, there were no non-vested restricted stock units. During the three month periods ended January 31, 2019 and 2018, non-employee directors received 25,920 and 18,050 restricted stock units, respectively, at a grant date fair value of $15.31 per share and $21.85 per share, respectively, which vested immediately. During the three month period ended January 31, 2019, we paid less than $0.1 million to settle previously vested restricted stock units. During the three month period ended January 31, 2018, there were no payments to settle restricted stock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These awards cliff vest after a three-year period. Performance share awards issued prior to fiscal 2019 vest with service and performance measures (relative total shareholder return (R-TSR) and earnings per share (EPS) growth), as vesting conditions. The number of shares earned is variable depending on the metrics achieved, and the settlement method is 50% in cash and 50% in our common stock. Performance share awards issued during fiscal 2019 vest with return on net assets (RONA) as the vesting condition and pay out 100% in cash.</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To value the shares subject to the market condition, we utilized a Monte Carlo simulation model to arrive at a grant-date fair value. This amount will be expensed over the three-year term of the award with a credit to additional paid-in-capital. To value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subject to the EPS and RONA performance measures, we used the value of our common stock on the date of grant as the grant-date fair value per share. This amount is being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EPS, R-TSR and RONA performance metrics: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62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vMerge w:val="restart"/>
          </w:tcPr>
          <w:p>
            <w:pPr>
              <w:spacing w:after="0"/>
              <w:rPr>
                <w:sz w:val="11"/>
                <w:szCs w:val="11"/>
                <w:color w:val="auto"/>
              </w:rPr>
            </w:pPr>
          </w:p>
        </w:tc>
        <w:tc>
          <w:tcPr>
            <w:tcW w:w="1140" w:type="dxa"/>
            <w:vAlign w:val="bottom"/>
            <w:gridSpan w:val="2"/>
          </w:tcPr>
          <w:p>
            <w:pPr>
              <w:ind w:left="300"/>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6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EPS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R-TSR</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RONA</w:t>
            </w:r>
          </w:p>
        </w:tc>
        <w:tc>
          <w:tcPr>
            <w:tcW w:w="100" w:type="dxa"/>
            <w:vAlign w:val="bottom"/>
            <w:vMerge w:val="restart"/>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30, 2016</w:t>
            </w:r>
          </w:p>
        </w:tc>
        <w:tc>
          <w:tcPr>
            <w:tcW w:w="1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186,500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20,730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7, 2017</w:t>
            </w: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146,500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5, 2018</w:t>
            </w: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131,500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December 3, 2018 and January 25, 2019, a total of 139,164 shares vested pursuant to the December 2015 grant and a total of 4,300 shares vested pursuant to the January 2016 grant, however performance conditions resulted in no share issuances or cash payments for either of these awards. The November 2016 and December 2017 grants include a return on invested capital (ROIC) metric which, if achieved, could enhance the number of shares that are ultimately issued but cannot exceed the maximum (200%). Due to the uncertainty with regard to achieving this metric, no value has been assigned. In the event and at such time the metric is deemed achievable, compensation expense will begin to be recognized through the remaining vesting period. During the three months ended January 31, 2019, we recorded a decrease in compensation expense of $0.3 million, which reflects a decrease in the number of shares expected to vest in November 2019 associated with the November 30, 2016 performance share grant. During the three months ended January 31, 2018, we recorded a decrease in compensation expense of $0.6 million related to the expected payouts of our performance share awards.</w:t>
      </w:r>
    </w:p>
    <w:p>
      <w:pPr>
        <w:spacing w:after="0" w:line="13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shares are excluded from the diluted weighted-average shares used to calculate earnings per share until the performance criteria is probable to result in the issuance of contingent shares. As of January 31, 2019, we have deemed 15,735 shares related to the November 2016 grants of performance shares as probable to vest.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in December 2017.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5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7"/>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4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4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A-TSR less than -20%</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486"/>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35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vMerge w:val="restart"/>
          </w:tcPr>
          <w:p>
            <w:pPr>
              <w:spacing w:after="0"/>
              <w:rPr>
                <w:sz w:val="13"/>
                <w:szCs w:val="13"/>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Grand Date</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7, 2017</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78,200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5, 2018</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89,200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2019 and 2018, we recorded compensation expense of approximately $0.2 million and $0.1 million, respectively, related to our performance share restricted units.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We recorded a charge to retained earnings of less than $0.1 million during the three months ended January 31, 2019.</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treasury stock activity during the three months ended January 31,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1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8"/>
        </w:trPr>
        <w:tc>
          <w:tcPr>
            <w:tcW w:w="92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49"/>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as of November 1, 2018</w:t>
            </w:r>
          </w:p>
        </w:tc>
        <w:tc>
          <w:tcPr>
            <w:tcW w:w="2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4,094,785</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(120,300)</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exercised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repurchases</w:t>
            </w:r>
          </w:p>
        </w:tc>
        <w:tc>
          <w:tcPr>
            <w:tcW w:w="2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144,030</w:t>
            </w:r>
          </w:p>
        </w:tc>
      </w:tr>
      <w:tr>
        <w:trPr>
          <w:trHeight w:val="27"/>
        </w:trPr>
        <w:tc>
          <w:tcPr>
            <w:tcW w:w="9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31, 2019</w:t>
            </w:r>
          </w:p>
        </w:tc>
        <w:tc>
          <w:tcPr>
            <w:tcW w:w="2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4,115,015</w:t>
            </w:r>
          </w:p>
        </w:tc>
      </w:tr>
      <w:tr>
        <w:trPr>
          <w:trHeight w:val="20"/>
        </w:trPr>
        <w:tc>
          <w:tcPr>
            <w:tcW w:w="9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Income</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income, included under the caption "Other, net" on the accompanying condensed consolidated statements of income, consisted of the following for the three months ended January 31, 2019 and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r>
      <w:tr>
        <w:trPr>
          <w:trHeight w:val="275"/>
        </w:trPr>
        <w:tc>
          <w:tcPr>
            <w:tcW w:w="81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60" w:type="dxa"/>
            <w:vAlign w:val="bottom"/>
            <w:tcBorders>
              <w:bottom w:val="single" w:sz="8" w:color="auto"/>
            </w:tcBorders>
          </w:tcPr>
          <w:p>
            <w:pPr>
              <w:spacing w:after="0"/>
              <w:rPr>
                <w:sz w:val="23"/>
                <w:szCs w:val="23"/>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96"/>
        </w:trPr>
        <w:tc>
          <w:tcPr>
            <w:tcW w:w="8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derivative gains (losses)</w:t>
            </w:r>
          </w:p>
        </w:tc>
        <w:tc>
          <w:tcPr>
            <w:tcW w:w="980" w:type="dxa"/>
            <w:vAlign w:val="bottom"/>
          </w:tcPr>
          <w:p>
            <w:pPr>
              <w:spacing w:after="0"/>
              <w:rPr>
                <w:sz w:val="21"/>
                <w:szCs w:val="21"/>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service benefit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21"/>
                <w:szCs w:val="21"/>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income for the year ended October 31, 2018 has been updated to reflect the adoption of Accounting Standards Update 2017-07. For further information, see Note 15, "New Accounting Guidance".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7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We present three reportable business segments in accordance with Topic 280-10-50,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(1) North American Fenestration segment (NA Fenestration), comprising four operating segments primarily focused on the fenestration market in North America including vinyl profiles, insulating glass spacers, screens &amp; other fenestration components; (2) European Fenestration segment (EU Fenestration), comprising our U.K.-based vinyl extrusion business, manufacturing vinyl profiles &amp; conservatories, and the European insulating glass business manufacturing insulating glass spacers; and (3) North American Cabinet Components segment (NA Cabinet Components), comprising our cabinet door and components operations. We maintain an Unallocated Corporate &amp; Other grouping which includes LIFO inventory adjustments, corporate office charges, and inter-segment eliminations, less an allocation of a portion of the general and administrative costs associated with the corporate office which have been allocated to the reportable business segments, based upon a relative measure of profitability, in order to more accurately reflect each reportable business segment's administrative cost. Certain costs are not allocated to the reportable operating segments, but remain in Unallocated Corporate &amp; Other, including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beginning in the fourth quarter of 2018, executive incentive compensation and medical expense fluctuations relative to planned costs as determined during the annual planning process. The change in allocation was incorporated during the fourth quarter, which resulted in a reduction in corporate general and administrative expense of $0.6 million for the three months ended January 31, 2018, which is reflected in the tables below. The accounting policies of our operating segments are the same as those used to prepare the accompanying condensed consolidated financial statements. Corporate general and administrative expense allocated during the three month period ended January 31, 2019 was $4.8 million and $4.5 million for the prior year comparable period.</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306" w:lineRule="exact"/>
        <w:rPr>
          <w:sz w:val="20"/>
          <w:szCs w:val="20"/>
          <w:color w:val="auto"/>
        </w:rPr>
      </w:pPr>
    </w:p>
    <w:p>
      <w:pPr>
        <w:ind w:right="800" w:firstLine="405"/>
        <w:spacing w:after="0" w:line="282" w:lineRule="auto"/>
        <w:rPr>
          <w:sz w:val="20"/>
          <w:szCs w:val="20"/>
          <w:color w:val="auto"/>
        </w:rPr>
      </w:pPr>
      <w:r>
        <w:rPr>
          <w:rFonts w:ascii="Times New Roman" w:cs="Times New Roman" w:eastAsia="Times New Roman" w:hAnsi="Times New Roman"/>
          <w:sz w:val="18"/>
          <w:szCs w:val="18"/>
          <w:color w:val="auto"/>
        </w:rPr>
        <w:t>Segment information for the three months ended January 31, 2019 and 2018, and total assets as of January 31, 2019 and October 31, 2018 are summarized in the following table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r>
              <w:rPr>
                <w:rFonts w:ascii="Times New Roman" w:cs="Times New Roman" w:eastAsia="Times New Roman" w:hAnsi="Times New Roman"/>
                <w:sz w:val="8"/>
                <w:szCs w:val="8"/>
                <w:b w:val="1"/>
                <w:bCs w:val="1"/>
                <w:color w:val="auto"/>
              </w:rPr>
              <w:t>(1)</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January 31, 2019</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109,049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196,808</w:t>
            </w:r>
          </w:p>
        </w:tc>
        <w:tc>
          <w:tcPr>
            <w:tcW w:w="0" w:type="dxa"/>
            <w:vAlign w:val="bottom"/>
          </w:tcPr>
          <w:p>
            <w:pPr>
              <w:spacing w:after="0"/>
              <w:rPr>
                <w:sz w:val="1"/>
                <w:szCs w:val="1"/>
                <w:color w:val="auto"/>
              </w:rPr>
            </w:pPr>
          </w:p>
        </w:tc>
      </w:tr>
      <w:tr>
        <w:trPr>
          <w:trHeight w:val="243"/>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43"/>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January 31, 2018</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102,727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33,996</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55,922</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191,666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70"/>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xml:space="preserve">Operating income (loss) </w:t>
            </w:r>
            <w:r>
              <w:rPr>
                <w:rFonts w:ascii="Times New Roman" w:cs="Times New Roman" w:eastAsia="Times New Roman" w:hAnsi="Times New Roman"/>
                <w:sz w:val="21"/>
                <w:szCs w:val="21"/>
                <w:b w:val="1"/>
                <w:bCs w:val="1"/>
                <w:color w:val="auto"/>
                <w:vertAlign w:val="superscript"/>
              </w:rPr>
              <w:t>(2)</w:t>
            </w:r>
          </w:p>
        </w:tc>
        <w:tc>
          <w:tcPr>
            <w:tcW w:w="1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7,811</w:t>
            </w:r>
          </w:p>
        </w:tc>
        <w:tc>
          <w:tcPr>
            <w:tcW w:w="0" w:type="dxa"/>
            <w:vAlign w:val="bottom"/>
          </w:tcPr>
          <w:p>
            <w:pPr>
              <w:spacing w:after="0"/>
              <w:rPr>
                <w:sz w:val="1"/>
                <w:szCs w:val="1"/>
                <w:color w:val="auto"/>
              </w:rPr>
            </w:pPr>
          </w:p>
        </w:tc>
      </w:tr>
      <w:tr>
        <w:trPr>
          <w:trHeight w:val="203"/>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As of January 31, 2019</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214,646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725,740</w:t>
            </w:r>
          </w:p>
        </w:tc>
        <w:tc>
          <w:tcPr>
            <w:tcW w:w="0" w:type="dxa"/>
            <w:vAlign w:val="bottom"/>
          </w:tcPr>
          <w:p>
            <w:pPr>
              <w:spacing w:after="0"/>
              <w:rPr>
                <w:sz w:val="1"/>
                <w:szCs w:val="1"/>
                <w:color w:val="auto"/>
              </w:rPr>
            </w:pPr>
          </w:p>
        </w:tc>
      </w:tr>
      <w:tr>
        <w:trPr>
          <w:trHeight w:val="203"/>
        </w:trPr>
        <w:tc>
          <w:tcPr>
            <w:tcW w:w="44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As of October 31, 2018</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239,915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214,704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741,849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600" w:hanging="187"/>
        <w:spacing w:after="0"/>
        <w:tabs>
          <w:tab w:leader="none" w:pos="6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NA Fenestration and EU Fenestration were previously named "NA Engineered Components" and "EU Engineered Components".</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hanging="7"/>
        <w:spacing w:after="0" w:line="218" w:lineRule="auto"/>
        <w:tabs>
          <w:tab w:leader="none" w:pos="612"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Results have been updated to reflect the adoption of Accounting Standards Update 2017-07. For further details, see Note 15, "New Accounting Guidance", located herewith. Results have also been updated to reflect a decrease in corporate general and administrative allocations, as noted above.</w:t>
      </w:r>
    </w:p>
    <w:p>
      <w:pPr>
        <w:spacing w:after="0" w:line="3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three months ended January 31, 2019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EU Fenestration</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October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219,627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31,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68,766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221,225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3, "Goodwill &amp; Intangible Assets", located herewith.</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loss as reported above to net income for the three months ended January 31, 2019 and 2018: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9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80" w:type="dxa"/>
            <w:vAlign w:val="bottom"/>
            <w:tcBorders>
              <w:bottom w:val="single" w:sz="8" w:color="auto"/>
            </w:tcBorders>
          </w:tcPr>
          <w:p>
            <w:pPr>
              <w:spacing w:after="0"/>
              <w:rPr>
                <w:sz w:val="23"/>
                <w:szCs w:val="23"/>
                <w:color w:val="auto"/>
              </w:rPr>
            </w:pPr>
          </w:p>
        </w:tc>
      </w:tr>
      <w:tr>
        <w:trPr>
          <w:trHeight w:val="264"/>
        </w:trPr>
        <w:tc>
          <w:tcPr>
            <w:tcW w:w="9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9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7,560</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compute basic (loss) earnings per share by dividing net (loss)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3"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Basic and diluted loss per share was $0.11 for the three months ended January 31, 2019. The computation of diluted earnings per share excludes outstanding stock options and other common stock equivalents when their inclusion would be anti-dilutive. This is always the case when an entity incurs a net loss. During the three-month period ended January 31, 2019, 6,775 shares of common stock equivalents and 96,507 shares of restricted stock, were excluded from the computation of diluted earnings per share. In addition, 15,735 potentially dilutive contingent shares related to performance share awards for the three-month period ended January 31, 2019 were excluded.</w:t>
      </w:r>
    </w:p>
    <w:p>
      <w:pPr>
        <w:spacing w:after="0" w:line="1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Basic and diluted earnings per share for the three months ended January 31, 2018 were calculated as follows (in thousands, except per share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Three Months Ended January 31, 2018</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6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6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 Average Shares</w:t>
            </w:r>
          </w:p>
        </w:tc>
        <w:tc>
          <w:tcPr>
            <w:tcW w:w="200" w:type="dxa"/>
            <w:vAlign w:val="bottom"/>
          </w:tcPr>
          <w:p>
            <w:pPr>
              <w:spacing w:after="0"/>
              <w:rPr>
                <w:sz w:val="22"/>
                <w:szCs w:val="22"/>
                <w:color w:val="auto"/>
              </w:rPr>
            </w:pPr>
          </w:p>
        </w:tc>
        <w:tc>
          <w:tcPr>
            <w:tcW w:w="10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49"/>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34,662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5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4,947</w:t>
            </w:r>
          </w:p>
        </w:tc>
        <w:tc>
          <w:tcPr>
            <w:tcW w:w="22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35,286</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common stock equivalents that were potentially dilutive in future earnings per share calculations of 1,694,464 for the three months ended January 31, 2019 and 108,267 for the prior year comparable period. Such dilution will be dependent on the excess of the market price of our stock over the exercise price and other components of the treasury stock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New Accounting Guidance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Financial Accounting Standards Board (FASB) issued Accounting Standards Update (ASU) No. 2017-09,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w:t>
      </w:r>
      <w:r>
        <w:rPr>
          <w:rFonts w:ascii="Times New Roman" w:cs="Times New Roman" w:eastAsia="Times New Roman" w:hAnsi="Times New Roman"/>
          <w:sz w:val="18"/>
          <w:szCs w:val="18"/>
          <w:color w:val="auto"/>
        </w:rPr>
        <w:t>, which provides guidance as to when changes in share-based payment awards under Topic 718 should be accounted for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of the award. Essentially, the changes should be considered a modification unless specific criteria are met. We adopted this guidance as of November 1, 2018 with no impact to the financial statements.</w:t>
      </w:r>
    </w:p>
    <w:p>
      <w:pPr>
        <w:spacing w:after="0" w:line="9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 Retirement Benefits (Topic 715)</w:t>
      </w:r>
      <w:r>
        <w:rPr>
          <w:rFonts w:ascii="Times New Roman" w:cs="Times New Roman" w:eastAsia="Times New Roman" w:hAnsi="Times New Roman"/>
          <w:sz w:val="18"/>
          <w:szCs w:val="18"/>
          <w:color w:val="auto"/>
        </w:rPr>
        <w:t>, Improving the Presentation of Net Periodic Pension Cost and Net Periodic Postretirement Benefit Cost. This update provides explicit guidance on how to present the service cost component and other components of net benefit cost in the income statement and allows only the service cost component of net benefit cost to be eligible for capitalization. We adopted this change retrospectively as of November 1, 2018, resulting in a reclassification of less than $0.1 million of benefit from the "Cost of sales" and "Selling, general and administrative" line items, respectively, to the "Other, net" line item on the accompanying condensed consolidated statement of income for the three months ended January 31, 2018.</w:t>
      </w:r>
    </w:p>
    <w:p>
      <w:pPr>
        <w:spacing w:after="0" w:line="10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which provides clarity when determining whether a set of assets and activities constitutes a business. Specifically, if substantially all of the fair value of the gross assets acquired (or disposed of) is concentrated in a single identifiable asset or a group of similar identifiable assets, the set is not deemed to be a business. We adopted this change prospectively as of November 1, 2018 with no impact to the financial statements.</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This amendment is intended to reduce diversity in practice as to how certain cash receipts and cash payments are presented and classified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cash flows by providing guidance for several specific cash flow issues. We adopted this change retrospectively as of November 1, 2018 with no impact to the financial statements.</w:t>
      </w:r>
    </w:p>
    <w:p>
      <w:pPr>
        <w:spacing w:after="0" w:line="10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This guidance prescribes a methodology to determine when revenue is recognizable and constitutes a principles-based approach to revenue recognition based on the consideration to which the entity expects to be entitled in exchange for goods or services. In addition, this guidance requires additional disclosure in the notes to the financial statements with regard to the methodology applied. This pronouncement essentially superseded and replaced existing revenue recognition rules in U.S. GAAP, including industry-specific guidance. We adopted this guidance using the modified retrospective approach on November 1, 2018. Based on our evaluation, we have concluded that the adoption of this new guidance did not have a material impact on our consolidated financial statements. For additional information, refer to Note 1, “Nature of Operations and Basis of Presentation - Revenue from Contracts with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 Amendments to the Accounting Standards Codification</w:t>
      </w:r>
      <w:r>
        <w:rPr>
          <w:rFonts w:ascii="Times New Roman" w:cs="Times New Roman" w:eastAsia="Times New Roman" w:hAnsi="Times New Roman"/>
          <w:sz w:val="18"/>
          <w:szCs w:val="18"/>
          <w:color w:val="auto"/>
        </w:rPr>
        <w:t>. These amendments replace current guidance and require the recognition of lease assets and lease liabilities by lessees for those leases classified as operating leases under previous U.S. GAAP. The amendments apply to any entity that enters into leasing arrangements. This guidance becomes effective for fiscal years beginning after December 15, 2018, and, therefore, we will adopt this pronouncement in fiscal 2020. We are currently evaluating the impact of this pronouncement on our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3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w:t>
      </w:r>
    </w:p>
    <w:p>
      <w:pPr>
        <w:spacing w:after="0" w:line="13" w:lineRule="exact"/>
        <w:rPr>
          <w:sz w:val="20"/>
          <w:szCs w:val="20"/>
          <w:color w:val="auto"/>
        </w:rPr>
      </w:pPr>
    </w:p>
    <w:p>
      <w:pPr>
        <w:ind w:left="660" w:right="20" w:hanging="166"/>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U.S., U.K. and Germany;</w:t>
      </w:r>
    </w:p>
    <w:p>
      <w:pPr>
        <w:spacing w:after="0" w:line="4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good relationship with our suppliers, subcontractors, and key customers; and</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69"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our Annual Report on Form 10-K for the fiscal year ended October 31, 2018.</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January 31, 2019, and for the three months ended January 31, 2019 and 2018, included elsewhere herein. For additional information pertaining to our business, including risk factors which should be considered before investing in our common stock, refer to our Annual Report on Form 10-K for the fiscal year ended October 31, 2018.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5"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four operating segments primarily focused on the fenestration market in North America manufacturing vinyl profiles, insulating glass spacers, screens &amp; other fenestration components; (2) European Fenestration segment (EU Fenestration), comprising our U.K.-based vinyl extrusion business, manufacturing vinyl profiles and conservatories, and the European insulating glass business manufacturing insulating glass spacers; and (3) North American Cabinet Components segment (NA Cabinet Components), comprising our cabinet door and components operations. We maintain a grouping called Unallocated Corporate &amp; Other, which includes transaction expenses, stock-based compensation, long-term incentive awards based on performance of our common stock and other factors, certain severance and legal costs not allocable to our operating segments, depreciation of corporate assets, interest expense, other, net, income taxes and inter-segment eliminations, and beginning in 2018,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condensed consolidated financial statements.</w:t>
      </w:r>
    </w:p>
    <w:p>
      <w:pPr>
        <w:spacing w:after="0" w:line="13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an effort to focus on protecting margins and improving cash flows, we implemented a strategy to reduce our sales volume with certain low-margin customers. During 2017, we rationalized capacity and closed two U.S. vinyl plants and two cabinet door plants, relocating assets to improve overall operational efficiency. Pursuant to these restructuring efforts, we expensed $0.1 million during the three months ended January 31, 2019 and $0.4 million for the comparable prior year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intend to continue to pursue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On December 22, 2017, President Trump signed into law a sweeping tax reform bill which includes the following provisions which impact U.S. corporations: (1) reduction of the statutory federal corporate tax rate from 35% to 21%; (2) shifting to a territorial tax system in which foreign earnings could be repatriated through a 100% dividends received deduction; (3) imposing a one-time tax on un-repatriated earnings of 15.5% on cash and 8% on other assets;</w:t>
      </w:r>
    </w:p>
    <w:p>
      <w:pPr>
        <w:spacing w:after="0" w:line="2" w:lineRule="exact"/>
        <w:rPr>
          <w:sz w:val="20"/>
          <w:szCs w:val="20"/>
          <w:color w:val="auto"/>
        </w:rPr>
      </w:pPr>
    </w:p>
    <w:p>
      <w:pPr>
        <w:jc w:val="both"/>
        <w:ind w:firstLine="8"/>
        <w:spacing w:after="0" w:line="25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doubling bonus depreciation to 100% for five years and allowing used property to qualify; (5) limiting net interest expense deductions to 30% of adjusted taxable income; (6) limiting NOL deductions to 80% of taxable income; and (7) repealing the corporate alternative minimum tax. We made an initial assessment of this new tax law and recorded a discrete benefit of $6.5 million, which included a charge of $1.2 million for the one-time mandatory transition tax on deemed repatriation of previously tax-deferred and unremitted foreign earnings during the fiscal year ended October 31, 2018. We completed the accounting for the income tax effects of the act and recorded a benefit of $0.2 million for the re-measurement of the one-time mandatory transition tax during three months ended January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Freedonia Group and Catalina Research and KCMA, each a consulting and research firm, for insight into the U.S. residential wood cabinet demand.</w:t>
      </w:r>
    </w:p>
    <w:p>
      <w:pPr>
        <w:spacing w:after="0" w:line="134"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Reports and forecasts from these sources indicate continued growth in the markets we serve. The NAHB has forecasted calendar-year housing starts (excluding manufactured units) to increase slightly through 2020. Ducker indicated that window shipments in the R&amp;R market are expected to increase 2% to 3% annually through 2020. Derived from reports published by Ducker, the overall growth in window shipments for the trailing twelve months ended December 31, 2018 was 2.7%. During this period, growth in new construction increased 3.9%, while growth in R&amp;R activity increased 1.7%. Catalina Research estimates residential semi-custom cabinet demand in the U.S. to grow approximately 3% annually through 2020.</w:t>
      </w:r>
    </w:p>
    <w:p>
      <w:pPr>
        <w:spacing w:after="0" w:line="103"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utilize several commodities in our business for which pricing can fluctuate,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10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On June 23, 2016, voters in the U.K. voted for the U.K. to exit the European Union (E.U.) (referred to as Brexit). The U.K. is currently due to leave the E.U. on March 29, 2019, but the actual timing, terms of its withdrawal and the nature of its future with the E.U. are still being decided. Since the 2016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99"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Given the lack of comparable precedent, it is difficult for us to predict the future impacts on our U.K. based operations, which accounted for approximately 14% of our total sales for the year ended October 31, 2018.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If the U.K. exits the E.U. without an agreement (referred to as a hard Brexit), there could be complete closure of the U.K. border which could have wide-spread negative ramifications for the U.K. We do not expect a full closure to occur and instead assume at a minimum that trading with certain countries will continue uninterrupted. Since we purchase the same raw materials utilized in our U.K. facilities at our other non-U.K. facilities and source raw materials from multiple countries, we are prepared to utilize our existing Quanex-wide supply infrastructure to minimize potential supply disruptions as much as possible.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2019 Compared to Three Months Ended January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16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9"/>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Variance</w:t>
            </w:r>
          </w:p>
        </w:tc>
      </w:tr>
      <w:tr>
        <w:trPr>
          <w:trHeight w:val="250"/>
        </w:trPr>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tcPr>
          <w:p>
            <w:pPr>
              <w:spacing w:after="0"/>
              <w:rPr>
                <w:sz w:val="21"/>
                <w:szCs w:val="21"/>
                <w:color w:val="auto"/>
              </w:rPr>
            </w:pPr>
          </w:p>
        </w:tc>
      </w:tr>
      <w:tr>
        <w:trPr>
          <w:trHeight w:val="255"/>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7"/>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31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38735</wp:posOffset>
            </wp:positionV>
            <wp:extent cx="3190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 Variance</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4"/>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2%</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(5)%</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margin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$6.3 million, or 6%, for the three months ended January 31, 2019 compared to the same period in 2018. We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 million of revenue growth driven both by market growth and new volume for our insulating spacer and window components businesses, an increase of $1.1 million related to price and an increase of $0.5 million related to surcharges for commodities, primarily oil used in our insulating spacer business and silicone used in our vinyl business.</w:t>
      </w:r>
    </w:p>
    <w:p>
      <w:pPr>
        <w:spacing w:after="0" w:line="9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$7.0 million, or 9%, when comparing the three months ended January 31, 2019 to the same period in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sales increased due to the corresponding increase in volume coupled with inflationary cost increases. A portion of the raw material increases are recovered through surcharges.</w:t>
      </w:r>
    </w:p>
    <w:p>
      <w:pPr>
        <w:spacing w:after="0" w:line="9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decreased $0.3 million when comparing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2019 to the same period in 2018. This decrease was due primarily to lower incentive accruals and salary expenses as a result of a planned reduction in headcount.</w:t>
      </w:r>
    </w:p>
    <w:p>
      <w:pPr>
        <w:spacing w:after="0" w:line="9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of $0.1 million primarily relate to facility lease expenses related to a vinyl extrusion plant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closed in January 2017 in the U.S. that has not been sublet or otherwise exited as of January 31, 2019. Restructuring charges of $0.3 million incurred for the three months ended January 31, 2018 relate to two such plants in the prior year.</w:t>
      </w:r>
    </w:p>
    <w:p>
      <w:pPr>
        <w:spacing w:after="0" w:line="9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$0.1 million, or 1% when comparing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2019 and 2018. The incremental depreciation expense associated with property, plant and equipment placed into service during the trailing twelve months ended January 31, 2019 was offset by the run-off of depreciation expense associated with existing assets and disposals during this period.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8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38735</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8%</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9"/>
              </w:rPr>
              <w:t>107%</w:t>
            </w:r>
          </w:p>
        </w:tc>
      </w:tr>
      <w:tr>
        <w:trPr>
          <w:trHeight w:val="230"/>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$1.3 million, or 4%, when comparing the three months ended January 31, 2019 to the same period in 2018. This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$1.7 million of base price increases and $1.7 million of volume increases, partially offset by $2.1 million of unfavorable foreign currency rate changes.</w:t>
      </w:r>
    </w:p>
    <w:p>
      <w:pPr>
        <w:spacing w:after="0" w:line="9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$0.3 million, or 1%, for the three months ended January 31, 2019 compared to the same period in 2018.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attributable to foreign currency exchange rate changes, partially offset by higher spending due to the higher volume of products sold.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$0.3 million for the three months ended January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2018. The increase was primarily attributable to foreign currency exchange rate changes, and other selling costs at our U.K. vinyl business.</w:t>
      </w:r>
    </w:p>
    <w:p>
      <w:pPr>
        <w:spacing w:after="0" w:line="92"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for the three months ended January 31, 2019 declined $0.2 million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2018 primarily due to the effect of changes in exchange rate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220" w:type="dxa"/>
            <w:vAlign w:val="bottom"/>
          </w:tcPr>
          <w:p>
            <w:pPr>
              <w:spacing w:after="0"/>
              <w:rPr>
                <w:sz w:val="18"/>
                <w:szCs w:val="18"/>
                <w:color w:val="auto"/>
              </w:rPr>
            </w:pPr>
          </w:p>
        </w:tc>
      </w:tr>
      <w:tr>
        <w:trPr>
          <w:trHeight w:val="33"/>
        </w:trPr>
        <w:tc>
          <w:tcPr>
            <w:tcW w:w="6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3"/>
        </w:trPr>
        <w:tc>
          <w:tcPr>
            <w:tcW w:w="6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4"/>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(7)%</w:t>
            </w:r>
          </w:p>
        </w:tc>
      </w:tr>
      <w:tr>
        <w:trPr>
          <w:trHeight w:val="27"/>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6"/>
              </w:rPr>
              <w:t>11%</w:t>
            </w:r>
          </w:p>
        </w:tc>
      </w:tr>
      <w:tr>
        <w:trPr>
          <w:trHeight w:val="27"/>
        </w:trPr>
        <w:tc>
          <w:tcPr>
            <w:tcW w:w="6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15%</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 margin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4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$2.1 million, or 4%, for the three months ended January 31, 2019 compared to the same period in 2018. On a year-over-year basis, we realized a decrease of $4.4 million related to lower volumes, which was partially offset by $2.3 million of price increases and raw material surcharges.</w:t>
      </w:r>
    </w:p>
    <w:p>
      <w:pPr>
        <w:spacing w:after="0" w:line="9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$2.3 million, or 5%, for the three months ended January 31, 2019 compared with the same period in 2018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lower production volume.</w:t>
      </w:r>
    </w:p>
    <w:p>
      <w:pPr>
        <w:spacing w:after="0" w:line="77"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increased $0.3 million for the three months ended January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2018, primarily due to wage inflation over the period, which was partially offset by a decline in workers' compensation.</w:t>
      </w:r>
    </w:p>
    <w:p>
      <w:pPr>
        <w:spacing w:after="0" w:line="77"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 Restructuring charges of $0.1 million in the three months ended January 31, 2018 represent equipment moving and other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the Mexican plant closure effected in October 2016.</w:t>
      </w:r>
    </w:p>
    <w:p>
      <w:pPr>
        <w:spacing w:after="0" w:line="77"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decreased $0.4 million for the three months ended January 31, 2019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same period in 2018, reflecting the run-off of depreciation expense related to existing assets and disposals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8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38735</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3"/>
        </w:trPr>
        <w:tc>
          <w:tcPr>
            <w:tcW w:w="6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(514)%</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(308)%</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January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2018.</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p>
    <w:p>
      <w:pPr>
        <w:spacing w:after="0" w:line="171"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increased $3.6 million for the three months ended January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2018. This increase is attributable to $1.6 million of higher medical expenses due to a higher claims experience compared to the prior period. Additionally, we incurred severance expense of $1.2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million as a result of a planned reduction in headcount during the three months ended January 31, 2019 and incurred higher transaction and advisory fees during the period.</w:t>
      </w:r>
    </w:p>
    <w:p>
      <w:pPr>
        <w:spacing w:after="0" w:line="106"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remained flat for the three months ended January 31, 2019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2018. Relatively few new assets were placed in service at corporate during the trailing twelve months ended January 31,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214"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remained flat for the three months ended January 31, 2019 compared to the same period in 2018. Lower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revolving credit facility were offset by a higher average outstanding debt balance.</w:t>
      </w:r>
    </w:p>
    <w:p>
      <w:pPr>
        <w:spacing w:after="0" w:line="104"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The decrease in other, net of $0.1 million at January 31, 2019 compared to the same period in 2018 relates primarily to an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pension benefits.</w:t>
      </w:r>
    </w:p>
    <w:p>
      <w:pPr>
        <w:spacing w:after="0" w:line="10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benefit of $1.0 million on a pre-tax loss of $4.6 million for the three months ended January 31, 2019,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21.3% and income tax benefit of $7.6 million on pre-tax loss of $2.6 million for the three months ended January 31, 2018, an effective rate of 289.3%. The difference in the effective rates between these periods relates to the Tax Cuts and Jobs Act (the Act) which was signed into law on December 22, 2017. The Act reduced our federal tax rate from 35.0% to 21.0% effective January 1, 2018. The effective rate for the three months ended January 31, 2019 was further impacted by a discrete charge of $0.1 million related to the vesting or exercise of equity-based compensation awards and a benefit of $0.2 million for the re-measurement of the one-time mandatory transition tax on deemed repatriation of previously tax-deferred and unremitted foreign earnings. Discrete items contributing to the income tax benefit for the three months ended January 31, 2018 included $7.7 million for the re-measurement of our deferred income tax assets and liabilities due to the decrease in the federal corporate income tax rate, a benefit of $0.3 million for the true up of our accruals and related deferred taxes from prior year filings and settled tax audits, and a benefit of $0.1 million related to the vesting or exercise of equity-based compensation awards, partially offset by a tax expense of $1.2 million for the one-time mandatory transition tax on deemed repatriation of previously tax-deferred and unremitted foreign earnings.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maintain a $325.0 million revolving credit facility (collectively, the Credit Facility). The Credit Facility matures in 2023 (5-year term) and requires interest payments calculated, at our election and depending upon our Consolidated Leverage Ratio, at either a Base Rate plus an applicable margin (0.25% to 1.00%) or the LIBOR Rate plus an applicable margin (1.25% to 2.00%). The applicable rate during the three months ended January 31, 2019 fluctuated between LIBOR + 1.50% and 1.75%.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$1.4 million straight-line over the remaining term of the facility.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January 31, 2019, we had $17.5 million of cash and equivalents, $215.0 million outstanding under the Credit Facility, $4.7 million of outstanding letters of credit and $17.1 million outstanding under capital leases. We had $105.3 million available for use under the Credit Facility at January 31, 2019.</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repatriated $2.3 million of foreign cash during the three months ended January 31, 2019. We expect to repatriate excess cash moving forward and utilize the funds to retire debt or meet current working capital needs.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three months ended January 31,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r>
      <w:tr>
        <w:trPr>
          <w:trHeight w:val="275"/>
        </w:trPr>
        <w:tc>
          <w:tcPr>
            <w:tcW w:w="800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tcBorders>
              <w:bottom w:val="single" w:sz="8" w:color="auto"/>
            </w:tcBorders>
          </w:tcPr>
          <w:p>
            <w:pPr>
              <w:spacing w:after="0"/>
              <w:rPr>
                <w:sz w:val="23"/>
                <w:szCs w:val="23"/>
                <w:color w:val="auto"/>
              </w:rPr>
            </w:pPr>
          </w:p>
        </w:tc>
      </w:tr>
      <w:tr>
        <w:trPr>
          <w:trHeight w:val="264"/>
        </w:trPr>
        <w:tc>
          <w:tcPr>
            <w:tcW w:w="8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7"/>
                <w:szCs w:val="17"/>
                <w:color w:val="auto"/>
              </w:rPr>
            </w:pP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w:t>
            </w: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14.6</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Operating cash flow for the three months ended January 31, 2019 declined approximately $28.4 million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January 31, 2018. Cash receipts were unfavorably impacted by a reduction in net income as well as unfavorable working capital changes, including a higher payout of accrued incentives, higher spending on the seasonal inventory build, and a decrease in accounts receivable collections compared to 2018.</w:t>
      </w:r>
    </w:p>
    <w:p>
      <w:pPr>
        <w:spacing w:after="0" w:line="9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decreased $1.5 million when comparing the three months ended January 31, 2019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related to a decline in capital expenditures.</w:t>
      </w:r>
    </w:p>
    <w:p>
      <w:pPr>
        <w:spacing w:after="0" w:line="7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$14.6 million for the three months ended January 31, 2019,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$19.5 million of net borrowings of debt, partially offset by dividends paid to our shareholders of $2.7 million, and $2.0 million related to the purchase of treasury stock. For the three months ended January 31, 2018, cash used for financing activities was $4.4 million, primarily attributable to $4.5 million of net repayments of debt, dividends paid to our shareholders of $1.4 million, and $0.7 million of cash paid for payroll taxes related to stock based compensation, partially offset by $2.2 million of proceeds received from stock option exercises.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make strategic acquisitions. Other uses of cash include paying cash dividends to our shareholders and repurchasing our common stock. We have historically invested cash and cash equivalents in commercial paper with terms of three months or less. We did not have any investments during the three months ended January 31, 2019 and 2018. We maintain cash balances in foreign countries which total $12.7 million as of January 31, 2019. During the three months ended January 31, 2019, we repatriated $2.3 million of foreign earnings from our insulating glass business in Germany.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2018. Our critical accounting policies and estimates have not changed materially during the three months ended January 31,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consolidated financial statements upon adoption.</w:t>
      </w:r>
    </w:p>
    <w:p>
      <w:pPr>
        <w:spacing w:after="0" w:line="12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No. 2016-02, </w:t>
      </w:r>
      <w:r>
        <w:rPr>
          <w:rFonts w:ascii="Times New Roman" w:cs="Times New Roman" w:eastAsia="Times New Roman" w:hAnsi="Times New Roman"/>
          <w:sz w:val="18"/>
          <w:szCs w:val="18"/>
          <w:i w:val="1"/>
          <w:iCs w:val="1"/>
          <w:color w:val="auto"/>
        </w:rPr>
        <w:t>Leases (Topic 842): Amendments to the Accounting Standards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These amendments replace current guidance and require the recognition of lease assets and lease liabilities by lessees for those leases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operating leases under previous U.S. GAAP. The amendments apply to any entity that enters into leasing arrangements. This guidance becomes effective for fiscal years beginning after December 15, 2018, and, therefore, we will adopt this pronouncement in fiscal 2020. We are currently evaluating the impact of this pronouncement on our consolidated financial statements.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our Annual Report on Form 10-K for the year ended October 31, 2018 for additional standards we are currently evaluating.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January 31, 2019, a hypothetical 1.0% increase or decrease in interest rates could result in approximately $2.2 million of additional pretax charges or credit to our operating results per year. This sensitivity is impacted by the amount of borrowings under our credit facilities, and amounts outstanding under finance leases.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notional and fair market values of these positions at January 31, 2019 and October 31, 2018, were as follows (in thousands):</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Notional as indicated</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Fair Value in $</w:t>
            </w:r>
          </w:p>
        </w:tc>
      </w:tr>
      <w:tr>
        <w:trPr>
          <w:trHeight w:val="149"/>
        </w:trPr>
        <w:tc>
          <w:tcPr>
            <w:tcW w:w="3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2"/>
                <w:szCs w:val="12"/>
                <w:color w:val="auto"/>
              </w:rPr>
            </w:pPr>
          </w:p>
        </w:tc>
        <w:tc>
          <w:tcPr>
            <w:tcW w:w="116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4"/>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3"/>
        </w:trPr>
        <w:tc>
          <w:tcPr>
            <w:tcW w:w="35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Foreign currency derivatives:</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30"/>
              <w:spacing w:after="0"/>
              <w:rPr>
                <w:sz w:val="20"/>
                <w:szCs w:val="20"/>
                <w:color w:val="auto"/>
              </w:rPr>
            </w:pPr>
            <w:r>
              <w:rPr>
                <w:rFonts w:ascii="Times New Roman" w:cs="Times New Roman" w:eastAsia="Times New Roman" w:hAnsi="Times New Roman"/>
                <w:sz w:val="18"/>
                <w:szCs w:val="18"/>
                <w:color w:val="auto"/>
              </w:rPr>
              <w:t>Buy EUR, sell USD</w:t>
            </w:r>
          </w:p>
        </w:tc>
        <w:tc>
          <w:tcPr>
            <w:tcW w:w="212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EUR  $</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54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rPr>
              <w:t>Sell CAD, buy USD</w:t>
            </w:r>
          </w:p>
        </w:tc>
        <w:tc>
          <w:tcPr>
            <w:tcW w:w="21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CAD</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70"/>
              <w:spacing w:after="0"/>
              <w:rPr>
                <w:sz w:val="20"/>
                <w:szCs w:val="20"/>
                <w:color w:val="auto"/>
              </w:rPr>
            </w:pPr>
            <w:r>
              <w:rPr>
                <w:rFonts w:ascii="Times New Roman" w:cs="Times New Roman" w:eastAsia="Times New Roman" w:hAnsi="Times New Roman"/>
                <w:sz w:val="18"/>
                <w:szCs w:val="18"/>
                <w:color w:val="auto"/>
                <w:w w:val="98"/>
              </w:rPr>
              <w:t>Sell GBP, buy USD</w:t>
            </w:r>
          </w:p>
        </w:tc>
        <w:tc>
          <w:tcPr>
            <w:tcW w:w="212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GBP</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Buy EUR, sell GBP</w:t>
            </w:r>
          </w:p>
        </w:tc>
        <w:tc>
          <w:tcPr>
            <w:tcW w:w="2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EUR</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40" w:type="dxa"/>
            <w:vAlign w:val="bottom"/>
            <w:shd w:val="clear" w:color="auto" w:fill="CCEEFF"/>
          </w:tcPr>
          <w:p>
            <w:pPr>
              <w:jc w:val="center"/>
              <w:ind w:right="1230"/>
              <w:spacing w:after="0"/>
              <w:rPr>
                <w:sz w:val="20"/>
                <w:szCs w:val="20"/>
                <w:color w:val="auto"/>
              </w:rPr>
            </w:pPr>
            <w:r>
              <w:rPr>
                <w:rFonts w:ascii="Times New Roman" w:cs="Times New Roman" w:eastAsia="Times New Roman" w:hAnsi="Times New Roman"/>
                <w:sz w:val="18"/>
                <w:szCs w:val="18"/>
                <w:color w:val="auto"/>
              </w:rPr>
              <w:t>Buy USD, sell EUR</w:t>
            </w:r>
          </w:p>
        </w:tc>
        <w:tc>
          <w:tcPr>
            <w:tcW w:w="21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USD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January 31, 2019 and October 31, 2018, we held foreign currency derivative contracts hedging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(loss). To the extent the gain or loss on the derivative instrument offsets the gain or loss from the re-measurement of the underlying foreign currency balance, changes in exchange rates should have no effect. See Note 9, "Derivative Instruments," to the accompanying unaudited condensed consolidated financial statements contained elsewhere herein.</w:t>
      </w:r>
    </w:p>
    <w:p>
      <w:pPr>
        <w:spacing w:after="0" w:line="1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2018, we maintained an unhedged foreign currency position associated with debt borrowed to facilitate an acquisition within our EU Fenestration business, resulting in an unrealized gain of $0.3 million associated with this foreign currency exposure.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polyvinyl resin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In addition, there is a level of exposure to short-term volatility due to the one month lag.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charge certain customers a surcharge related to petroleum-based raw materials. The surcharge is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changes in oil-based raw material prices is significantly reduced under this surcharge program.</w:t>
      </w:r>
    </w:p>
    <w:p>
      <w:pPr>
        <w:spacing w:after="0" w:line="1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Similarly, our NA Cabinet Components business includes a surcharge provision in the majority of its customer arrangements to insulate against significant fluctuations in the price for various hardwood products used as the primary raw material for kitchen and bathroom cabinet doors. We are exposed to short-term volatility in wood prices due to a lag in the timing of price updates which generally could extend for up to three months.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we maintain surcharges and other adjusters to manage our exposure to changes in the prices of our critical raw materials, we utilize several commodities in our business that are not covered by contractual surcharges or adjusters for which pricing can fluctuate, including titanium dioxide (TiO2), aluminum, silicone and other inputs. Further discussion of our industry risks is included within our Annual Report on Form 10-K for the year ended October 31,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2019. Based on that evaluation, the Chief Executive Officer and Chief Financial Officer concluded that, as of January 31, 2019, the disclosure controls and procedures are effective.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January 31, 2019, we repurchased common stock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Maximum US Dollars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that May Yet Be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 Average Price Paid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Used to Purchase Shares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2018 through November 30, 2018</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$27,966,000</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December 1, 2018 through December 31, 2018 </w:t>
            </w:r>
            <w:r>
              <w:rPr>
                <w:rFonts w:ascii="Times New Roman" w:cs="Times New Roman" w:eastAsia="Times New Roman" w:hAnsi="Times New Roman"/>
                <w:sz w:val="25"/>
                <w:szCs w:val="25"/>
                <w:color w:val="auto"/>
                <w:vertAlign w:val="superscript"/>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101,954</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82,875</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26,830,097</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January 1, 2019 through January 31, 2019 </w:t>
            </w:r>
            <w:r>
              <w:rPr>
                <w:rFonts w:ascii="Times New Roman" w:cs="Times New Roman" w:eastAsia="Times New Roman" w:hAnsi="Times New Roman"/>
                <w:sz w:val="25"/>
                <w:szCs w:val="25"/>
                <w:color w:val="auto"/>
                <w:vertAlign w:val="superscript"/>
              </w:rPr>
              <w:t>(2)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62,549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61,155</w:t>
            </w:r>
          </w:p>
        </w:tc>
        <w:tc>
          <w:tcPr>
            <w:tcW w:w="19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$25,949,910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164,503</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144,030</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420" w:hanging="7"/>
        <w:spacing w:after="0" w:line="233" w:lineRule="auto"/>
        <w:tabs>
          <w:tab w:leader="none" w:pos="625"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117" w:lineRule="exact"/>
        <w:rPr>
          <w:rFonts w:ascii="Times New Roman" w:cs="Times New Roman" w:eastAsia="Times New Roman" w:hAnsi="Times New Roman"/>
          <w:sz w:val="25"/>
          <w:szCs w:val="25"/>
          <w:color w:val="auto"/>
          <w:vertAlign w:val="superscript"/>
        </w:rPr>
      </w:pPr>
    </w:p>
    <w:p>
      <w:pPr>
        <w:jc w:val="both"/>
        <w:ind w:left="420" w:hanging="7"/>
        <w:spacing w:after="0" w:line="228" w:lineRule="auto"/>
        <w:tabs>
          <w:tab w:leader="none" w:pos="612"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December 2018 and January 2019 include 19,079 and 1,394 shares, respectively, cancelled in connection with tax withholding related to the vesting of restricted share awards. Shares so cancelled are cancelled pursuant to the terms of our 2008 Omnibus Incentive Plan, as amended, and are not part of any publicly announced share repurchase authorizations.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4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189" w:lineRule="exact"/>
        <w:rPr>
          <w:sz w:val="20"/>
          <w:szCs w:val="20"/>
          <w:color w:val="auto"/>
        </w:rPr>
      </w:pPr>
    </w:p>
    <w:p>
      <w:pPr>
        <w:ind w:left="280"/>
        <w:spacing w:after="0"/>
        <w:tabs>
          <w:tab w:leader="none" w:pos="4580" w:val="left"/>
        </w:tabs>
        <w:rPr>
          <w:sz w:val="20"/>
          <w:szCs w:val="20"/>
          <w:color w:val="auto"/>
        </w:rPr>
      </w:pPr>
      <w:r>
        <w:rPr>
          <w:rFonts w:ascii="Times New Roman" w:cs="Times New Roman" w:eastAsia="Times New Roman" w:hAnsi="Times New Roman"/>
          <w:sz w:val="18"/>
          <w:szCs w:val="18"/>
          <w:color w:val="auto"/>
        </w:rPr>
        <w:t>Date: March 6, 2019</w:t>
      </w:r>
      <w:r>
        <w:rPr>
          <w:sz w:val="20"/>
          <w:szCs w:val="20"/>
          <w:color w:val="auto"/>
        </w:rPr>
        <w:tab/>
      </w:r>
      <w:r>
        <w:rPr>
          <w:rFonts w:ascii="Times New Roman" w:cs="Times New Roman" w:eastAsia="Times New Roman" w:hAnsi="Times New Roman"/>
          <w:sz w:val="17"/>
          <w:szCs w:val="17"/>
          <w:color w:val="auto"/>
        </w:rPr>
        <w:t>/s/ Brent L.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34290</wp:posOffset>
            </wp:positionV>
            <wp:extent cx="4330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Brent L. Korb</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Senior Vice President – Finance and Chief Financial Officer</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100" w:type="dxa"/>
            <w:vAlign w:val="bottom"/>
            <w:gridSpan w:val="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10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880" w:type="dxa"/>
            <w:vAlign w:val="bottom"/>
            <w:gridSpan w:val="11"/>
          </w:tcPr>
          <w:p>
            <w:pPr>
              <w:ind w:left="26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573"/>
        </w:trPr>
        <w:tc>
          <w:tcPr>
            <w:tcW w:w="1060" w:type="dxa"/>
            <w:vAlign w:val="bottom"/>
            <w:gridSpan w:val="4"/>
          </w:tcPr>
          <w:p>
            <w:pPr>
              <w:jc w:val="center"/>
              <w:ind w:left="591"/>
              <w:spacing w:after="0"/>
              <w:rPr>
                <w:rFonts w:ascii="Times New Roman" w:cs="Times New Roman" w:eastAsia="Times New Roman" w:hAnsi="Times New Roman"/>
                <w:sz w:val="18"/>
                <w:szCs w:val="18"/>
                <w:color w:val="0000FF"/>
                <w:w w:val="97"/>
              </w:rPr>
            </w:pPr>
            <w:hyperlink r:id="rId1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Restated Certificate of Incorporation of the Registrant dated as of March 4, 2016, filed as Exhibit 3.1 of the Registrant’s Current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Report on Form 8-K (Reg. No. 001-33913) as filed with the Securities and Exchange Commission on March 7, 2016, and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4"/>
          </w:tcPr>
          <w:p>
            <w:pPr>
              <w:jc w:val="center"/>
              <w:ind w:left="591"/>
              <w:spacing w:after="0"/>
              <w:rPr>
                <w:rFonts w:ascii="Times New Roman" w:cs="Times New Roman" w:eastAsia="Times New Roman" w:hAnsi="Times New Roman"/>
                <w:sz w:val="18"/>
                <w:szCs w:val="18"/>
                <w:color w:val="0000FF"/>
                <w:w w:val="97"/>
              </w:rPr>
            </w:pPr>
            <w:hyperlink r:id="rId1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Third Amended and Restated Bylaws of the Registrant as of March 4, 2016, filed as Exhibit 3.2 of the Registrant's Quarterly Report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on Form 10-Q (Reg. No. 001-33913) for the quarter ended July 31, 2016,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4"/>
          </w:tcPr>
          <w:p>
            <w:pPr>
              <w:jc w:val="center"/>
              <w:ind w:left="591"/>
              <w:spacing w:after="0"/>
              <w:rPr>
                <w:rFonts w:ascii="Times New Roman" w:cs="Times New Roman" w:eastAsia="Times New Roman" w:hAnsi="Times New Roman"/>
                <w:sz w:val="18"/>
                <w:szCs w:val="18"/>
                <w:color w:val="0000FF"/>
                <w:w w:val="97"/>
              </w:rPr>
            </w:pPr>
            <w:hyperlink r:id="rId1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Form of Registrant’s Common Stock certificate, filed as Exhibit 4.1 of Amendment No. 1 to the Registrant’s Registration Statement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on Form 10 (Reg. No. 001-33913) as filed with the Securities and Exchange Commission on February 14, 2008, and incorporated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gridSpan w:val="10"/>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1060" w:type="dxa"/>
            <w:vAlign w:val="bottom"/>
            <w:gridSpan w:val="4"/>
            <w:vMerge w:val="restart"/>
          </w:tcPr>
          <w:p>
            <w:pPr>
              <w:jc w:val="center"/>
              <w:ind w:left="591"/>
              <w:spacing w:after="0"/>
              <w:rPr>
                <w:rFonts w:ascii="Times New Roman" w:cs="Times New Roman" w:eastAsia="Times New Roman" w:hAnsi="Times New Roman"/>
                <w:sz w:val="18"/>
                <w:szCs w:val="18"/>
                <w:color w:val="0000FF"/>
                <w:w w:val="97"/>
              </w:rPr>
            </w:pPr>
            <w:hyperlink r:id="rId2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vMerge w:val="restart"/>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Credit Agreement dated as of October 18, 2018, by and among the Company; the lenders party thereto; and Wells Fargo Bank,</w:t>
              </w:r>
            </w:hyperlink>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520" w:type="dxa"/>
            <w:vAlign w:val="bottom"/>
            <w:tcBorders>
              <w:bottom w:val="single" w:sz="8" w:color="0000FF"/>
            </w:tcBorders>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gridSpan w:val="10"/>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National Association, as Agent; filed as Exhibit 10.1 of the Registrant's Current Report on Form 8-K (Reg. No. 001-33913) as filed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with the Securities and Exchange Commission on October 18, 2018, and incorporated herein by reference.</w:t>
              </w:r>
            </w:hyperlink>
          </w:p>
        </w:tc>
        <w:tc>
          <w:tcPr>
            <w:tcW w:w="18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60" w:type="dxa"/>
            <w:vAlign w:val="bottom"/>
          </w:tcPr>
          <w:p>
            <w:pPr>
              <w:spacing w:after="0"/>
              <w:rPr>
                <w:sz w:val="24"/>
                <w:szCs w:val="24"/>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w:anchor="page40">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Certification by chief executive officer pursuant to Rule 13a-14(a)/15d-14(a).</w:t>
              </w:r>
            </w:hyperlink>
          </w:p>
        </w:tc>
        <w:tc>
          <w:tcPr>
            <w:tcW w:w="39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w:anchor="page41">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Certification by chief financial officer pursuant to Rule 13a-14(a)/15d-14(a).</w:t>
              </w:r>
            </w:hyperlink>
          </w:p>
        </w:tc>
        <w:tc>
          <w:tcPr>
            <w:tcW w:w="4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w:anchor="page42">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42">
              <w:r>
                <w:rPr>
                  <w:rFonts w:ascii="Times New Roman" w:cs="Times New Roman" w:eastAsia="Times New Roman" w:hAnsi="Times New Roman"/>
                  <w:sz w:val="18"/>
                  <w:szCs w:val="18"/>
                  <w:color w:val="0000FF"/>
                  <w:w w:val="99"/>
                </w:rPr>
                <w:t>Certification pursuant to Section 906 of the Sarbanes-Oxley Act of 2002.</w:t>
              </w:r>
            </w:hyperlink>
          </w:p>
        </w:tc>
        <w:tc>
          <w:tcPr>
            <w:tcW w:w="4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520" w:type="dxa"/>
            <w:vAlign w:val="bottom"/>
            <w:gridSpan w:val="5"/>
          </w:tcPr>
          <w:p>
            <w:pPr>
              <w:jc w:val="center"/>
              <w:ind w:left="131"/>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05"/>
        </w:trPr>
        <w:tc>
          <w:tcPr>
            <w:tcW w:w="1520" w:type="dxa"/>
            <w:vAlign w:val="bottom"/>
            <w:gridSpan w:val="5"/>
          </w:tcPr>
          <w:p>
            <w:pPr>
              <w:jc w:val="center"/>
              <w:ind w:left="111"/>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11"/>
              <w:spacing w:after="0"/>
              <w:rPr>
                <w:sz w:val="20"/>
                <w:szCs w:val="20"/>
                <w:color w:val="auto"/>
              </w:rPr>
            </w:pPr>
            <w:r>
              <w:rPr>
                <w:rFonts w:ascii="Times New Roman" w:cs="Times New Roman" w:eastAsia="Times New Roman" w:hAnsi="Times New Roman"/>
                <w:sz w:val="18"/>
                <w:szCs w:val="18"/>
                <w:color w:val="auto"/>
                <w:w w:val="99"/>
              </w:rPr>
              <w:t>*101.CAL</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31"/>
              <w:spacing w:after="0"/>
              <w:rPr>
                <w:sz w:val="20"/>
                <w:szCs w:val="20"/>
                <w:color w:val="auto"/>
              </w:rPr>
            </w:pPr>
            <w:r>
              <w:rPr>
                <w:rFonts w:ascii="Times New Roman" w:cs="Times New Roman" w:eastAsia="Times New Roman" w:hAnsi="Times New Roman"/>
                <w:sz w:val="18"/>
                <w:szCs w:val="18"/>
                <w:color w:val="auto"/>
                <w:w w:val="99"/>
              </w:rPr>
              <w:t>*101.DEF</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11"/>
              <w:spacing w:after="0"/>
              <w:rPr>
                <w:sz w:val="20"/>
                <w:szCs w:val="20"/>
                <w:color w:val="auto"/>
              </w:rPr>
            </w:pPr>
            <w:r>
              <w:rPr>
                <w:rFonts w:ascii="Times New Roman" w:cs="Times New Roman" w:eastAsia="Times New Roman" w:hAnsi="Times New Roman"/>
                <w:sz w:val="18"/>
                <w:szCs w:val="18"/>
                <w:color w:val="auto"/>
                <w:w w:val="99"/>
              </w:rPr>
              <w:t>*101.LAB</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31"/>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ectPr>
          <w:pgSz w:w="11900" w:h="16838" w:orient="portrait"/>
          <w:cols w:equalWidth="0" w:num="1">
            <w:col w:w="11420"/>
          </w:cols>
          <w:pgMar w:left="240" w:top="108"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Griffiths, certify that:</w:t>
      </w:r>
    </w:p>
    <w:p>
      <w:pPr>
        <w:spacing w:after="0" w:line="14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4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25"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2019</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William C.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570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William C. Griffiths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L. Korb, certify that:</w:t>
      </w:r>
    </w:p>
    <w:p>
      <w:pPr>
        <w:spacing w:after="0" w:line="14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4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25"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2019</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Brent L.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570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Brent L. Korb</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 Finance and Chief Financial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January 31, 2019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 William C. Griffiths</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Brent L. Korb</w:t>
            </w: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16"/>
        </w:trPr>
        <w:tc>
          <w:tcPr>
            <w:tcW w:w="5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William C. Griffiths</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Brent L. Korb</w:t>
            </w:r>
          </w:p>
        </w:tc>
      </w:tr>
      <w:tr>
        <w:trPr>
          <w:trHeight w:val="216"/>
        </w:trPr>
        <w:tc>
          <w:tcPr>
            <w:tcW w:w="5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9"/>
              </w:rPr>
              <w:t>Chairman of the Board, President and Chief</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President—Finance and</w:t>
            </w:r>
          </w:p>
        </w:tc>
      </w:tr>
      <w:tr>
        <w:trPr>
          <w:trHeight w:val="216"/>
        </w:trPr>
        <w:tc>
          <w:tcPr>
            <w:tcW w:w="5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7" Type="http://schemas.openxmlformats.org/officeDocument/2006/relationships/hyperlink" Target="http://www.sec.gov/Archives/edgar/data/1423221/000119312516495257/d156158dex31.htm" TargetMode="External"/><Relationship Id="rId18" Type="http://schemas.openxmlformats.org/officeDocument/2006/relationships/hyperlink" Target="http://www.sec.gov/Archives/edgar/data/1423221/000142322116000023/nx07312016ex32.htm" TargetMode="External"/><Relationship Id="rId19" Type="http://schemas.openxmlformats.org/officeDocument/2006/relationships/hyperlink" Target="http://www.sec.gov/Archives/edgar/data/1423221/000095012908000988/h52992a1exv4w1.htm" TargetMode="External"/><Relationship Id="rId20" Type="http://schemas.openxmlformats.org/officeDocument/2006/relationships/hyperlink" Target="http://www.sec.gov/Archives/edgar/data/1423221/000119312518302063/d6372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2019-12-28T15:18:18Z</dcterms:created>
  <dcterms:modified xsi:type="dcterms:W3CDTF">2019-12-28T15:18:18Z</dcterms:modified>
</cp:coreProperties>
</file>