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6008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66008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082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Fiscal Year Ended October 31, 2020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8"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1-33913</w:t>
      </w:r>
    </w:p>
    <w:p>
      <w:pPr>
        <w:spacing w:after="0" w:line="2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QUANEX BUILDING PRODUCTS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32" w:right="339" w:bottom="1440" w:gutter="0" w:footer="0" w:header="0"/>
        </w:sectPr>
      </w:pPr>
    </w:p>
    <w:p>
      <w:pPr>
        <w:spacing w:after="0" w:line="2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26-1561397</w:t>
      </w:r>
    </w:p>
    <w:p>
      <w:pPr>
        <w:spacing w:after="0" w:line="31" w:lineRule="exact"/>
        <w:rPr>
          <w:sz w:val="24"/>
          <w:szCs w:val="24"/>
          <w:color w:val="auto"/>
        </w:rPr>
      </w:pPr>
    </w:p>
    <w:p>
      <w:pPr>
        <w:sectPr>
          <w:pgSz w:w="11900" w:h="16838" w:orient="portrait"/>
          <w:cols w:equalWidth="0" w:num="2">
            <w:col w:w="7140" w:space="720"/>
            <w:col w:w="3380"/>
          </w:cols>
          <w:pgMar w:left="320" w:top="732"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14" w:lineRule="exact"/>
        <w:rPr>
          <w:sz w:val="24"/>
          <w:szCs w:val="24"/>
          <w:color w:val="auto"/>
        </w:rPr>
      </w:pPr>
    </w:p>
    <w:p>
      <w:pPr>
        <w:sectPr>
          <w:pgSz w:w="11900" w:h="16838" w:orient="portrait"/>
          <w:cols w:equalWidth="0" w:num="2">
            <w:col w:w="6480" w:space="720"/>
            <w:col w:w="4040"/>
          </w:cols>
          <w:pgMar w:left="320" w:top="73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 West Loop South, Suite 1500, Houston, Texas 77027</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 961-4600</w:t>
      </w:r>
    </w:p>
    <w:p>
      <w:pPr>
        <w:spacing w:after="0" w:line="1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32" w:right="339" w:bottom="1440" w:gutter="0" w:footer="0" w:header="0"/>
          <w:type w:val="continuous"/>
        </w:sectPr>
      </w:pPr>
    </w:p>
    <w:p>
      <w:pPr>
        <w:spacing w:after="0" w:line="47"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640" w:space="720"/>
            <w:col w:w="1500" w:space="720"/>
            <w:col w:w="3660"/>
          </w:cols>
          <w:pgMar w:left="320" w:top="732" w:right="339" w:bottom="1440" w:gutter="0" w:footer="0" w:header="0"/>
          <w:type w:val="continuous"/>
        </w:sectPr>
      </w:pPr>
    </w:p>
    <w:p>
      <w:pPr>
        <w:ind w:left="3140" w:right="1300" w:hanging="1743"/>
        <w:spacing w:after="0" w:line="361" w:lineRule="auto"/>
        <w:rPr>
          <w:sz w:val="20"/>
          <w:szCs w:val="20"/>
          <w:color w:val="auto"/>
        </w:rPr>
      </w:pPr>
      <w:r>
        <w:rPr>
          <w:rFonts w:ascii="Times New Roman" w:cs="Times New Roman" w:eastAsia="Times New Roman" w:hAnsi="Times New Roman"/>
          <w:sz w:val="18"/>
          <w:szCs w:val="18"/>
          <w:b w:val="1"/>
          <w:bCs w:val="1"/>
          <w:color w:val="auto"/>
        </w:rPr>
        <w:t>Common Stock, $0.01 par value</w:t>
      </w:r>
      <w:r>
        <w:rPr>
          <w:sz w:val="20"/>
          <w:szCs w:val="20"/>
          <w:color w:val="auto"/>
        </w:rPr>
        <w:t xml:space="preserve"> </w:t>
      </w:r>
      <w:r>
        <w:rPr>
          <w:rFonts w:ascii="Times New Roman" w:cs="Times New Roman" w:eastAsia="Times New Roman" w:hAnsi="Times New Roman"/>
          <w:sz w:val="18"/>
          <w:szCs w:val="18"/>
          <w:b w:val="1"/>
          <w:bCs w:val="1"/>
          <w:color w:val="auto"/>
        </w:rPr>
        <w:t xml:space="preserve">NX New York Stock Exchange Securities registered pursuant to Section 12(g) of the Act: NONE </w:t>
      </w: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732" w:right="339" w:bottom="1440" w:gutter="0" w:footer="0" w:header="0"/>
          <w:type w:val="continuous"/>
        </w:sectPr>
      </w:pPr>
    </w:p>
    <w:p>
      <w:pPr>
        <w:spacing w:after="0" w:line="2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4">
            <w:col w:w="7780" w:space="200"/>
            <w:col w:w="220" w:space="100"/>
            <w:col w:w="80" w:space="180"/>
            <w:col w:w="2680"/>
          </w:cols>
          <w:pgMar w:left="320" w:top="732" w:right="339" w:bottom="1440" w:gutter="0" w:footer="0" w:header="0"/>
          <w:type w:val="continuous"/>
        </w:sectPr>
      </w:pPr>
    </w:p>
    <w:p>
      <w:pPr>
        <w:spacing w:after="0" w:line="34"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95" w:lineRule="exact"/>
        <w:rPr>
          <w:sz w:val="24"/>
          <w:szCs w:val="24"/>
          <w:color w:val="auto"/>
        </w:rPr>
      </w:pPr>
    </w:p>
    <w:p>
      <w:pPr>
        <w:sectPr>
          <w:pgSz w:w="11900" w:h="16838" w:orient="portrait"/>
          <w:cols w:equalWidth="0" w:num="5">
            <w:col w:w="7920" w:space="160"/>
            <w:col w:w="240" w:space="80"/>
            <w:col w:w="160" w:space="180"/>
            <w:col w:w="200" w:space="100"/>
            <w:col w:w="2200"/>
          </w:cols>
          <w:pgMar w:left="320" w:top="732" w:right="339" w:bottom="1440" w:gutter="0" w:footer="0" w:header="0"/>
          <w:type w:val="continuous"/>
        </w:sectPr>
      </w:pPr>
    </w:p>
    <w:p>
      <w:pPr>
        <w:jc w:val="both"/>
        <w:ind w:firstLine="162"/>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firstLine="162"/>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80"/>
              <w:spacing w:after="0"/>
              <w:rPr>
                <w:sz w:val="20"/>
                <w:szCs w:val="20"/>
                <w:color w:val="auto"/>
              </w:rPr>
            </w:pPr>
            <w:r>
              <w:rPr>
                <w:rFonts w:ascii="Arial" w:cs="Arial" w:eastAsia="Arial" w:hAnsi="Arial"/>
                <w:sz w:val="18"/>
                <w:szCs w:val="18"/>
                <w:color w:val="auto"/>
              </w:rPr>
              <w:t>x</w:t>
            </w:r>
          </w:p>
        </w:tc>
        <w:tc>
          <w:tcPr>
            <w:tcW w:w="4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964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period for complying with any new or</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7(a)(2)(B) of the Securities Act.</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6567805</wp:posOffset>
            </wp:positionH>
            <wp:positionV relativeFrom="paragraph">
              <wp:posOffset>-666115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-520065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-520065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-374650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-134620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 w:lineRule="exact"/>
        <w:rPr>
          <w:sz w:val="24"/>
          <w:szCs w:val="24"/>
          <w:color w:val="auto"/>
        </w:rPr>
      </w:pPr>
    </w:p>
    <w:p>
      <w:pPr>
        <w:ind w:left="180"/>
        <w:spacing w:after="0" w:line="197" w:lineRule="exact"/>
        <w:tabs>
          <w:tab w:leader="none" w:pos="6980" w:val="left"/>
          <w:tab w:leader="none" w:pos="7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4660265</wp:posOffset>
            </wp:positionH>
            <wp:positionV relativeFrom="paragraph">
              <wp:posOffset>-79375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7" w:lineRule="exact"/>
        <w:rPr>
          <w:sz w:val="24"/>
          <w:szCs w:val="24"/>
          <w:color w:val="auto"/>
        </w:rPr>
      </w:pPr>
    </w:p>
    <w:p>
      <w:pPr>
        <w:ind w:right="20" w:firstLine="162"/>
        <w:spacing w:after="0" w:line="24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April 30, 2020, computed by reference to the closing price for the Common Stock on the New York Stock Exchange, Inc. on that date, was $403,851,329. Such calculation assumes only the registrant’s officers and directors at such date were affiliates of the registrant.</w:t>
      </w:r>
    </w:p>
    <w:p>
      <w:pPr>
        <w:spacing w:after="0" w:line="1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December 4, 2020 there were outstanding 32,828,337 shares of the registrant’s Common Stock, $0.01 par value.</w:t>
      </w:r>
    </w:p>
    <w:p>
      <w:pPr>
        <w:spacing w:after="0" w:line="2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2021 Annual Meeting of Stockholders to be filed with the Commission within 120 days of October 31, 2020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36195</wp:posOffset>
            </wp:positionV>
            <wp:extent cx="6600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1905</wp:posOffset>
            </wp:positionV>
            <wp:extent cx="6600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66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1"/>
        </w:trPr>
        <w:tc>
          <w:tcPr>
            <w:tcW w:w="8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20" w:type="dxa"/>
            <w:vAlign w:val="bottom"/>
          </w:tcPr>
          <w:p>
            <w:pPr>
              <w:spacing w:after="0"/>
              <w:rPr>
                <w:sz w:val="18"/>
                <w:szCs w:val="18"/>
                <w:color w:val="auto"/>
              </w:rPr>
            </w:pPr>
          </w:p>
        </w:tc>
        <w:tc>
          <w:tcPr>
            <w:tcW w:w="96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88"/>
              </w:rPr>
            </w:pPr>
            <w:hyperlink w:anchor="page3">
              <w:r>
                <w:rPr>
                  <w:rFonts w:ascii="Times New Roman" w:cs="Times New Roman" w:eastAsia="Times New Roman" w:hAnsi="Times New Roman"/>
                  <w:sz w:val="18"/>
                  <w:szCs w:val="18"/>
                  <w:u w:val="single" w:color="auto"/>
                  <w:color w:val="auto"/>
                  <w:w w:val="88"/>
                </w:rPr>
                <w:t>4</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9">
              <w:r>
                <w:rPr>
                  <w:rFonts w:ascii="Times New Roman" w:cs="Times New Roman" w:eastAsia="Times New Roman" w:hAnsi="Times New Roman"/>
                  <w:sz w:val="18"/>
                  <w:szCs w:val="18"/>
                  <w:u w:val="single" w:color="auto"/>
                  <w:color w:val="auto"/>
                  <w:w w:val="99"/>
                </w:rPr>
                <w:t>10</w:t>
              </w:r>
            </w:hyperlink>
          </w:p>
        </w:tc>
        <w:tc>
          <w:tcPr>
            <w:tcW w:w="1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14">
              <w:r>
                <w:rPr>
                  <w:rFonts w:ascii="Times New Roman" w:cs="Times New Roman" w:eastAsia="Times New Roman" w:hAnsi="Times New Roman"/>
                  <w:sz w:val="18"/>
                  <w:szCs w:val="18"/>
                  <w:u w:val="single" w:color="auto"/>
                  <w:color w:val="auto"/>
                  <w:w w:val="99"/>
                </w:rPr>
                <w:t>14</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14">
              <w:r>
                <w:rPr>
                  <w:rFonts w:ascii="Times New Roman" w:cs="Times New Roman" w:eastAsia="Times New Roman" w:hAnsi="Times New Roman"/>
                  <w:sz w:val="18"/>
                  <w:szCs w:val="18"/>
                  <w:u w:val="single" w:color="auto"/>
                  <w:color w:val="auto"/>
                  <w:w w:val="99"/>
                </w:rPr>
                <w:t>15</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15">
              <w:r>
                <w:rPr>
                  <w:rFonts w:ascii="Times New Roman" w:cs="Times New Roman" w:eastAsia="Times New Roman" w:hAnsi="Times New Roman"/>
                  <w:sz w:val="18"/>
                  <w:szCs w:val="18"/>
                  <w:u w:val="single" w:color="auto"/>
                  <w:color w:val="auto"/>
                  <w:w w:val="99"/>
                </w:rPr>
                <w:t>15</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tcPr>
          <w:p>
            <w:pPr>
              <w:ind w:left="140"/>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Mine Safety Disclosures</w:t>
              </w:r>
            </w:hyperlink>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16">
              <w:r>
                <w:rPr>
                  <w:rFonts w:ascii="Times New Roman" w:cs="Times New Roman" w:eastAsia="Times New Roman" w:hAnsi="Times New Roman"/>
                  <w:sz w:val="18"/>
                  <w:szCs w:val="18"/>
                  <w:u w:val="single" w:color="auto"/>
                  <w:color w:val="auto"/>
                  <w:w w:val="99"/>
                </w:rPr>
                <w:t>16</w:t>
              </w:r>
            </w:hyperlink>
          </w:p>
        </w:tc>
        <w:tc>
          <w:tcPr>
            <w:tcW w:w="120" w:type="dxa"/>
            <w:vAlign w:val="bottom"/>
          </w:tcPr>
          <w:p>
            <w:pPr>
              <w:spacing w:after="0"/>
              <w:rPr>
                <w:sz w:val="24"/>
                <w:szCs w:val="24"/>
                <w:color w:val="auto"/>
              </w:rPr>
            </w:pPr>
          </w:p>
        </w:tc>
      </w:tr>
      <w:tr>
        <w:trPr>
          <w:trHeight w:val="283"/>
        </w:trPr>
        <w:tc>
          <w:tcPr>
            <w:tcW w:w="820" w:type="dxa"/>
            <w:vAlign w:val="bottom"/>
          </w:tcPr>
          <w:p>
            <w:pPr>
              <w:spacing w:after="0"/>
              <w:rPr>
                <w:sz w:val="24"/>
                <w:szCs w:val="24"/>
                <w:color w:val="auto"/>
              </w:rPr>
            </w:pPr>
          </w:p>
        </w:tc>
        <w:tc>
          <w:tcPr>
            <w:tcW w:w="96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16">
              <w:r>
                <w:rPr>
                  <w:rFonts w:ascii="Times New Roman" w:cs="Times New Roman" w:eastAsia="Times New Roman" w:hAnsi="Times New Roman"/>
                  <w:sz w:val="18"/>
                  <w:szCs w:val="18"/>
                  <w:u w:val="single" w:color="auto"/>
                  <w:color w:val="auto"/>
                  <w:w w:val="99"/>
                </w:rPr>
                <w:t>17</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Selected Financial Data</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18">
              <w:r>
                <w:rPr>
                  <w:rFonts w:ascii="Times New Roman" w:cs="Times New Roman" w:eastAsia="Times New Roman" w:hAnsi="Times New Roman"/>
                  <w:sz w:val="18"/>
                  <w:szCs w:val="18"/>
                  <w:u w:val="single" w:color="auto"/>
                  <w:color w:val="auto"/>
                  <w:w w:val="99"/>
                </w:rPr>
                <w:t>19</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20">
              <w:r>
                <w:rPr>
                  <w:rFonts w:ascii="Times New Roman" w:cs="Times New Roman" w:eastAsia="Times New Roman" w:hAnsi="Times New Roman"/>
                  <w:sz w:val="18"/>
                  <w:szCs w:val="18"/>
                  <w:u w:val="single" w:color="auto"/>
                  <w:color w:val="auto"/>
                  <w:w w:val="99"/>
                </w:rPr>
                <w:t>21</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36">
              <w:r>
                <w:rPr>
                  <w:rFonts w:ascii="Times New Roman" w:cs="Times New Roman" w:eastAsia="Times New Roman" w:hAnsi="Times New Roman"/>
                  <w:sz w:val="18"/>
                  <w:szCs w:val="18"/>
                  <w:u w:val="single" w:color="auto"/>
                  <w:color w:val="auto"/>
                  <w:w w:val="99"/>
                </w:rPr>
                <w:t>37</w:t>
              </w:r>
            </w:hyperlink>
          </w:p>
        </w:tc>
        <w:tc>
          <w:tcPr>
            <w:tcW w:w="1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37">
              <w:r>
                <w:rPr>
                  <w:rFonts w:ascii="Times New Roman" w:cs="Times New Roman" w:eastAsia="Times New Roman" w:hAnsi="Times New Roman"/>
                  <w:sz w:val="18"/>
                  <w:szCs w:val="18"/>
                  <w:u w:val="single" w:color="auto"/>
                  <w:color w:val="auto"/>
                  <w:w w:val="99"/>
                </w:rPr>
                <w:t>38</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and Disagreements with Accountants on Accounting and Financial Disclosure</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5">
              <w:r>
                <w:rPr>
                  <w:rFonts w:ascii="Times New Roman" w:cs="Times New Roman" w:eastAsia="Times New Roman" w:hAnsi="Times New Roman"/>
                  <w:sz w:val="18"/>
                  <w:szCs w:val="18"/>
                  <w:u w:val="single" w:color="auto"/>
                  <w:color w:val="auto"/>
                  <w:w w:val="99"/>
                </w:rPr>
                <w:t>85</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5">
              <w:r>
                <w:rPr>
                  <w:rFonts w:ascii="Times New Roman" w:cs="Times New Roman" w:eastAsia="Times New Roman" w:hAnsi="Times New Roman"/>
                  <w:sz w:val="18"/>
                  <w:szCs w:val="18"/>
                  <w:u w:val="single" w:color="auto"/>
                  <w:color w:val="auto"/>
                  <w:w w:val="99"/>
                </w:rPr>
                <w:t>85</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5">
              <w:r>
                <w:rPr>
                  <w:rFonts w:ascii="Times New Roman" w:cs="Times New Roman" w:eastAsia="Times New Roman" w:hAnsi="Times New Roman"/>
                  <w:sz w:val="18"/>
                  <w:szCs w:val="18"/>
                  <w:u w:val="single" w:color="auto"/>
                  <w:color w:val="auto"/>
                  <w:w w:val="99"/>
                </w:rPr>
                <w:t>85</w:t>
              </w:r>
            </w:hyperlink>
          </w:p>
        </w:tc>
        <w:tc>
          <w:tcPr>
            <w:tcW w:w="120" w:type="dxa"/>
            <w:vAlign w:val="bottom"/>
          </w:tcPr>
          <w:p>
            <w:pPr>
              <w:spacing w:after="0"/>
              <w:rPr>
                <w:sz w:val="24"/>
                <w:szCs w:val="24"/>
                <w:color w:val="auto"/>
              </w:rPr>
            </w:pPr>
          </w:p>
        </w:tc>
      </w:tr>
      <w:tr>
        <w:trPr>
          <w:trHeight w:val="283"/>
        </w:trPr>
        <w:tc>
          <w:tcPr>
            <w:tcW w:w="820" w:type="dxa"/>
            <w:vAlign w:val="bottom"/>
          </w:tcPr>
          <w:p>
            <w:pPr>
              <w:spacing w:after="0"/>
              <w:rPr>
                <w:sz w:val="24"/>
                <w:szCs w:val="24"/>
                <w:color w:val="auto"/>
              </w:rPr>
            </w:pPr>
          </w:p>
        </w:tc>
        <w:tc>
          <w:tcPr>
            <w:tcW w:w="96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5">
              <w:r>
                <w:rPr>
                  <w:rFonts w:ascii="Times New Roman" w:cs="Times New Roman" w:eastAsia="Times New Roman" w:hAnsi="Times New Roman"/>
                  <w:sz w:val="18"/>
                  <w:szCs w:val="18"/>
                  <w:u w:val="single" w:color="auto"/>
                  <w:color w:val="auto"/>
                  <w:w w:val="99"/>
                </w:rPr>
                <w:t>86</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6">
              <w:r>
                <w:rPr>
                  <w:rFonts w:ascii="Times New Roman" w:cs="Times New Roman" w:eastAsia="Times New Roman" w:hAnsi="Times New Roman"/>
                  <w:sz w:val="18"/>
                  <w:szCs w:val="18"/>
                  <w:u w:val="single" w:color="auto"/>
                  <w:color w:val="auto"/>
                  <w:w w:val="99"/>
                </w:rPr>
                <w:t>86</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6">
              <w:r>
                <w:rPr>
                  <w:rFonts w:ascii="Times New Roman" w:cs="Times New Roman" w:eastAsia="Times New Roman" w:hAnsi="Times New Roman"/>
                  <w:sz w:val="18"/>
                  <w:szCs w:val="18"/>
                  <w:u w:val="single" w:color="auto"/>
                  <w:color w:val="auto"/>
                  <w:w w:val="99"/>
                </w:rPr>
                <w:t>86</w:t>
              </w:r>
            </w:hyperlink>
          </w:p>
        </w:tc>
        <w:tc>
          <w:tcPr>
            <w:tcW w:w="1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6">
              <w:r>
                <w:rPr>
                  <w:rFonts w:ascii="Times New Roman" w:cs="Times New Roman" w:eastAsia="Times New Roman" w:hAnsi="Times New Roman"/>
                  <w:sz w:val="18"/>
                  <w:szCs w:val="18"/>
                  <w:u w:val="single" w:color="auto"/>
                  <w:color w:val="auto"/>
                  <w:w w:val="99"/>
                </w:rPr>
                <w:t>86</w:t>
              </w:r>
            </w:hyperlink>
          </w:p>
        </w:tc>
        <w:tc>
          <w:tcPr>
            <w:tcW w:w="1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6">
              <w:r>
                <w:rPr>
                  <w:rFonts w:ascii="Times New Roman" w:cs="Times New Roman" w:eastAsia="Times New Roman" w:hAnsi="Times New Roman"/>
                  <w:sz w:val="18"/>
                  <w:szCs w:val="18"/>
                  <w:u w:val="single" w:color="auto"/>
                  <w:color w:val="auto"/>
                  <w:w w:val="99"/>
                </w:rPr>
                <w:t>86</w:t>
              </w:r>
            </w:hyperlink>
          </w:p>
        </w:tc>
        <w:tc>
          <w:tcPr>
            <w:tcW w:w="120" w:type="dxa"/>
            <w:vAlign w:val="bottom"/>
          </w:tcPr>
          <w:p>
            <w:pPr>
              <w:spacing w:after="0"/>
              <w:rPr>
                <w:sz w:val="24"/>
                <w:szCs w:val="24"/>
                <w:color w:val="auto"/>
              </w:rPr>
            </w:pPr>
          </w:p>
        </w:tc>
      </w:tr>
      <w:tr>
        <w:trPr>
          <w:trHeight w:val="283"/>
        </w:trPr>
        <w:tc>
          <w:tcPr>
            <w:tcW w:w="820" w:type="dxa"/>
            <w:vAlign w:val="bottom"/>
          </w:tcPr>
          <w:p>
            <w:pPr>
              <w:spacing w:after="0"/>
              <w:rPr>
                <w:sz w:val="24"/>
                <w:szCs w:val="24"/>
                <w:color w:val="auto"/>
              </w:rPr>
            </w:pPr>
          </w:p>
        </w:tc>
        <w:tc>
          <w:tcPr>
            <w:tcW w:w="96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640" w:type="dxa"/>
            <w:vAlign w:val="bottom"/>
          </w:tcPr>
          <w:p>
            <w:pPr>
              <w:jc w:val="center"/>
              <w:spacing w:after="0"/>
              <w:rPr>
                <w:rFonts w:ascii="Times New Roman" w:cs="Times New Roman" w:eastAsia="Times New Roman" w:hAnsi="Times New Roman"/>
                <w:sz w:val="18"/>
                <w:szCs w:val="18"/>
                <w:u w:val="single" w:color="auto"/>
                <w:color w:val="auto"/>
                <w:w w:val="99"/>
              </w:rPr>
            </w:pPr>
            <w:hyperlink w:anchor="page86">
              <w:r>
                <w:rPr>
                  <w:rFonts w:ascii="Times New Roman" w:cs="Times New Roman" w:eastAsia="Times New Roman" w:hAnsi="Times New Roman"/>
                  <w:sz w:val="18"/>
                  <w:szCs w:val="18"/>
                  <w:u w:val="single" w:color="auto"/>
                  <w:color w:val="auto"/>
                  <w:w w:val="99"/>
                </w:rPr>
                <w:t>86</w:t>
              </w:r>
            </w:hyperlink>
          </w:p>
        </w:tc>
        <w:tc>
          <w:tcPr>
            <w:tcW w:w="120" w:type="dxa"/>
            <w:vAlign w:val="bottom"/>
          </w:tcPr>
          <w:p>
            <w:pPr>
              <w:spacing w:after="0"/>
              <w:rPr>
                <w:sz w:val="24"/>
                <w:szCs w:val="24"/>
                <w:color w:val="auto"/>
              </w:rPr>
            </w:pPr>
          </w:p>
        </w:tc>
      </w:tr>
      <w:tr>
        <w:trPr>
          <w:trHeight w:val="1438"/>
        </w:trPr>
        <w:tc>
          <w:tcPr>
            <w:tcW w:w="82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55" w:lineRule="exact"/>
        <w:rPr>
          <w:sz w:val="20"/>
          <w:szCs w:val="20"/>
          <w:color w:val="auto"/>
        </w:rPr>
      </w:pPr>
    </w:p>
    <w:p>
      <w:pPr>
        <w:ind w:left="660" w:right="2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recent COVID-19 pandemic and quarantines) on the economy, demand for our products or our operations, including the responses of governmental authorities to contain such public health issues;</w:t>
      </w:r>
    </w:p>
    <w:p>
      <w:pPr>
        <w:spacing w:after="0" w:line="1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activity markets in the United States, United Kingdom, Germany and elsewhere;</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7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42"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are discussed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 information is reliable, we cannot guarantee the accuracy or completeness of the information and have not independently verified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Quanex was incorporated in Delaware on December 12, 2007, as Quanex Building Products Corporation. We manufacture components for original equipment manufacturers (OEM)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fencing, water retention barriers, and conservatory roof components.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October 31, 2020, we operated 31 manufacturing facilities located in 15 states in the U.S., two facilities in the U.K., and one in Germany. These facilities feature efficient plant design and flexible manufacturing processes, enabling us to produce a wide variety of custom engineered products and components primarily focused on the window and door segment of the residential building products markets.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business is largely based in North America and dependent upon the spending and growth activity levels of our customers which include national and regional residential window, door and cabinet manufacturers. Our international presence includes vinyl extruded lineals for large house systems to smaller individual customers. We also have insulating glass businesses in the U.K. and Germany.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data related to housing starts and window shipments in the U.S., as published by or derived from third-party sources, to evaluate the fenestration market. We also use data related to cabinet demand in the U.S. to evaluate the residential cabinet market.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calendar-year annual housing starts information as of November 2020 from the National Association of Home Builders (NAHB) (units in thousands):</w:t>
      </w: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Single-family Units</w:t>
            </w:r>
          </w:p>
        </w:tc>
        <w:tc>
          <w:tcPr>
            <w:tcW w:w="22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Multi-family Units</w:t>
            </w:r>
          </w:p>
        </w:tc>
        <w:tc>
          <w:tcPr>
            <w:tcW w:w="23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Manufactured Units</w:t>
            </w:r>
          </w:p>
        </w:tc>
        <w:tc>
          <w:tcPr>
            <w:tcW w:w="1200" w:type="dxa"/>
            <w:vAlign w:val="bottom"/>
          </w:tcPr>
          <w:p>
            <w:pPr>
              <w:spacing w:after="0"/>
              <w:rPr>
                <w:sz w:val="16"/>
                <w:szCs w:val="16"/>
                <w:color w:val="auto"/>
              </w:rPr>
            </w:pPr>
          </w:p>
        </w:tc>
      </w:tr>
      <w:tr>
        <w:trPr>
          <w:trHeight w:val="189"/>
        </w:trPr>
        <w:tc>
          <w:tcPr>
            <w:tcW w:w="29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0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Units</w:t>
            </w:r>
          </w:p>
        </w:tc>
      </w:tr>
      <w:tr>
        <w:trPr>
          <w:trHeight w:val="209"/>
        </w:trPr>
        <w:tc>
          <w:tcPr>
            <w:tcW w:w="2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785</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392</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1,259</w:t>
            </w:r>
          </w:p>
        </w:tc>
      </w:tr>
      <w:tr>
        <w:trPr>
          <w:trHeight w:val="219"/>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1,300</w:t>
            </w:r>
          </w:p>
        </w:tc>
      </w:tr>
      <w:tr>
        <w:trPr>
          <w:trHeight w:val="213"/>
        </w:trPr>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872</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376</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1,344</w:t>
            </w:r>
          </w:p>
        </w:tc>
      </w:tr>
      <w:tr>
        <w:trPr>
          <w:trHeight w:val="219"/>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1,391</w:t>
            </w:r>
          </w:p>
        </w:tc>
      </w:tr>
      <w:tr>
        <w:trPr>
          <w:trHeight w:val="215"/>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 - Forecast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1,437</w:t>
            </w:r>
          </w:p>
        </w:tc>
      </w:tr>
      <w:tr>
        <w:trPr>
          <w:trHeight w:val="213"/>
        </w:trPr>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335</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1,420</w:t>
            </w:r>
          </w:p>
        </w:tc>
      </w:tr>
      <w:tr>
        <w:trPr>
          <w:trHeight w:val="219"/>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1,473</w:t>
            </w: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Ducker Worldwide LLC, a consulting and research firm, indicated in November 2020 that window shipments in the residential remodeling and replacement (R&amp;R) market are expected to decrease slightly during the remaining calendar year 2020, increase 2% during 2021 and increase 3% during 2022. Derived from reports published by Ducker, the overall decline in window shipments for the trailing twelve months ended September 30, 2020 was 0.3%. During this period, new construction activity increased 1.1% and R&amp;R replacement decreased 1.4% respectively.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According to data from Catalina Research, a consulting and research firm, U.S. residential cabinet demand is expected to increase through 2021. Projections from Catalina Research as of November 2020 include growth rates for the stock, semi-custom (the cabinet market we primarily operate in) and custom cabinet markets, which are presented in the table below: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Cabinet Market Annual Growth Rates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Borders>
              <w:top w:val="single" w:sz="8" w:color="auto"/>
            </w:tcBorders>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Semi-Custom</w:t>
            </w:r>
          </w:p>
        </w:tc>
        <w:tc>
          <w:tcPr>
            <w:tcW w:w="16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Custom</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Overall</w:t>
            </w:r>
          </w:p>
        </w:tc>
      </w:tr>
      <w:tr>
        <w:trPr>
          <w:trHeight w:val="209"/>
        </w:trPr>
        <w:tc>
          <w:tcPr>
            <w:tcW w:w="4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3"/>
        </w:trPr>
        <w:tc>
          <w:tcPr>
            <w:tcW w:w="4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60" w:type="dxa"/>
            <w:vAlign w:val="bottom"/>
          </w:tcPr>
          <w:p>
            <w:pPr>
              <w:spacing w:after="0"/>
              <w:rPr>
                <w:sz w:val="18"/>
                <w:szCs w:val="18"/>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8.7%</w:t>
            </w:r>
          </w:p>
        </w:tc>
        <w:tc>
          <w:tcPr>
            <w:tcW w:w="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4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Pr>
          <w:p>
            <w:pPr>
              <w:spacing w:after="0"/>
              <w:rPr>
                <w:sz w:val="18"/>
                <w:szCs w:val="18"/>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Pr>
          <w:p>
            <w:pPr>
              <w:spacing w:after="0"/>
              <w:rPr>
                <w:sz w:val="18"/>
                <w:szCs w:val="18"/>
                <w:color w:val="auto"/>
              </w:rPr>
            </w:pP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8"/>
                <w:szCs w:val="18"/>
                <w:color w:val="auto"/>
              </w:rPr>
            </w:pP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r>
      <w:tr>
        <w:trPr>
          <w:trHeight w:val="215"/>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 - Forecast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4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8"/>
                <w:szCs w:val="18"/>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Pr>
          <w:p>
            <w:pPr>
              <w:spacing w:after="0"/>
              <w:rPr>
                <w:sz w:val="18"/>
                <w:szCs w:val="18"/>
                <w:color w:val="auto"/>
              </w:rPr>
            </w:pP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w:t>
            </w:r>
          </w:p>
        </w:tc>
      </w:tr>
    </w:tbl>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noted the following trends which we believe affect our industry:</w:t>
      </w:r>
    </w:p>
    <w:p>
      <w:pPr>
        <w:spacing w:after="0" w:line="117" w:lineRule="exact"/>
        <w:rPr>
          <w:sz w:val="20"/>
          <w:szCs w:val="20"/>
          <w:color w:val="auto"/>
        </w:rPr>
      </w:pPr>
    </w:p>
    <w:p>
      <w:pPr>
        <w:ind w:left="660" w:hanging="166"/>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growth in the housing market over the past several years has been predominately in new construction which has outpaced the growth in the residential remodeling and replacement sector;</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recovery of the housing market has slowed due primarily to the declining growth of multi-family units;</w:t>
      </w:r>
    </w:p>
    <w:p>
      <w:pPr>
        <w:spacing w:after="0" w:line="117"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rates in the U.K. and other European nations have changed significantly relative to the United States Dollar due in part to Brexit in the U.K., as well as other international unrest or uncertainties;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aluminum, wood and silicone products used by our other businesses; and</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efficiency standards in Europe should favorably impact sales of our insulating glass spacer products 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short- to mid-term.</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vision is to be the preferred supplier to our customers in each market we serve. Our strategy to achieve this vision includes the following:</w:t>
      </w:r>
    </w:p>
    <w:p>
      <w:pPr>
        <w:spacing w:after="0" w:line="117" w:lineRule="exact"/>
        <w:rPr>
          <w:sz w:val="20"/>
          <w:szCs w:val="20"/>
          <w:color w:val="auto"/>
        </w:rPr>
      </w:pPr>
    </w:p>
    <w:p>
      <w:pPr>
        <w:jc w:val="both"/>
        <w:ind w:left="660" w:hanging="166"/>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organic growth with our current customer base and expand our market share with national and regional customers by providing: (1) a quality product; (2) a high level of customer service; (3) product choices at different price points; and (4) new products or enhancements to existing product offerings. These enhancements may include higher thermal efficiency, enhanced functionality, improved weatherability, better appearance and best-in-class quality for our fenestration and cabinet door products;</w:t>
      </w:r>
    </w:p>
    <w:p>
      <w:pPr>
        <w:spacing w:after="0" w:line="71" w:lineRule="exact"/>
        <w:rPr>
          <w:rFonts w:ascii="Times New Roman" w:cs="Times New Roman" w:eastAsia="Times New Roman" w:hAnsi="Times New Roman"/>
          <w:sz w:val="18"/>
          <w:szCs w:val="18"/>
          <w:color w:val="auto"/>
        </w:rPr>
      </w:pPr>
    </w:p>
    <w:p>
      <w:pPr>
        <w:jc w:val="both"/>
        <w:ind w:left="66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logistics solutions that provide our customers with just-in-time service which can reduce their processing costs;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unprofitable service lines or customer relationships.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our strengths include design expertise, new technology development capability, high quality manufacturing, just-in-time delivery systems, customer service, the ability to generate unique patented products and participation in industry advocacy.</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purchase a diverse range of raw materials, which include PVC resin, epoxy resin, butyl, titanium dioxide (TiO2) desiccant powder, silicone and EPDM rubber compounds, coated and uncoated aluminum sheet and wood (both hardwood and softwood). These raw materials are generally available from several suppliers at market prices. We may enter into sole sourcing arrangements with our suppliers from time to time if we believe we can realize beneficial savings, but only after we have determined that the vendor can reliably supply our raw material requirements. These sole sourcing arrangements generally have termination clauses to protect us if a sole sourced vendor could not provide raw materials timely and on economically feasible terms. We believe there are other qualified suppliers from which we could purchase raw materials and supplies.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products are sold under highly competitive conditions. We compete with a number of companies, some of which have greater financial resources than us. We believe the primary competitive factors in the markets we serve include price, product quality, delivery and the ability to manufacture to customer specifications. The volume of engineered building products that we manufacture represents a small percentage of annual domestic consumption. Similarly, our subsidiaries in the U.K. compete against some larger vinyl producers and smaller window manufacturers. For our kitchen and bathroom cabinet door business, we believe we are the largest supplier to OEMs in the U.S., but we compete with other national and regional businesses, including OEMs who are vertically integrated.</w:t>
      </w:r>
    </w:p>
    <w:p>
      <w:pPr>
        <w:spacing w:after="0" w:line="13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vehicles, but we primarily serve the residential housing market. Competition is largely based on regional presence, custom engineering, product development, quality, service and price. Primary competitors include, but are not limited to, Veka, Deceuninck, Energi, Vision Extrusions, GED Integrated Solutions, Technoform, Swiss Spacer, Thermix, RiteScreen, Allmetal, and Endura. Competitors in the vinyl extrusion business in the U.K. include Epwin, Veka, Profine UK Extrustions Ltd., Eurocell and others. Primary competitors in the cabinet door business in the U.S. include Conestoga, Appalachian Wood, Olon, Northern Contours and others.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to customers in various countries. Therefore,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limited use of distributors and independent sales agents.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Doubtful Accounts," of the accompanying financial statements in this Annual Report on Form 10-K for related disclosure.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Backlog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Given the short lead times involved in our business, we have a relatively low backlog, approximately $30 million as of October 31, 2020. The criteria for revenue recognition has not been met with regard to sales backlog, and therefore, we have not recorded revenue or deferred revenue pursuant to these sales orders. If these sales orders result in a sale, we will record revenue during fiscal 2021 in accordance with our revenue recognition accounting policy.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We typically experience more favorable results in the third and fourth quarters of the fiscal year. Our exposure to seasonality was somewhat tempered with the entry into the kitchen and bathroom cabinet door industry, which is focused "inside the house" and less susceptible to inclement weather. Expenses for labor and other costs are generally semi-variable throughout the year.</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Service Marks, Trademarks, Trade Names, and Patents</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federally registered trademarks or service marks include QUANEX, QUANEX and design, "Q" design, TRUSEAL TECHNOLOGIES, DURASEAL, DURALITE, SOLARGAIN,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MIKRON and design, HOMESHIELD, HOMESHIELD and design, STORM SEAL, and TENON. We consider the following marks, design marks and associated trade names to be valuable in the conduct of our business: HOMESHIELD, TRUSEAL TECHNOLOGIES, EDGETECH, MIKRON, WOODCRAFT and QUANEX. Through Liniar, we hold a number of registered designs, patents and trademarks registered in the U.K., which include: MODLOK, LINIAR, SUPER CUT, ENERGY PLUS &amp; Device, FLAMSTEAD HOLDINGS &amp; Device, HL PLASTICS &amp; Device, VINTAGE WINDOWS &amp; Device, RESURGENCE, FUSE, ELEVATE, SWITCHBOARD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dyes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numerous patents, the proprietary process technology that has been developed is also considered a source of competitive advantage.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Environmental and Employee Safety Matters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 and Environmental Policies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Director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Compliance Costs</w:t>
      </w: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2021.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 xml:space="preserve">We track human </w:t>
      </w:r>
      <w:r>
        <w:rPr>
          <w:rFonts w:ascii="Times New Roman" w:cs="Times New Roman" w:eastAsia="Times New Roman" w:hAnsi="Times New Roman"/>
          <w:sz w:val="18"/>
          <w:szCs w:val="18"/>
          <w:color w:val="222222"/>
        </w:rPr>
        <w:t>capital metrics that we consider to be key to our business, including employee headcount, temporary workers, health and safety,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turnover. </w:t>
      </w:r>
      <w:r>
        <w:rPr>
          <w:rFonts w:ascii="Times New Roman" w:cs="Times New Roman" w:eastAsia="Times New Roman" w:hAnsi="Times New Roman"/>
          <w:sz w:val="18"/>
          <w:szCs w:val="18"/>
          <w:color w:val="000000"/>
        </w:rPr>
        <w:t>As of October 31, 2020, we had 3,767 employees. Of these employees, 2,980 were domiciled in the U.S., 694 in the U.K., and 93 in Germany.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Generally, the total number of employees of Quanex and its subsidiaries does not significantly fluctuate throughout the year. Currently, none of our employees are subject to collective bargaining agreements.</w:t>
      </w:r>
    </w:p>
    <w:p>
      <w:pPr>
        <w:spacing w:after="0" w:line="127"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 xml:space="preserve">Employee turnover rates are monitored monthly at the division and plant levels. Both voluntary and involuntary terminations, including retirements, are used to calculate the turnover rate. Our human capital objectives include attracting, developing, motivating, rewarding, and retaining our existing and new employees. We offer our employees online training courses and on-the-job training on job duties, safety requirements, and leadership skills. The health and safety of our employees is our high priority and in particular, in response to the COVID-19 pandemic. We have taken additional measures to limit possible infections at the workplace. </w:t>
      </w:r>
      <w:r>
        <w:rPr>
          <w:rFonts w:ascii="Times New Roman" w:cs="Times New Roman" w:eastAsia="Times New Roman" w:hAnsi="Times New Roman"/>
          <w:sz w:val="18"/>
          <w:szCs w:val="18"/>
          <w:color w:val="333333"/>
        </w:rPr>
        <w:t>See Part 2 Item 7, "Management's Discussion and Analysis of Financial Condition and Results of Operations - Notable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Items - COVID-19 Impacts," elsewhere in this Annual Report on Form 10-K for related disclosure.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http://www.quanex.com, as soon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purchase from outside sources significant amounts of raw materials, such as butyl, titanium dioxide, vinyl resin, aluminum, steel, silicone and wood products for use in our manufacturing facilities. Because we do not have long-term contracts for the supply of many of our raw materials, their availability and price are subject to market fluctuation and may be subject to curtailment or change. Any of these factors could affect our ability to timely and cost-effectively manufacture products for our customers.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Compliance with, or liabilities under, existing or future environmental laws and regulations could significantly increase our costs of doing business.</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indefinite-lived intangible assets may become impaired and could result in a charge to income.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We recorded goodwill impairment charges in 2019 and could record future impairment charges. Goodwill totaled $146.2 million at October 31, 2020. The results of goodwill impairment testing are described in the accompanying notes to the audited financial statements, Note 6, "Goodwill and Intangible Assets" of the accompanying financial statements in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 materially impact our profitability. Likewise, when such laws, regulations or initiatives expire, our business may experience a material loss in sales volume or an increase in production costs as a result of the decline in consumer demand.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within the U.K. may be negatively affected as a result of the U.K.'s exit from the European Union (E.U.), (commonly referred to as Brexit).</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operations located within the U.K., and as such, our business and financial results may be negatively impacted as a result of Brexit, resulting primarily from (a) continued depression in the value of the British Pound Sterling as compared to the United States Dollar; and (b) potential price increases or unavailability of supplies purchased by our U.K. businesses from companies located in the E.U. or elsewhere. If the value of the British Pound Sterling continues to fluctuate as a result of Brexit, unfavorable exchange rate changes may negatively affect the value of our operations and businesses located in the U.K., as translated to our reporting currency, the United States Dollar, in accordance with U.S. GAAP, which may impact the revenue and earnings we report. For more information with respect to Exchange Rate risk applicable to us, please see Part 2 Item 7A. "Market Risk Disclosures," elsewhere in this Annual Report on Form 10-K. Continued fluctuations in the British Pound Sterling may also result in the imposition of price adjustments by E.U.-based suppliers to our U.K. businesses, as those suppliers seek to compensate for the changes in value of the British Pound Sterling as compared to the European Euro.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controls could have a material adverse effect on our business and on our stock price.</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foreign trade relations and associated tariffs could adversely impact our business.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currently source a number of raw materials from international suppliers. Import tariffs, taxes, customs duties and/or other trading regulations imposed by the U.S. government on foreign countries, or by foreign countries on the U.S., could significantly increase the prices we pay for certain raw materials, such as aluminum and wood, that are critical to our ability to manufacture our products. In addition, we may be unable to find a domestic supplier to provide the necessary raw materials on an economical basis in the amounts we require.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Risks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their customers.</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 improvements. However, our efforts in this regard may not be successful and our operating margins could be negatively impacted.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revenues could decline or we may lose business if our customers vertically integrate their operations, diversify their supplier base, or transfer manufacturing capacity to other regions.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or a shift in regional focus, our revenue, general financial condition and results of operations could be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credit facility contains certain operational restrictions, reporting requirements, and financial covenants that limit the aggregate availability of funds.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"Management’s Discussion and Analysis of Financial Conditions and Results of Operations-Liquidity and Capital Resources," included elsewhere in this Annual Report on Form 10-K.</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manage or integrate acquisitions, and if we are unable to do so, then our profitability could be adversely affected.</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we will successfully manage or integrate acquisition targets once we have purchased them. If we acquire a business for which we do not fully understand or appreciate the specific business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data security and privacy risks that could negatively affect our results or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our own sensitive and proprietary business information, we collect transactional and personal information about our customers and employees. Any breach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relationships, and could also result in unwanted media attention, reputational damage, or the imposition of fines, lawsuits, or significant legal or remediation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pandemics or other disease outbreaks could significantly disrupt our operations or those of our customers or suppliers.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the COVID-19 coronavirus continues to spread worldwide, or if similar widespread disease outbreaks occur in the future, our business, financial condition and results of operations could be negatively affected to the extent such event harms the worldwide economy or region in which we operate.</w:t>
      </w:r>
    </w:p>
    <w:p>
      <w:pPr>
        <w:spacing w:after="0" w:line="10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occurrence of a widespread health epidemic or pandemic. In particular, any outbreak or resurgence of COVID-19, or any governmental imposition of mandatory or voluntary closures in areas where our manufacturing facilities, suppliers or customers are located, could severely disrupt our operations and result in (a) plant slowdowns or shutdowns, (b) difficulty obtaining necessary supplies, and</w:t>
      </w:r>
    </w:p>
    <w:p>
      <w:pPr>
        <w:spacing w:after="0" w:line="1" w:lineRule="exact"/>
        <w:rPr>
          <w:sz w:val="20"/>
          <w:szCs w:val="20"/>
          <w:color w:val="auto"/>
        </w:rPr>
      </w:pPr>
    </w:p>
    <w:p>
      <w:pPr>
        <w:jc w:val="both"/>
        <w:ind w:firstLine="8"/>
        <w:spacing w:after="0" w:line="255"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customer orders and revenues. In addition to this potential direct 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3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COVID-19 pandemic could also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have the right personnel in place to achieve our operating goals, and the rural location of some of our operations may make it difficult to locate or hire highly skilled employees.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operate in some rural areas and small towns where the competition for labor can be fierce, and where the pool of qualified employees may be very small. If we are unable to obtain or retain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failures or catastrophic loss at any of our manufacturing facilities could prevent us from producing our products.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insurance coverage may be inapplicable or inadequate to cover certain liabilities, and our insurance policies may exclude coverage for certain matters.</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high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Investment in Quanex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the ability to issue additional equity securities, which would lead to dilution of our issued and outstanding common stock.</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37,296,166 were issued at October 31, 2020. These authorized shares can be issued, without stockholder approval, as securities convertible into either common stock or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our principal properties by location, general character and use as of October 31,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Character &amp; Use of Property</w:t>
            </w:r>
          </w:p>
        </w:tc>
      </w:tr>
      <w:tr>
        <w:trPr>
          <w:trHeight w:val="223"/>
        </w:trPr>
        <w:tc>
          <w:tcPr>
            <w:tcW w:w="55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Offices</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19"/>
                <w:szCs w:val="19"/>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Houston, Texas*</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corporate office</w:t>
            </w: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Fenestration Segment</w:t>
            </w:r>
          </w:p>
        </w:tc>
        <w:tc>
          <w:tcPr>
            <w:tcW w:w="5580" w:type="dxa"/>
            <w:vAlign w:val="bottom"/>
            <w:shd w:val="clear" w:color="auto" w:fill="CCEEFF"/>
          </w:tcPr>
          <w:p>
            <w:pPr>
              <w:spacing w:after="0"/>
              <w:rPr>
                <w:sz w:val="19"/>
                <w:szCs w:val="19"/>
                <w:color w:val="auto"/>
              </w:rPr>
            </w:pPr>
          </w:p>
        </w:tc>
      </w:tr>
      <w:tr>
        <w:trPr>
          <w:trHeight w:val="230"/>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Akron,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executive office and R&amp;D facility</w:t>
            </w: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Rice Lake, Wisconsin</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30"/>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Cambridge,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Flexible spacer and solar adhesives</w:t>
            </w: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Richmond, Kentucky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Kent, Washington*</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Fenestration Segment</w:t>
            </w:r>
          </w:p>
        </w:tc>
        <w:tc>
          <w:tcPr>
            <w:tcW w:w="5580" w:type="dxa"/>
            <w:vAlign w:val="bottom"/>
            <w:shd w:val="clear" w:color="auto" w:fill="CCEEFF"/>
          </w:tcPr>
          <w:p>
            <w:pPr>
              <w:spacing w:after="0"/>
              <w:rPr>
                <w:sz w:val="19"/>
                <w:szCs w:val="19"/>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Denby, United Kingdom*</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Heinsberg, Germany*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Flexible spacer</w:t>
            </w:r>
          </w:p>
        </w:tc>
      </w:tr>
      <w:tr>
        <w:trPr>
          <w:trHeight w:val="230"/>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Cabinet Components Segment</w:t>
            </w:r>
          </w:p>
        </w:tc>
        <w:tc>
          <w:tcPr>
            <w:tcW w:w="5580" w:type="dxa"/>
            <w:vAlign w:val="bottom"/>
          </w:tcPr>
          <w:p>
            <w:pPr>
              <w:spacing w:after="0"/>
              <w:rPr>
                <w:sz w:val="19"/>
                <w:szCs w:val="19"/>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 Cloud, Minnesota</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Hardwood doors &amp; components for kitchen and bath</w:t>
            </w:r>
          </w:p>
        </w:tc>
      </w:tr>
      <w:tr>
        <w:trPr>
          <w:trHeight w:val="324"/>
        </w:trPr>
        <w:tc>
          <w:tcPr>
            <w:tcW w:w="5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These locations are leased as of October 31, 2020.</w:t>
            </w:r>
          </w:p>
        </w:tc>
        <w:tc>
          <w:tcPr>
            <w:tcW w:w="5580" w:type="dxa"/>
            <w:vAlign w:val="bottom"/>
          </w:tcPr>
          <w:p>
            <w:pPr>
              <w:spacing w:after="0"/>
              <w:rPr>
                <w:sz w:val="24"/>
                <w:szCs w:val="24"/>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locations identified above, our North American Fenestration Segment maintains 14 additional facilities for the manufacture and distribution of fenestration, spacer and extrusion products within the continental U.S., our European Fenestration Segment maintains one additional location for the production of spacer in the U.K., and our North American Cabinet Components Segment maintains 11 locations to manufacture hardwood doors and other wood components for kitchen and bath cabinets. We maintain a lease in Yakima, Washington, which will expire in February 2021, related to a location which was closed as a result of restructuring activities. See Note 1, "Nature of Operations, Basis of Presentation and Significant Accounting Policies - Restructuring," to the accompanying consolidated financial statements included elsewhere in this Annual Report on Form 10-K.</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our operating properties are in good condition and well maintained, and are generally suitable and adequate to carry on our business. In fiscal 2020, on a consolidated basis, our facilities operated at approximately 58% of capacity. This capacity utilization is subject to variability by product line, seasonality, and location.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Several claims were resolved during fiscal 2018, 2019 and 2020, and we continue to defend the remaining claims.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For discussion of environmental issues, see Item 1, "Business - Environmental and Employee Safety Matters,” discussed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under the ticker symbol NX since April 24, 2008. Electronic copies of our public filings are available on the Securities and Exchange Commission's website (www.sec.gov). There were approximately 1,783 holders of our common stock (excluding individual participants in securities positions listings) on record as of December 4,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equity compensation to our employees, officers and directors under equity compensation plans as of October 31, 2020:</w:t>
      </w: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2"/>
                <w:szCs w:val="12"/>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8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w:t>
            </w:r>
            <w:r>
              <w:rPr>
                <w:rFonts w:ascii="Times New Roman" w:cs="Times New Roman" w:eastAsia="Times New Roman" w:hAnsi="Times New Roman"/>
                <w:sz w:val="17"/>
                <w:szCs w:val="17"/>
                <w:b w:val="1"/>
                <w:bCs w:val="1"/>
                <w:color w:val="auto"/>
                <w:w w:val="95"/>
                <w:vertAlign w:val="superscript"/>
              </w:rPr>
              <w:t>(1)</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17"/>
                <w:szCs w:val="17"/>
                <w:b w:val="1"/>
                <w:bCs w:val="1"/>
                <w:color w:val="auto"/>
                <w:w w:val="99"/>
                <w:vertAlign w:val="superscript"/>
              </w:rPr>
              <w:t>(2)</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1,095,329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1,799,174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420" w:hanging="7"/>
        <w:spacing w:after="0" w:line="235" w:lineRule="auto"/>
        <w:tabs>
          <w:tab w:leader="none" w:pos="614"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Column (a) includes securities that may be issued upon future vesting of performance share awards that have been previously granted to key employees and officers. The number of securities reflected in this column includes the maximum number of shares that would be issued pursuant to these performance share awards assuming the performance measures are achieved. The performance measures may not be achieved.</w:t>
      </w:r>
    </w:p>
    <w:p>
      <w:pPr>
        <w:spacing w:after="0" w:line="145" w:lineRule="exact"/>
        <w:rPr>
          <w:rFonts w:ascii="Times New Roman" w:cs="Times New Roman" w:eastAsia="Times New Roman" w:hAnsi="Times New Roman"/>
          <w:sz w:val="23"/>
          <w:szCs w:val="23"/>
          <w:color w:val="auto"/>
          <w:vertAlign w:val="superscript"/>
        </w:rPr>
      </w:pPr>
    </w:p>
    <w:p>
      <w:pPr>
        <w:jc w:val="both"/>
        <w:ind w:left="420" w:hanging="7"/>
        <w:spacing w:after="0" w:line="235" w:lineRule="auto"/>
        <w:tabs>
          <w:tab w:leader="none" w:pos="614"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in column (b) does not include the impacts of the performance share awards or any securities that may be issued thereunder. For additional details, see Note 13, "Stock-Based Compensation," of the accompanying financial statements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is a table summarizing the program and the repurchase of shares during the quarter ended October 31, 2020.</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Maximum US Dollars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 Average Price Paid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that May Yet Be</w:t>
            </w: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jc w:val="right"/>
              <w:ind w:right="45"/>
              <w:spacing w:after="0" w:line="68" w:lineRule="exact"/>
              <w:rPr>
                <w:sz w:val="20"/>
                <w:szCs w:val="20"/>
                <w:color w:val="auto"/>
              </w:rPr>
            </w:pPr>
            <w:r>
              <w:rPr>
                <w:rFonts w:ascii="Times New Roman" w:cs="Times New Roman" w:eastAsia="Times New Roman" w:hAnsi="Times New Roman"/>
                <w:sz w:val="7"/>
                <w:szCs w:val="7"/>
                <w:b w:val="1"/>
                <w:bCs w:val="1"/>
                <w:color w:val="auto"/>
              </w:rPr>
              <w:t>(1)</w:t>
            </w:r>
          </w:p>
        </w:tc>
        <w:tc>
          <w:tcPr>
            <w:tcW w:w="120" w:type="dxa"/>
            <w:vAlign w:val="bottom"/>
          </w:tcPr>
          <w:p>
            <w:pPr>
              <w:spacing w:after="0"/>
              <w:rPr>
                <w:sz w:val="5"/>
                <w:szCs w:val="5"/>
                <w:color w:val="auto"/>
              </w:rPr>
            </w:pPr>
          </w:p>
        </w:tc>
        <w:tc>
          <w:tcPr>
            <w:tcW w:w="1460" w:type="dxa"/>
            <w:vAlign w:val="bottom"/>
          </w:tcPr>
          <w:p>
            <w:pPr>
              <w:jc w:val="right"/>
              <w:ind w:right="303"/>
              <w:spacing w:after="0" w:line="68" w:lineRule="exact"/>
              <w:rPr>
                <w:sz w:val="20"/>
                <w:szCs w:val="20"/>
                <w:color w:val="auto"/>
              </w:rPr>
            </w:pPr>
            <w:r>
              <w:rPr>
                <w:rFonts w:ascii="Times New Roman" w:cs="Times New Roman" w:eastAsia="Times New Roman" w:hAnsi="Times New Roman"/>
                <w:sz w:val="7"/>
                <w:szCs w:val="7"/>
                <w:b w:val="1"/>
                <w:bCs w:val="1"/>
                <w:color w:val="auto"/>
              </w:rPr>
              <w:t>(1)</w:t>
            </w:r>
          </w:p>
        </w:tc>
        <w:tc>
          <w:tcPr>
            <w:tcW w:w="100" w:type="dxa"/>
            <w:vAlign w:val="bottom"/>
          </w:tcPr>
          <w:p>
            <w:pPr>
              <w:spacing w:after="0"/>
              <w:rPr>
                <w:sz w:val="5"/>
                <w:szCs w:val="5"/>
                <w:color w:val="auto"/>
              </w:rPr>
            </w:pPr>
          </w:p>
        </w:tc>
        <w:tc>
          <w:tcPr>
            <w:tcW w:w="152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Part of Publicly</w:t>
            </w:r>
          </w:p>
        </w:tc>
        <w:tc>
          <w:tcPr>
            <w:tcW w:w="120" w:type="dxa"/>
            <w:vAlign w:val="bottom"/>
          </w:tcPr>
          <w:p>
            <w:pPr>
              <w:spacing w:after="0"/>
              <w:rPr>
                <w:sz w:val="5"/>
                <w:szCs w:val="5"/>
                <w:color w:val="auto"/>
              </w:rPr>
            </w:pPr>
          </w:p>
        </w:tc>
        <w:tc>
          <w:tcPr>
            <w:tcW w:w="180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Used to Purchase Shares</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2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16"/>
                <w:szCs w:val="16"/>
                <w:color w:val="auto"/>
              </w:rPr>
            </w:pP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2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$11,722,595</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4440" w:type="dxa"/>
            <w:vAlign w:val="bottom"/>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30,001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w:t>
            </w:r>
          </w:p>
        </w:tc>
        <w:tc>
          <w:tcPr>
            <w:tcW w:w="1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$11,185,997</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444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9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$11,182,343</w:t>
            </w:r>
          </w:p>
        </w:tc>
        <w:tc>
          <w:tcPr>
            <w:tcW w:w="0" w:type="dxa"/>
            <w:vAlign w:val="bottom"/>
          </w:tcPr>
          <w:p>
            <w:pPr>
              <w:spacing w:after="0"/>
              <w:rPr>
                <w:sz w:val="1"/>
                <w:szCs w:val="1"/>
                <w:color w:val="auto"/>
              </w:rPr>
            </w:pPr>
          </w:p>
        </w:tc>
      </w:tr>
      <w:tr>
        <w:trPr>
          <w:trHeight w:val="22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30,201</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420" w:hanging="7"/>
        <w:spacing w:after="0" w:line="241" w:lineRule="auto"/>
        <w:tabs>
          <w:tab w:leader="none" w:pos="61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2020 and 2019, we purchased 450,000 and 583,398 shares, respectively, at a cost of $7.2 million and $9.6 million, respectively,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Standard &amp; Poor’s 500 Index (S&amp;P 500 Index), the Russell 2000 Index, and a peer group index selected by us, which includes companies offering similar products and services to ours. The companies in our peer group for the year ended October 31, 2020 are AAON Inc., American Woodmark Corp, Apogee Enterprises Inc., Armstrong Flooring Inc., Continental Building Products Inc., Cornerstone Building Brands Inc., CSW Industrials Inc., Gibraltar Industries Inc., Griffon Corporation, Insteel Industries Inc., L.B. Foster Company, Masonite International Corp, Mueller Water Products, Inc., Patrick Industries Inc., PGT Innovations, Inc., Simpson Manufacturing Company Inc.,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96520</wp:posOffset>
            </wp:positionV>
            <wp:extent cx="6000750" cy="4852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0"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INDEXED RETURNS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Name / Index</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10/31/2019</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10/31/2020</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Quanex Building Products Corporation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118.28</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80.68</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107.13</w:t>
            </w:r>
          </w:p>
        </w:tc>
        <w:tc>
          <w:tcPr>
            <w:tcW w:w="8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129.21</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138.70</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158.57</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173.97</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142.22</w:t>
            </w:r>
          </w:p>
        </w:tc>
        <w:tc>
          <w:tcPr>
            <w:tcW w:w="8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142.03</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Peer Group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149.71</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table presents selected historical consolidated financial and operating data for the periods shown. The selected consolidated financial data as of October 31, 2020, 2019, 2018, 2017 and 2016 and for each of the fiscal years then ended was derived from our audited consolidated financial statements for those dates and periods, adjusted for discontinued operations, as indicated. Data reflects the adoption of accounting standards updates and accounting changes made during the year ended October 31, 2020. The following information should be read in conjunction with Item 7, “Management’s Discussion and Analysis of Financial Condition and Results of Operations,” and our audited financial statements and related notes included elsewhere in this Annual Report on Form 10-K.</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40"/>
              <w:spacing w:after="0" w:line="214" w:lineRule="exact"/>
              <w:rPr>
                <w:sz w:val="20"/>
                <w:szCs w:val="20"/>
                <w:color w:val="auto"/>
              </w:rPr>
            </w:pPr>
            <w:r>
              <w:rPr>
                <w:rFonts w:ascii="Times New Roman" w:cs="Times New Roman" w:eastAsia="Times New Roman" w:hAnsi="Times New Roman"/>
                <w:sz w:val="24"/>
                <w:szCs w:val="24"/>
                <w:b w:val="1"/>
                <w:bCs w:val="1"/>
                <w:color w:val="auto"/>
                <w:vertAlign w:val="subscript"/>
              </w:rPr>
              <w:t>2020</w:t>
            </w:r>
            <w:r>
              <w:rPr>
                <w:rFonts w:ascii="Times New Roman" w:cs="Times New Roman" w:eastAsia="Times New Roman" w:hAnsi="Times New Roman"/>
                <w:sz w:val="9"/>
                <w:szCs w:val="9"/>
                <w:b w:val="1"/>
                <w:bCs w:val="1"/>
                <w:color w:val="auto"/>
              </w:rPr>
              <w:t>(1)(2)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1"/>
              <w:spacing w:after="0" w:line="214" w:lineRule="exact"/>
              <w:rPr>
                <w:sz w:val="20"/>
                <w:szCs w:val="20"/>
                <w:color w:val="auto"/>
              </w:rPr>
            </w:pPr>
            <w:r>
              <w:rPr>
                <w:rFonts w:ascii="Times New Roman" w:cs="Times New Roman" w:eastAsia="Times New Roman" w:hAnsi="Times New Roman"/>
                <w:sz w:val="24"/>
                <w:szCs w:val="24"/>
                <w:b w:val="1"/>
                <w:bCs w:val="1"/>
                <w:color w:val="auto"/>
                <w:vertAlign w:val="subscript"/>
              </w:rPr>
              <w:t>2019</w:t>
            </w:r>
            <w:r>
              <w:rPr>
                <w:rFonts w:ascii="Times New Roman" w:cs="Times New Roman" w:eastAsia="Times New Roman" w:hAnsi="Times New Roman"/>
                <w:sz w:val="9"/>
                <w:szCs w:val="9"/>
                <w:b w:val="1"/>
                <w:bCs w:val="1"/>
                <w:color w:val="auto"/>
              </w:rPr>
              <w:t>(2)(3)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00"/>
              <w:spacing w:after="0" w:line="214" w:lineRule="exact"/>
              <w:rPr>
                <w:sz w:val="20"/>
                <w:szCs w:val="20"/>
                <w:color w:val="auto"/>
              </w:rPr>
            </w:pPr>
            <w:r>
              <w:rPr>
                <w:rFonts w:ascii="Times New Roman" w:cs="Times New Roman" w:eastAsia="Times New Roman" w:hAnsi="Times New Roman"/>
                <w:sz w:val="24"/>
                <w:szCs w:val="24"/>
                <w:b w:val="1"/>
                <w:bCs w:val="1"/>
                <w:color w:val="auto"/>
                <w:vertAlign w:val="subscript"/>
              </w:rPr>
              <w:t>2018</w:t>
            </w:r>
            <w:r>
              <w:rPr>
                <w:rFonts w:ascii="Times New Roman" w:cs="Times New Roman" w:eastAsia="Times New Roman" w:hAnsi="Times New Roman"/>
                <w:sz w:val="9"/>
                <w:szCs w:val="9"/>
                <w:b w:val="1"/>
                <w:bCs w:val="1"/>
                <w:color w:val="auto"/>
              </w:rPr>
              <w:t>(2)(4)(5)</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line="215" w:lineRule="exact"/>
              <w:rPr>
                <w:sz w:val="20"/>
                <w:szCs w:val="20"/>
                <w:color w:val="auto"/>
              </w:rPr>
            </w:pPr>
            <w:r>
              <w:rPr>
                <w:rFonts w:ascii="Times New Roman" w:cs="Times New Roman" w:eastAsia="Times New Roman" w:hAnsi="Times New Roman"/>
                <w:sz w:val="16"/>
                <w:szCs w:val="16"/>
                <w:b w:val="1"/>
                <w:bCs w:val="1"/>
                <w:color w:val="auto"/>
              </w:rPr>
              <w:t>2017</w:t>
            </w:r>
            <w:r>
              <w:rPr>
                <w:rFonts w:ascii="Times New Roman" w:cs="Times New Roman" w:eastAsia="Times New Roman" w:hAnsi="Times New Roman"/>
                <w:sz w:val="21"/>
                <w:szCs w:val="21"/>
                <w:b w:val="1"/>
                <w:bCs w:val="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line="214" w:lineRule="exact"/>
              <w:rPr>
                <w:sz w:val="20"/>
                <w:szCs w:val="20"/>
                <w:color w:val="auto"/>
              </w:rPr>
            </w:pPr>
            <w:r>
              <w:rPr>
                <w:rFonts w:ascii="Times New Roman" w:cs="Times New Roman" w:eastAsia="Times New Roman" w:hAnsi="Times New Roman"/>
                <w:sz w:val="24"/>
                <w:szCs w:val="24"/>
                <w:b w:val="1"/>
                <w:bCs w:val="1"/>
                <w:color w:val="auto"/>
                <w:vertAlign w:val="subscript"/>
              </w:rPr>
              <w:t>2016</w:t>
            </w:r>
            <w:r>
              <w:rPr>
                <w:rFonts w:ascii="Times New Roman" w:cs="Times New Roman" w:eastAsia="Times New Roman" w:hAnsi="Times New Roman"/>
                <w:sz w:val="9"/>
                <w:szCs w:val="9"/>
                <w:b w:val="1"/>
                <w:bCs w:val="1"/>
                <w:color w:val="auto"/>
              </w:rPr>
              <w:t>(2)(6)(7)</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6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851,573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893,841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889,785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928,184</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and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694,420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710,947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115,012</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53,146</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impairment charges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35,948</w:t>
            </w: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Non-operating (expense) income: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(36,498)</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&amp; Operating Data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87,341</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(282,103)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(used for) provided by financing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195,448</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(245,904)</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37,243</w:t>
            </w: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Consolidated Balance Sheet Data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25,526</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645,110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781,418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excluding current portion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259,011</w:t>
            </w:r>
          </w:p>
        </w:tc>
        <w:tc>
          <w:tcPr>
            <w:tcW w:w="0" w:type="dxa"/>
            <w:vAlign w:val="bottom"/>
          </w:tcPr>
          <w:p>
            <w:pPr>
              <w:spacing w:after="0"/>
              <w:rPr>
                <w:sz w:val="1"/>
                <w:szCs w:val="1"/>
                <w:color w:val="auto"/>
              </w:rPr>
            </w:pPr>
          </w:p>
        </w:tc>
      </w:tr>
      <w:tr>
        <w:trPr>
          <w:trHeight w:val="210"/>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335,826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314,923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347,992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367,252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412,742</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firstLine="8"/>
        <w:spacing w:after="0" w:line="272" w:lineRule="auto"/>
        <w:tabs>
          <w:tab w:leader="none" w:pos="179"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results for 2020 include impacts of the COVID-19 pandemic. See Item 7, "Management's Discussion and Analysis of Financial Condition and Results of Operations - </w:t>
      </w:r>
      <w:r>
        <w:rPr>
          <w:rFonts w:ascii="Times New Roman" w:cs="Times New Roman" w:eastAsia="Times New Roman" w:hAnsi="Times New Roman"/>
          <w:sz w:val="16"/>
          <w:szCs w:val="16"/>
          <w:i w:val="1"/>
          <w:iCs w:val="1"/>
          <w:color w:val="auto"/>
        </w:rPr>
        <w:t>Notable Items,</w:t>
      </w:r>
      <w:r>
        <w:rPr>
          <w:rFonts w:ascii="Times New Roman" w:cs="Times New Roman" w:eastAsia="Times New Roman" w:hAnsi="Times New Roman"/>
          <w:sz w:val="16"/>
          <w:szCs w:val="16"/>
          <w:color w:val="auto"/>
        </w:rPr>
        <w:t>" included elsewhere in this Annual Report on Form 10-K.</w:t>
      </w:r>
    </w:p>
    <w:p>
      <w:pPr>
        <w:spacing w:after="0" w:line="111" w:lineRule="exact"/>
        <w:rPr>
          <w:rFonts w:ascii="Times New Roman" w:cs="Times New Roman" w:eastAsia="Times New Roman" w:hAnsi="Times New Roman"/>
          <w:sz w:val="21"/>
          <w:szCs w:val="21"/>
          <w:color w:val="auto"/>
          <w:vertAlign w:val="superscript"/>
        </w:rPr>
      </w:pPr>
    </w:p>
    <w:p>
      <w:pPr>
        <w:ind w:firstLine="8"/>
        <w:spacing w:after="0" w:line="229" w:lineRule="auto"/>
        <w:tabs>
          <w:tab w:leader="none" w:pos="19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costs were incurred associated with the closure of several plant facilities. See Note 1, "Nature of Operations, Basis of Presentation and Significant Accounting Policies - Restructuring," of the accompanying financial statements in this Annual Report on Form 10-K.</w:t>
      </w:r>
    </w:p>
    <w:p>
      <w:pPr>
        <w:spacing w:after="0" w:line="125"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2019, we recorded goodwill impairment charges of $74.6 million associated with our cabinet components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8"/>
        <w:spacing w:after="0" w:line="229" w:lineRule="auto"/>
        <w:tabs>
          <w:tab w:leader="none" w:pos="19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October 2018, we refinanced our credit facility resulting in a charge of $1.1 million of unamortized deferred financing fees. See Note 8, "Debt and Finance Lease Obligations," included elsewhere in this Annual Report on Form 10-K.</w:t>
      </w:r>
    </w:p>
    <w:p>
      <w:pPr>
        <w:spacing w:after="0" w:line="144" w:lineRule="exact"/>
        <w:rPr>
          <w:rFonts w:ascii="Times New Roman" w:cs="Times New Roman" w:eastAsia="Times New Roman" w:hAnsi="Times New Roman"/>
          <w:sz w:val="23"/>
          <w:szCs w:val="23"/>
          <w:color w:val="auto"/>
          <w:vertAlign w:val="superscript"/>
        </w:rPr>
      </w:pPr>
    </w:p>
    <w:p>
      <w:pPr>
        <w:ind w:firstLine="8"/>
        <w:spacing w:after="0" w:line="229" w:lineRule="auto"/>
        <w:tabs>
          <w:tab w:leader="none" w:pos="20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2018, we recorded a $6.5 million net benefit related to the tax effect of implementing the Tax Cuts and Jobs Act, which was signed into law on December 22, 2017. See Note 10, "Income Taxes,"included elsewhere in this Annual Report on Form 10-K.</w:t>
      </w:r>
    </w:p>
    <w:p>
      <w:pPr>
        <w:spacing w:after="0" w:line="144" w:lineRule="exact"/>
        <w:rPr>
          <w:rFonts w:ascii="Times New Roman" w:cs="Times New Roman" w:eastAsia="Times New Roman" w:hAnsi="Times New Roman"/>
          <w:sz w:val="23"/>
          <w:szCs w:val="23"/>
          <w:color w:val="auto"/>
          <w:vertAlign w:val="superscript"/>
        </w:rPr>
      </w:pPr>
    </w:p>
    <w:p>
      <w:pPr>
        <w:jc w:val="both"/>
        <w:ind w:right="20" w:firstLine="8"/>
        <w:spacing w:after="0" w:line="251" w:lineRule="auto"/>
        <w:tabs>
          <w:tab w:leader="none" w:pos="18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July 2016, we refinanced our credit facility resulting in a $3.1 million prepayment call premium fee, a charge of $8.1 million of unamortized deferred financing fees and a charge of $5.5 million of unamortized original issuer’s discount. See Note 8, "Debt and Finance Lease Obligations," included elsewhere in this Annual Report on Form 10-K.</w:t>
      </w:r>
    </w:p>
    <w:p>
      <w:pPr>
        <w:spacing w:after="0" w:line="117"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October 2016, we recorded a goodwill impairment charge of $12.6 million associated with our U.S. vinyl extrusion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the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discussed elsewhere within this Annual Report on Form 10-K. For a listing of potential risks and uncertainties which impact our business and industry, see "Item 1A. Risk Factors." Actual results could differ from our expectations due to several factors which include, but are not limited to: the impact of the ongoing COVID-19 pandemic, market price and demand for our products, economic and competitive conditions, capital expenditures, new technology, regulatory changes and other uncertainties. Unless otherwise required by law, we undertake no obligation to publicly update any forward-looking statements, even if new information becomes available or other events occur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manufacture components for original equipment manufacturers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fencing, water retention barriers, and conservatory roof components.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consolidated financial statements. Corporate general and administrative expenses allocated during the years ended October 31, 2020, 2019 and 2018 were $21.7 million, $18.3 million and $18.7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Notable Items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COVID-19 Impacts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federal, state and local governments react to the public health crisis, significant uncertainties have been created in the economy. The COVID-19 pandemic and its related effects continue to have a significant adverse effect on many sectors of the economy and we may be further impacted.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part of our response to the COVID-19 pandemic, we have taken the following measures:</w:t>
      </w:r>
    </w:p>
    <w:p>
      <w:pPr>
        <w:spacing w:after="0" w:line="171" w:lineRule="exact"/>
        <w:rPr>
          <w:sz w:val="20"/>
          <w:szCs w:val="20"/>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provide our products to support critical infrastructure needs while following national, state, and local guidelines required to continue operations during the existence of the pandemic and related local declarations of emergency. All manufacturing facilities in the United States and Germany remained operational for the duration of the pandemic while both U.K. plants shut down in late March 2020 and became operational again during May 2020. However, local or regional hotspots of the pandemic could result in other locations being temporarily idled due to the need to deep clean areas where an employee who has tested positive for COVID-19 worked.</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currently expect any negative impact on sales to be temporary and minimal, the duration of the COVID-19 pandemic, the actions to contain the pandemic and treat its impacts, and the effects on our operations are highly uncertain and cannot be predicted at this time.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reassessed and adjusted our operational needs, including reducing our 2020 capital expenditure plans by approximately 25% to 30%.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precautionary measures intended to help minimize the risk of the virus to our employees, including temporarily requiring some employees to work remotely.</w:t>
      </w:r>
    </w:p>
    <w:p>
      <w:pPr>
        <w:jc w:val="both"/>
        <w:ind w:left="660" w:right="2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Cuts and Job Act</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December 22, 2017, President Trump signed into law the Tax Cuts and Jobs Act (the Act) that included sweeping tax reform which affected U.S. corporations, including a reduction of the statutory federal corporate tax rate from 35% to 21%. We made an initial assessment of the Act and recorded a discrete benefit of $6.5 million, which included a charge of $1.2 million for a one-time mandatory transition tax on deemed repatriation of previously tax-deferred and unremitted foreign earnings during the fiscal year ended October 31, 2018. We completed the accounting for the income tax effects of the Act and recorded a charge of $0.4 million for the re-measurement of the one-time mandatory transition tax during the year ended October 31, 2019. The Act also imposed additional tax law changes that became effective during fiscal 2019, which include new requirements for a global intangible low-taxed income provision (GILTI) and a deduction for foreign-derived intangible income (FDII), which resulted in a net charge of $1.2 million during the year ended October 31,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Overview and Outlook</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2020, the NAHB forecasted calendar-year housing starts (excluding manufactured units) to be 1.4 million in 2020, 1.3 million in 2021, and 1.4 million in 2022. The November 2020 Ducker forecast indicated that window shipments in the R&amp;R market are expected to decrease approximately 1% for calendar year 2020 and increase 2% and 3% in 2021 and 2022, respectively. Derived from reports published by Ducker, the overall decrease in window shipments for the trailing twelve months ended September 30, 2020 was 0.3%. During this period, new construction activities increased 1.1% and R&amp;R decreased 1.4%. In November 2020, Catalina Research estimated that residential semi-custom cabinet demand in the U.S. will decline approximately 6% in 2020, however, 2021 is estimated to grow 3.7%. In line with market forecasts, we expect that some sales originally planned for the year ended October 31, 2020 may be realized during the years ended October 31, 2021 and 2022.</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U.K. vinyl business (commonly referred to as "Liniar") is largely focused on the sale of vinyl house systems under the trade name “Liniar” to smaller window manufacturers in the U.K. Liniar is one of the larger providers of vinyl extruded products in the U.K. in terms of volume shipped. Currently, the U.K. is experiencing a shortage in affordable housing, with rising demand due in part to a growing immigrant population. Liniar’s current primary customers are smaller window fabricators, as opposed to the larger OEMs that comprise a large portion of the North American market. These manufacturers seek the quality and technology of the specific products identified by the Liniar trade name. In addition, Liniar services non-fenestration markets including the manufacture of roofing for conservatories, vinyl decking and vinyl water retention barriers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used for landscaping. We believe there are growth opportunities within these markets in the U.K. and potential synergies which may enable us to sell complementary products.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NA Cabinet Components manufactures kitchen and bathroom cabinet doors and components, amongst other products, using a variety of woods from traditional hardwoods to engineered wood products. Currently, most of the revenue in the NA Cabinet Components is earned in the U.S., so domestic housing starts and R&amp;R activity constitute the primary drivers of this business as well. The cabinet door market is stratified as follows: stock (low-cost, low-variations), semi-custom (more customized, just-in-time manufacturing, higher price point) and custom (precise customer specifications, just-in-time manufacturing, high-end price point). NA Cabinet Component's primary market is semi-custom.</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business is seasonal, particularly our fenestration business, as inclement weather during the winter months tends to slow down construction, particularly as related to “outside of the house” construction. To some extent, we believe our kitchen and bathroom cabinet door business lessens the impact of seasonality on our operating results, as the cabinet business is “inside of the house” and less susceptible to weather.</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 Thus far we have not experienced any supply or logistics disruptions as lower demand has not required us to source the same level of supply.</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23, 2016, citizens of the U.K. voted to exit the European Union (E.U.) (referred to as Brexit). In October 2019, the U.K. and E.U. ratified a withdrawal agreement, and subsequently the U.K. left the E.U. on January 31, 2020. A transition period is in place until December 31, 2020 while the U.K. and E.U. negotiate additional arrangements. The current E.U. rules for trade, travel, and business for the U.K. will lapse on December 31, 2020 with any new rules taking effect January 1, 2021.</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Given the lack of comparable precedent, it is difficult for us to predict the future impacts on our U.K. based operations, which accounted for approximately 15% of our total sales for the year ended October 31, 2020.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risk mitigation focus for our U.K. operations centers on the availability and pricing of raw materials. While we source the majority of our raw materials from within the U.K., many of the primary upstream raw materials our vendors use are being sourced from outside of the U.K., which could expose us to cross-border issues and raw material price impacts. We will mitigate this potential impact of Brexit on the import of goods to the U.K. by strategically managing our inventory levels and logistical channels.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2020, the U.K. announced its intention to introduce border controls and our U.K. businesses have positioned themselves well to cope with additional demands and tariffs that this will bring in order to comply and facilitate the flow of goods in and out of the U.K. We are still clarifying what the impact of associated tariffs could be.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October 31, 2020 and 2019</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consolidated results of operations for the twelve-month periods ended October 31, 2020 and 2019.</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4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2020 vs. 2019</w:t>
            </w:r>
          </w:p>
        </w:tc>
      </w:tr>
      <w:tr>
        <w:trPr>
          <w:trHeight w:val="179"/>
        </w:trPr>
        <w:tc>
          <w:tcPr>
            <w:tcW w:w="4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70"/>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(Dollars in millions)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100%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1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6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280" w:type="dxa"/>
            <w:vAlign w:val="bottom"/>
          </w:tcPr>
          <w:p>
            <w:pPr>
              <w:spacing w:after="0"/>
              <w:rPr>
                <w:sz w:val="19"/>
                <w:szCs w:val="19"/>
                <w:color w:val="auto"/>
              </w:rPr>
            </w:pP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11%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(50)%</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1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(3)%</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120" w:type="dxa"/>
            <w:vAlign w:val="bottom"/>
            <w:tcBorders>
              <w:top w:val="single" w:sz="8" w:color="CCEEFF"/>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309%</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ind w:right="32"/>
              <w:spacing w:after="0"/>
              <w:rPr>
                <w:sz w:val="20"/>
                <w:szCs w:val="20"/>
                <w:color w:val="auto"/>
              </w:rPr>
            </w:pPr>
            <w:r>
              <w:rPr>
                <w:rFonts w:ascii="Times New Roman" w:cs="Times New Roman" w:eastAsia="Times New Roman" w:hAnsi="Times New Roman"/>
                <w:sz w:val="18"/>
                <w:szCs w:val="18"/>
                <w:color w:val="auto"/>
                <w:w w:val="99"/>
              </w:rPr>
              <w:t>(1)%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ind w:right="32"/>
              <w:spacing w:after="0"/>
              <w:rPr>
                <w:sz w:val="20"/>
                <w:szCs w:val="20"/>
                <w:color w:val="auto"/>
              </w:rPr>
            </w:pPr>
            <w:r>
              <w:rPr>
                <w:rFonts w:ascii="Times New Roman" w:cs="Times New Roman" w:eastAsia="Times New Roman" w:hAnsi="Times New Roman"/>
                <w:sz w:val="18"/>
                <w:szCs w:val="18"/>
                <w:color w:val="auto"/>
                <w:w w:val="99"/>
              </w:rPr>
              <w:t>(1)%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(9)%</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120" w:type="dxa"/>
            <w:vAlign w:val="bottom"/>
            <w:tcBorders>
              <w:bottom w:val="single" w:sz="8" w:color="CCEEFF"/>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182%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year-over-year results by reportable segment follow. Our comparison of the results for the fiscal years ended October 31, 2019 and 2018 by reportable segment for the prior year comparative periods can be found in the annual report on Form 10-K for the year ended October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66"/>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483.4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503.8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54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5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4%</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54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4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13%</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31"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$20.4 million, or 4%, for the twelve months ended October 31, 2020 compared to the same period in 2019,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decrease in volumes of $22.9 million, which includes the impacts of COVID-19. The decrease in volume was partially offset by increases in prices and surcharges of $2.5 million.</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$14.4 million, or 4%, for the twelve months ended October 31, 2020 compared to the same period in 2019.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due to lower volumes during the period, including a corresponding decrease in selling expenses as a result of the impacts of COVID-19 as mentioned above.</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decreased by $2.6 million, or 5%,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2020 compared to the same period in 2019. This decrease was due primarily to lower general expenses due to COVID-19 restrictions and lower compensation and benefits year-over-year.</w:t>
      </w:r>
    </w:p>
    <w:p>
      <w:pPr>
        <w:spacing w:after="0" w:line="11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incurred during the twelve months ended October 31, 2020 and 2019 relate to facility lease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vinyl extrusion plant in the U.S. which was closed in January 2017 that has not been sublet or otherwise exited as of October 31,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Variance %</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164.9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(3.8)</w:t>
            </w:r>
          </w:p>
        </w:tc>
        <w:tc>
          <w:tcPr>
            <w:tcW w:w="15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(5.3)</w:t>
            </w:r>
          </w:p>
        </w:tc>
        <w:tc>
          <w:tcPr>
            <w:tcW w:w="15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(0.3)</w:t>
            </w:r>
          </w:p>
        </w:tc>
        <w:tc>
          <w:tcPr>
            <w:tcW w:w="15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7"/>
              </w:rPr>
              <w:t>0.7</w:t>
            </w:r>
          </w:p>
        </w:tc>
        <w:tc>
          <w:tcPr>
            <w:tcW w:w="1540" w:type="dxa"/>
            <w:vAlign w:val="bottom"/>
            <w:tcBorders>
              <w:bottom w:val="single" w:sz="8" w:color="CCEEFF"/>
            </w:tcBorders>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1.1</w:t>
            </w:r>
          </w:p>
        </w:tc>
        <w:tc>
          <w:tcPr>
            <w:tcW w:w="154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$3.8 million, or 2%, when comparing the twelve months ended October 31, 2020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 decrease in volumes of $5.5 million year-over-year, which includes of the impacts of COVID-19 was partially offset by $1.1 million of base price increases and $0.6 million of favorable foreign currency rate changes.</w:t>
      </w:r>
    </w:p>
    <w:p>
      <w:pPr>
        <w:spacing w:after="0" w:line="11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decreased $5.3 million for the twelve months ended October 31, 2020 compared to the same period in 2019.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due to lower volumes during the period, including a corresponding decrease in selling expenses as a result of the impacts of COVID-19 as mentioned above.</w:t>
      </w:r>
    </w:p>
    <w:p>
      <w:pPr>
        <w:spacing w:after="0" w:line="11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decreased $0.3 million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compared to the same period in 2019. The decrease is due to savings incurred from reduced marketing and other general expenses as a result of COVID-19 restrictions, reimbursements for labor costs in the U.K. from government aid for COVID-19 furloughs, and lower incentive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 %</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229.6</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5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5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54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5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3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54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540" w:type="dxa"/>
            <w:vAlign w:val="bottom"/>
            <w:tcBorders>
              <w:top w:val="single" w:sz="8" w:color="CCEEFF"/>
              <w:bottom w:val="single" w:sz="8" w:color="CCEEFF"/>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97%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$19.5 million for the twelve months ended October 31, 2020 compared to the same period in 2019.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 million of the decrease in sales was due to lower volume related to customer strategic shifts and the impacts of COVID-19. Sales declined an additional $5.5 million due to lower price impacts.</w:t>
      </w:r>
    </w:p>
    <w:p>
      <w:pPr>
        <w:spacing w:after="0" w:line="9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decreased $17.4 million for the twelve months ended October 31, 2020 compared to the same period in 2019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lower volume, including a corresponding decrease in selling expenses as a result of the impacts of COVID-19 as mentioned above.</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remained relatively flat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2020 compared to the same period in 2019.</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of $0.3 million in the twelve months ended October 31, 2020 related to severance, equipment 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charges incurred for a plant closure.</w:t>
      </w:r>
    </w:p>
    <w:p>
      <w:pPr>
        <w:spacing w:after="0" w:line="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Impairment Charge. </w:t>
      </w:r>
      <w:r>
        <w:rPr>
          <w:rFonts w:ascii="Times New Roman" w:cs="Times New Roman" w:eastAsia="Times New Roman" w:hAnsi="Times New Roman"/>
          <w:sz w:val="18"/>
          <w:szCs w:val="18"/>
          <w:color w:val="auto"/>
        </w:rPr>
        <w:t>Asset impairment charges incurred during the twelve months ended October 31, 2019 related to goodwill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There were no corresponding asset impairment charges incurred during the twelve months ended October 31, 2020. For further information, see Note 6, "Goodwill and Intangible Assets," of the accompanying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1"/>
        </w:trPr>
        <w:tc>
          <w:tcPr>
            <w:tcW w:w="5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4"/>
          </w:tcPr>
          <w:p>
            <w:pPr>
              <w:jc w:val="center"/>
              <w:ind w:right="712"/>
              <w:spacing w:after="0"/>
              <w:rPr>
                <w:sz w:val="20"/>
                <w:szCs w:val="20"/>
                <w:color w:val="auto"/>
              </w:rPr>
            </w:pPr>
            <w:r>
              <w:rPr>
                <w:rFonts w:ascii="Times New Roman" w:cs="Times New Roman" w:eastAsia="Times New Roman" w:hAnsi="Times New Roman"/>
                <w:sz w:val="13"/>
                <w:szCs w:val="13"/>
                <w:b w:val="1"/>
                <w:bCs w:val="1"/>
                <w:color w:val="auto"/>
                <w:w w:val="97"/>
              </w:rPr>
              <w:t>(Dollars in millions)</w:t>
            </w:r>
          </w:p>
        </w:tc>
        <w:tc>
          <w:tcPr>
            <w:tcW w:w="1560" w:type="dxa"/>
            <w:vAlign w:val="bottom"/>
          </w:tcPr>
          <w:p>
            <w:pPr>
              <w:spacing w:after="0"/>
              <w:rPr>
                <w:sz w:val="14"/>
                <w:szCs w:val="14"/>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1.5</w:t>
            </w:r>
          </w:p>
        </w:tc>
        <w:tc>
          <w:tcPr>
            <w:tcW w:w="1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7"/>
              </w:rPr>
              <w:t>1.5</w:t>
            </w: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rPr>
              <w:t>(8.5)</w:t>
            </w:r>
          </w:p>
        </w:tc>
        <w:tc>
          <w:tcPr>
            <w:tcW w:w="1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12"/>
              <w:spacing w:after="0"/>
              <w:rPr>
                <w:sz w:val="20"/>
                <w:szCs w:val="20"/>
                <w:color w:val="auto"/>
              </w:rPr>
            </w:pPr>
            <w:r>
              <w:rPr>
                <w:rFonts w:ascii="Times New Roman" w:cs="Times New Roman" w:eastAsia="Times New Roman" w:hAnsi="Times New Roman"/>
                <w:sz w:val="18"/>
                <w:szCs w:val="18"/>
                <w:color w:val="auto"/>
              </w:rPr>
              <w:t>(0.2)</w:t>
            </w:r>
          </w:p>
        </w:tc>
        <w:tc>
          <w:tcPr>
            <w:tcW w:w="1560" w:type="dxa"/>
            <w:vAlign w:val="bottom"/>
            <w:tcBorders>
              <w:bottom w:val="single" w:sz="8" w:color="CCEEFF"/>
            </w:tcBorders>
          </w:tcPr>
          <w:p>
            <w:pPr>
              <w:jc w:val="right"/>
              <w:ind w:right="412"/>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8.7</w:t>
            </w:r>
          </w:p>
        </w:tc>
        <w:tc>
          <w:tcPr>
            <w:tcW w:w="156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42"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and 2019.</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expenses decreased $8.5 million,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2020 compared to the same period in 2019. This decrease is attributable to $4.4 million of lower medical expenses, $2.0 million of lower compensation expense primarily related to the valuations of our stock based compensation awards, lower transaction costs of $1.4 million and lower severance costs related to executive severance and headcount reduction.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21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$4.4 million for the twelve months ended October 31, 2020 compared to the same period in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interest rates and lower overall debt outstanding. The weighted average interest rate for borrowings outstanding for the twelve months ended October 31, 2020 was 2.45% compared with 4.07% for the twelve months ended October 31, 2019.</w:t>
      </w:r>
    </w:p>
    <w:p>
      <w:pPr>
        <w:spacing w:after="0" w:line="119"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net increased $0.1 million for the twelve months ended October 31, 2020 compared to the same period in 2019. Improvements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impacts of foreign currency transactions were partially offset by a decrease in pension benefits year-over-year.</w:t>
      </w:r>
    </w:p>
    <w:p>
      <w:pPr>
        <w:spacing w:after="0" w:line="10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$11.8 million on pre-tax income of $50.3 million for the twelve months ended October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effective rate of 23.5%, and income tax expense of $10.8 million on pre-tax loss of $36.0 million for the twelve months ended October 31, 2019, an effective rate of 30.0%. The effective rate for the twelve months ended October 31, 2020 was impacted by the true-up of our accruals and related deferred taxes from prior year filings and settled audits. The effective rate for the twelve months ended October 31, 2019 was primarily impacted by the $74.6 million asset impairment charge in the NA Cabinet Components segment which did not generate a tax benefit, and a net charge of $1.2 million related to GILTI and FDII.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October 31, 2020, we had $51.6 million of cash and cash equivalents, $103.0 million outstanding under our credit facilities, $4.8 million of outstanding letters of credit and $15.3 million outstanding under finance leases. We had $217.2 million available for use under a revolving credit facility at October 31, 2020.</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July 29, 2016, we entered into a $450.0 million credit agreement comprising a $150.0 million Term Loan A and a $300.0 million revolving credit facility (collectively, the “2016 Credit Agreement”), under which we borrowed $150.0 million and $150.0 million, respectively. The proceeds from the 2016 Credit Agreement, along with additional funding of $16.4 million of cash on hand, were used to repay outstanding borrowings under our prior credit facilities of $309.2 million, to pay a 1% prepayment call premium, to settle outstanding interest accrued, and to pay loan fees which totaled $2.8 million. In addition, we expensed $8.1 million to write-off unamortized deferred financing fees and $5.5 million of unamortized original issuer’s discount associated with our prior credit facilities. The 2016 Credit Agreement was to mature in 2021 (5-year term) and required interest payments calculated, at our election and depending upon our Consolidated Leverage Ratio, at either a Base Rate plus an applicable margin (0.50% to 1.25%) or the LIBOR Rate plus an applicable margin (1.50% to 2.25%). We included deferred financing fees of $2.8 million as a contra-liability account, and were amortizing this balance straight-line over the term of the facility.</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October 18, 2018, we amended and restated the 2016 Credit Agreement by entering into a $325.0 million revolving credit facility (the “2018 Credit Facility”), under which we borrowed $205.0 million. The proceeds from the 2018 Credit Facility, along with additional funding of $10.0 million of cash on hand, were used to repay outstanding borrowings under the 2016 Credit Agreement of $213.5 million, to settle outstanding interest accrued under the prior facility, and to pay loan fees which totaled $1.0 million. In addition, we expensed $1.1 million to write-off unamortized deferred financing fees associated with the 2016 Credit Agreement. The 2018 Credit Facility matures in 2023 (5-year term) and requires interest payments calculated, at our election and depending upon our Consolidated Leverage Ratio, at either a Base Rate plus an applicable margin (0.25% to 1.00%) or the LIBOR Rate plus an applicable margin (1.25% to 2.00%). We included deferred financing fees of $1.5 million as a contra-liability account, and are amortizing this balance straight-line over the term of the facility.</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of borrowings outstanding for the twelve-month periods ended October 31, 2020 and 2019 was 2.45% and 4.07%, respectively. We were in compliance with our debt covenants as of October 31, 2020. For additional details of the Credit Agreement, see "Item 1A. Risk Factors," included elsewhere within this Annual Report on Form 10-K.</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Funds from operations may be impacted by softer demand and liquidity concerns of our customers as a result of COVID-19. In the U.K., we insure against a portion of our credit losses. In light of the COVID-19 pandemic, the Company has implemented a range of actions aimed at reducing costs and preserving liquidity. We believe our business model, our current cash reserves and the recent steps we have taken to strengthen our balance sheet leave us well-positioned to manage our business as a going concern and remain in compliance with our debt covenants through the COVID-19 crisis as it continues to unfold.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years ended October 31, 2020, 2019, and 2018:</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66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4"/>
        </w:trPr>
        <w:tc>
          <w:tcPr>
            <w:tcW w:w="6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center"/>
              <w:ind w:right="319"/>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100.8</w:t>
            </w:r>
          </w:p>
        </w:tc>
        <w:tc>
          <w:tcPr>
            <w:tcW w:w="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96.4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104.6</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(25.2)</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(55.1)</w:t>
            </w:r>
          </w:p>
        </w:tc>
        <w:tc>
          <w:tcPr>
            <w:tcW w:w="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rPr>
              <w:t>(71.3)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(65.8)</w:t>
            </w:r>
          </w:p>
        </w:tc>
      </w:tr>
    </w:tbl>
    <w:p>
      <w:pPr>
        <w:spacing w:after="0" w:line="14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year-over-year cash flow analysis follows. Our cash flow analysis for the fiscal years ended October 31, 2019 and 2018 for the prior year comparative periods can be found in the annual report on Form 10-K for the year ended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Operating cash flow for the year ended October 31, 2020 increased $4.4 million while cash flow for the year ending October 31, 2019 decreased by $8.2 million. Our ability to continue operations and deliver orders as an essential service provider mitigated some of the effects of COVID-19. Our efforts to maintain operating levels in accordance with demand allowed us to remain efficient with our working capital and use inventory effectively. To date, slower paying customers as a result of COVID-19 have not significantly impacted our liquidity, but this could become a concern in the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for the year ended October 31, 2020 increased $1.7 million compared to the year ended October 31, 2019 due to an increase of $0.8 million in our investment in capital expenditures and a decline in proceeds from the disposition of capital assets of $0.8 million.</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October 31, 2020, we had firm purchase commitments of approximately $2.2 million for the purchase or construction of capital assets. We plan to fund these capital expenditures through cash from operations or borrowings under our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2020, cash used for financing activities was $55.1 million and related primarily to net debt repayments of $40.5 million, payment of dividends of $10.5 million, and share repurchases of $7.2 million. In 2019, cash used for financing activities was $71.3 million and related primarily to net debt repayments of $54.0 million, payment of dividends of $10.6 million, and share repurchases of $9.6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We maintain cash balances in foreign countries which totaled $16.8 million and $9.8 million as of October 31, 2020 and 2019. During the years ended October 31, 2020 and 2019, we repatriated $31.9 million and $24.2 million, respectively, of foreign earnings from our international divisions.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funds and adequate financial resources available to meet our anticipated liquidity needs. We expect to use our cash flow from operations to fund operations for the next twelve months and the foreseeable future. We believe these funds should be adequate to provide for our working capital requirements, capital expenditures, and dividends, while continuing to meet our debt service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our $325.0 million 2018 Credit Facility, which contains a revolving credit facility, with Wells Fargo Bank, National Association, as Agent, Swingline Lender and Issuing Lender, and Bank of America, N.A. serving as Syndication Agent. The 2018 Credit Facility has a five-year term, maturing on October 18, 2023, and requires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2018 Credit Facility. The applicable margin and commitment fees range from 0.45% to 2.30%, depending upon the type of loan and consolidated leverage ratio. The Credit Facility contains appropriate provisions to substitute LIBOR with a replacement rate upon transition away from LIBOR. These provisions include a temporary conversion of applicable interest for all borrowings outstanding to be calculated as base rate loans until such time that the replacement rate is agreed upon.</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2018 Credit Facility provides for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2018 Credit Facility.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to conduct other transactions as further defined in the 2018 Credit Facility. Some of these limitations, however, do not take effect so long as total leverage is less than or equal to 2.75 to 1.00 and available liquidity exceeds $25 million. Substantially all of our domestic assets, with the exception of real property, are pledged as collateral for the 2018 Credit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2020 and 2019, we purchased 450,000 shares and 583,398 shares, respectively, at a cost of $7.2 million and $9.6 million, respectively, under this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expect to be entitled to consideration in exchange for transferring those products. We account for a contract when a customer provides us with a firm purchase order that identifies the products to be provided, the payment terms for those services, and when collectability of the consideration due is probable.</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elected to account for shipping and handling services as fulfillment services in accordance with ASC Topic 606 guidance; accordingly, freight revenue will be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 (loss).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record trade accounts receivable at billed amounts, less an allowance for doubtful accounts. This allowance is established to estimate the risk of loss associated with our trade receivables which may arise due to the inability of our customers to pay or due to changes in circumstances. The allowance is maintained at a level that we consider appropriate based on factors that affect collectability, including: (a) historical trends of write-offs, recoveries and credit losses; (b) the credit quality of our customers; and (c) projected economic and market conditions. Different assumptions or changes in economic circumstances could result in changes to the allowance. Our historical bad debt expense has been less than 0.1% of sales for the years ended October 31, 2020, 2019 and 2018. If bad debt expense increased by 1% of net sales, the impact on operating results would have been a decrease in net income of $6.4 million for the year ended October 31, 2020, an increase in net loss of $6.8 million for the year ended October 31, 2019 and a decrease in net income of $9.2 million for the year ended October 31, 2018.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 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in accordance with U.S. GAAP, which requires us to make use of estimates and judgments to allocate the purchase price paid for acquisitions to the fair value of the net assets and liabilities acquired.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 If our purchase accounting estimates are not correct, or if we do not recognize contingent assets or liabilities accurately, we may incur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 periods could result in an impairment charge in the period of the change. No impairment charges were incurred with regard to our property, plant and equipment for the years ended October 31, 2020, 2019 and 2018.</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3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quantitative assessments performed during the year ended October 31, 2019, we recorded impairment charges totaling $74.6 million during the year ended October 31, 2019, reducing the goodwill balance applicable to the reporting unit included in our NA Cabinet Components operating segment from $113.7 million to $39.1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October 31, 2020, the World Health Organization's declaration of COVID-19 as a global pandemic also created significant changes in market conditions that were indicators of triggering events which necessitated an evaluation of certain long-term assets, including goodwill, for potential impairment. We performed quantitative assessments based upon undiscounted cash flows we expected to realize associated with these assets over the remaining useful lives of the primary operating assets to the net book value of the long-term assets, including goodwill, and determined that these assets, including goodwill, were not impaired.</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At our annual testing date, August 31, 2020,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the two reporting units in the NA Fenestration segment and one of the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segment and the EU Fenestration segment that were assessed qualitatively. We also updated the quantitative assessments for the reportable unit in the NA Cabinet Compnents segment and the second reportable unit in the EU Fenestration segment. We determined the fair value of these reportable units exceeded the carrying value by 5% and 36%, respectively, and concluded that no impairment was necessary.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account for restructuring costs in accordance with U.S. GAAP, whereby we accrue for one-time severance benefits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lease in the current period until sublet. For other costs directly related to the restructuring effort, such as equipment moving costs, we expense in the period incurred.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Effective November 1, 2019, we adopted Accounting Standards Codification Topic 842, "Leases" (ASC Topic 842), which requires leases to be recognized on the balance sheet. 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operate in various jurisdictions and therefore our income tax expense relates to income taxes in the U.S., U.K., Canada, and Germany, as well as local and state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Annually, we evaluate our tax positions to determine if there have been any changes in uncertain tax positions or if there has been a lapse in the statute of limitations with regard to such positions. Our liability for uncertain tax positions at October 31, 2020 and 2019 totaled $0.5 million and $0.6 million, respectively, and related to certain state tax items regarding the interpretation of tax laws and regulations.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we will have sufficient taxable income in the future to fully utilize our unreserved deferred tax assets recorded as of October 31, 2020. There is a risk that our estimates related to the future use of loss carry forwards and our ability to realize our deferred tax assets may not come to fruition, and that the results could materially impact our financial position and results of operations. We have recorded the benefit associated with the “patent box” deduction in the U.K. with regard to our operations at Liniar. We believe that it is more likely than not that our deduction with regard to this position would be sustained upon examination. Our deferred tax assets at October 31, 2020 and 2019 totaled $20.1 million and $21.0 million, respectively, against which we had recorded a valuation allowance of $1.5 million and $1.6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manage our costs of workers’ compensation, group medical, property, casualty and other liability exposures through a combination of self-insurance retentions and insurance coverage with third-party carriers. Liabilities associated with our portion of this exposure are not discounted. We estimate our exposure by considering various factors which may include: (1) historical claims experience, (2) severity factors, (3) estimated claims incurred but not reported and (4) loss development factors, which are used to estimate how claims will develop over time until settled or closed. While we consider a number of factors in preparing our estimate of risk exposure, we must use our judgment to determine the amounts to accrue in our financial statements. Actual claims can differ significantly from estimated liabilities if future claims experience differs from historical experience, and if we determine that our assumptions used for analysis or our development factors are flawed. We do not recognize insurance recoveries until any contingencies relating to the claim have been resolved.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1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2020, 2019 and 2018, our inventory reserves are approximately 10%, 5%, and 6% of gross inventory, respectively. Assuming an increase in obsolescence equal to 1% of gross inventory, net income would have decreased by $0.5 million for the year ended October 31, 2020, net loss would have increased by $0.5 million for the year ended October 31, 2019, and net income would have been reduced by $1.0 million for the year ended October 31, 2018.</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sponsor a defined benefit pension plan and an unfunded postretirement plan that provides health care and life insurance benefits for a limited pool of eligible retirees and dependents.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The measurement of liabilities related to these plans is based on our assumptions related to future events, including expected return on plan assets and healthcare cost trend rates. The discount rate reflects the rate at which benefits could be effectively settled on the measurement date. We determine our discount rate using a RATE: Link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October 31, 2020, our projected benefit obligation (PBO) and accumulated benefit obligation (ABO) each exceeded the fair value of the plan assets by $10.7 million. As a comparison, our PBO and ABO exceeded the fair value of plan assets by $13.1 million and $12.1 million, respectively, as of October 31, 2019. During fiscal 2020, we contributed $3.7 million to the pension plan to meet minimum contribution requirements. Expected contributions are dependent on many variables, including the variability of the market value of the assets as compared to the obligation and other market or regulatory conditions. In addition, we take into consideration our business investment opportunities and our cash requirements. Accordingly, actual funding may differ greatly from current estimates. As of October 31, 2020, a 1% decrease in the discount rate would result in an increase in the PBO of $5.8 million.</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U.S. GAAP, we are not required to immediately recognize the effects of a deviation between actual and assumed experience under our pension plan, or to revise our estimate as a result. This approach allows the favorable and unfavorable effects that fall within an acceptable range to be netted and disclosed as an unrecognized gain or loss. As of October 31, 2020 and 2019, a net actuarial loss of $9.9 million and $6.7 million, respectively, was included in our accumulated other comprehensive (loss) income. There were no net prior service costs or transition obligations for the years ended October 31, 2020 and 2019. The effect on fiscal years after 2020 will depend on the actual experience of the plans.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Mortality assumptions used to determine the obligations for our pension plans are based on the Pri-2012 base mortality table with MP-2018 mortality improvement scale.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issued stock-based compensation in the form of stock options to directors, employees and officers, and non-vested restricted stock awards to certain key employees and officers. We apply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our consolidated balance sheets at October 31, 2020 and 2019, included elsewhere within this Annual Report on Form 10-K.</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we have granted performance share awards which settle in cash and shares upon vesting. The award granted during the year ended October 31, 2018 has vesting criteria based on a market condition (relative total shareholder return) and an internal performance condition (earnings per share growth). The awards granted during the years ended October 31, 2020 and 2019 use return on net assets as the vesting condition and settle in cash. We use a Monte Carlo simulation model to value the market condition and our stock price on the date of grant to value the internal performance condition. We bifurcate the liability and equity portion of the awards (amounts expected to settle in cash and shares, respectively) and recognize expense ratably over the vesting period of three years. We estimate that the performance measures will be met and shares will vest at target until the year of settlement (third year of cliff vesting). As of October 31, 2020, we do not expect any performance share awards to vest.</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also awarded performance restricted stock units to key employees and officers in December 2019, 2018, and 2017.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use a Monte Carlo simulation model to 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October 31, 2020, we have deemed 32,322 shares related to the December 2017 grants of performance restricted stock units as probable to vest.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contractual obligations and commercial commitments include unconditional purchase obligations which consist of commitments to buy miscellaneous parts, inventory, and expenditures related to capital projects in progress. In addition, during fiscal 2021, we expect to contribute approximately $0.5 million to our pension plan to meet our minimum contribution requirements. Pension contributions beyond 2021 cannot be determined since the amount of any contribution is heavily dependent on the future economic environment and investment returns on pension plan assets. Obligations are based on current and projected obligations of the plans, performance of the plan assets, if applicable, and the timing and amount of funding contributions. At October 31, 2020, we have recorded a long-term liability for deferred pension and postretirement benefits totaling $10.9 million. We believe the effect of the plans on liquidity is not significant to our overall financial condition.</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supplemental benefit plan and deferred compensation plan liabilities fluctuate based on changes in the market value of certain equity securities, including our common stock. As of October 31, 2020, our liability under the supplemental benefit plan and the deferred compensation plan was approximately $2.6 million and $3.3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experienced the impact of inflation on our cost of raw materials, labor, freight and overhead. Although we use contractual price indexing along with periodic base price increases to minimize the effect of inflation on our results, we have not been able to fully recover all of the inflationary cost increases. We believe inflation has not had a significant effect on our earnings or financial position over the previous three fiscal years. We cannot provide assurance, however, that our results of operations and financial position will not be materially impacted by inflation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1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 - General (Subtopic 715-20). This amendment modifies the disclosure requirements for employers that sponsor defined benefit pensions or other postretirement plans. Specifically, the amendment removes disclosures which were no longer considered cost beneficial, clarifies certain disclosure requirements, and adds disclosures identified as relevant. This amendment becomes effective for fiscal years beginning after December 15, 2020, including interim periods within that fiscal year. We expect to adopt this amendment during fiscal 2022 with no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October 31, 2020, a hypothetical 1.0% increase or decrease in interest rates could result in approximately $1.0 million of additional pre-tax charges or credit to our operating results. This sensitivity pertains primarily to our outstanding revolving credit facility borrowings outstanding under the 2018 Credit Facility as of October 31,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Less than $0.1 million of foreign exchange derivatives were included in total assets as of October 31, 2019. There were no corresponding derivatives outstanding as of October 31, 2020.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net in the accompanying consolidated statements of income (loss). To the extent the gain or loss on the derivative instrument offsets the gain or loss from the remeasurement of the underlying foreign currency balance, changes in exchange rates should have no effect.</w:t>
      </w:r>
    </w:p>
    <w:p>
      <w:pPr>
        <w:spacing w:after="0" w:line="1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October 2018, we settled an unhedged foreign currency intercompany loan which facilitated the Liniar acquisition. For the year ended October 31, 2018, we realized a loss of less than $0.1 million related to this foreign currency exposure.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Since the 2016 Brexit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polyvinyl resin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In addition, there is a level of exposure to short-term volatility due to the one month lag.</w:t>
      </w:r>
    </w:p>
    <w:p>
      <w:pPr>
        <w:spacing w:after="0" w:line="1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historically charged certain customers a surcharge related to petroleum-based raw materials. The surcharge was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increases in oil-based raw material prices is significantly reduced under this surcharge program, but given the recent disruptions in the oil and gas market, we bear an obligation to repay customers for the fall in commodity price that is not reflected in the pricing of products sold to them. In March and October 2020, we sent a notice to our customers on this to address the mismatch.</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While we maintain surcharges and other adjusters to manage our exposure to changes in the prices of our critical raw materials, we use several commodities in our business that are not covered by contractual surcharges or adjusters for which pricing can fluctuate, including titanium dioxide (TiO2), silicone and other inputs.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120" w:type="dxa"/>
            <w:vAlign w:val="bottom"/>
          </w:tcPr>
          <w:p>
            <w:pPr>
              <w:spacing w:after="0"/>
              <w:rPr>
                <w:sz w:val="20"/>
                <w:szCs w:val="20"/>
                <w:color w:val="auto"/>
              </w:rPr>
            </w:pPr>
          </w:p>
        </w:tc>
      </w:tr>
      <w:tr>
        <w:trPr>
          <w:trHeight w:val="810"/>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1120" w:type="dxa"/>
            <w:vAlign w:val="bottom"/>
          </w:tcPr>
          <w:p>
            <w:pPr>
              <w:spacing w:after="0"/>
              <w:rPr>
                <w:sz w:val="24"/>
                <w:szCs w:val="24"/>
                <w:color w:val="auto"/>
              </w:rPr>
            </w:pPr>
          </w:p>
        </w:tc>
      </w:tr>
      <w:tr>
        <w:trPr>
          <w:trHeight w:val="459"/>
        </w:trPr>
        <w:tc>
          <w:tcPr>
            <w:tcW w:w="98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120" w:type="dxa"/>
            <w:vAlign w:val="bottom"/>
          </w:tcPr>
          <w:p>
            <w:pPr>
              <w:spacing w:after="0"/>
              <w:rPr>
                <w:sz w:val="24"/>
                <w:szCs w:val="24"/>
                <w:color w:val="auto"/>
              </w:rPr>
            </w:pPr>
          </w:p>
        </w:tc>
      </w:tr>
      <w:tr>
        <w:trPr>
          <w:trHeight w:val="459"/>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c>
          <w:tcPr>
            <w:tcW w:w="1120" w:type="dxa"/>
            <w:vAlign w:val="bottom"/>
          </w:tcPr>
          <w:p>
            <w:pPr>
              <w:spacing w:after="0"/>
              <w:rPr>
                <w:sz w:val="24"/>
                <w:szCs w:val="24"/>
                <w:color w:val="auto"/>
              </w:rPr>
            </w:pPr>
          </w:p>
        </w:tc>
      </w:tr>
      <w:tr>
        <w:trPr>
          <w:trHeight w:val="418"/>
        </w:trPr>
        <w:tc>
          <w:tcPr>
            <w:tcW w:w="98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8"/>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39</w:t>
              </w:r>
            </w:hyperlink>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2">
              <w:r>
                <w:rPr>
                  <w:rFonts w:ascii="Times New Roman" w:cs="Times New Roman" w:eastAsia="Times New Roman" w:hAnsi="Times New Roman"/>
                  <w:sz w:val="18"/>
                  <w:szCs w:val="18"/>
                  <w:u w:val="single" w:color="auto"/>
                  <w:color w:val="0000FF"/>
                  <w:w w:val="99"/>
                </w:rPr>
                <w:t>43</w:t>
              </w:r>
            </w:hyperlink>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20" w:type="dxa"/>
            <w:vAlign w:val="bottom"/>
          </w:tcPr>
          <w:p>
            <w:pPr>
              <w:spacing w:after="0"/>
              <w:rPr>
                <w:sz w:val="19"/>
                <w:szCs w:val="19"/>
                <w:color w:val="auto"/>
              </w:rPr>
            </w:pPr>
          </w:p>
        </w:tc>
      </w:tr>
      <w:tr>
        <w:trPr>
          <w:trHeight w:val="229"/>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3">
              <w:r>
                <w:rPr>
                  <w:rFonts w:ascii="Times New Roman" w:cs="Times New Roman" w:eastAsia="Times New Roman" w:hAnsi="Times New Roman"/>
                  <w:sz w:val="18"/>
                  <w:szCs w:val="18"/>
                  <w:u w:val="single" w:color="auto"/>
                  <w:color w:val="0000FF"/>
                  <w:w w:val="99"/>
                </w:rPr>
                <w:t>44</w:t>
              </w:r>
            </w:hyperlink>
          </w:p>
        </w:tc>
      </w:tr>
      <w:tr>
        <w:trPr>
          <w:trHeight w:val="229"/>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Income (Loss)</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45</w:t>
              </w:r>
            </w:hyperlink>
          </w:p>
        </w:tc>
      </w:tr>
      <w:tr>
        <w:trPr>
          <w:trHeight w:val="230"/>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5">
              <w:r>
                <w:rPr>
                  <w:rFonts w:ascii="Times New Roman" w:cs="Times New Roman" w:eastAsia="Times New Roman" w:hAnsi="Times New Roman"/>
                  <w:sz w:val="18"/>
                  <w:szCs w:val="18"/>
                  <w:u w:val="single" w:color="auto"/>
                  <w:color w:val="0000FF"/>
                  <w:w w:val="99"/>
                </w:rPr>
                <w:t>46</w:t>
              </w:r>
            </w:hyperlink>
          </w:p>
        </w:tc>
      </w:tr>
      <w:tr>
        <w:trPr>
          <w:trHeight w:val="229"/>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 of Stockholders’ Equity</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6">
              <w:r>
                <w:rPr>
                  <w:rFonts w:ascii="Times New Roman" w:cs="Times New Roman" w:eastAsia="Times New Roman" w:hAnsi="Times New Roman"/>
                  <w:sz w:val="18"/>
                  <w:szCs w:val="18"/>
                  <w:u w:val="single" w:color="auto"/>
                  <w:color w:val="0000FF"/>
                  <w:w w:val="99"/>
                </w:rPr>
                <w:t>47</w:t>
              </w:r>
            </w:hyperlink>
          </w:p>
        </w:tc>
      </w:tr>
      <w:tr>
        <w:trPr>
          <w:trHeight w:val="229"/>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7">
              <w:r>
                <w:rPr>
                  <w:rFonts w:ascii="Times New Roman" w:cs="Times New Roman" w:eastAsia="Times New Roman" w:hAnsi="Times New Roman"/>
                  <w:sz w:val="18"/>
                  <w:szCs w:val="18"/>
                  <w:u w:val="single" w:color="auto"/>
                  <w:color w:val="0000FF"/>
                  <w:w w:val="99"/>
                </w:rPr>
                <w:t>48</w:t>
              </w:r>
            </w:hyperlink>
          </w:p>
        </w:tc>
      </w:tr>
      <w:tr>
        <w:trPr>
          <w:trHeight w:val="23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8">
              <w:r>
                <w:rPr>
                  <w:rFonts w:ascii="Times New Roman" w:cs="Times New Roman" w:eastAsia="Times New Roman" w:hAnsi="Times New Roman"/>
                  <w:sz w:val="18"/>
                  <w:szCs w:val="18"/>
                  <w:u w:val="single" w:color="auto"/>
                  <w:color w:val="0000FF"/>
                  <w:w w:val="99"/>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Quanex Building Products Corporation (a Delaware corporation) and subsidiaries (the “Company”) as of October 31, 2020 and 2019, the related consolidated statements of income (loss), comprehensive income (loss), stockholders’ equity, and cash flows for each of the three years in the period ended October 31, 2020, and the related notes (collectively referred to as the “financial statements”). In our opinion, the financial statements present fairly, in all material respects, the financial position of the Company as of October 31, 2020 and 2019, and the results of its operations and its cash flows for each of the three years in the period ended October 31, 2020, in conformity with accounting principles generally accepted in the United States of America.</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October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December 11, 2020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19 to the consolidated financial statements, the Company has changed its method of accounting for leases due to the adoption of the new leasing standard. The Company adopted the new leasing standard by recognizing a cumulative catch-up adjustment to the opening balance sheet as of November 1, 2019.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Qualitative goodwill impairment assessment</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further in Note 1 to the financial statements, the Company is required to evaluate goodwill for impairment annually or more frequently if indicators of impairment exist. In evaluating whether it is more likely than not that the fair value of the reporting unit is less than its carrying amount, the Company performed a qualitative assessment of relevant events and circumstances that could impact the fair value of such reporting unit. If, after assessing the totality of events and circumstances, it is deemed more likely than not that the fair value of the reporting unit is less than its carrying amount, the Company estimates the fair value of the reporting unit by performing a quantitative goodwill impairment assessment. The Company determined that</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indicators of impairment existed as of March 31, 2020 for all reporting units. As such, the Company performed a qualitative assessment for each of the reporting units. As a result of the analysis, the Company determined for each of the reporting units that the goodwill was not more likely than not impaired, and no quantitative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assessment was necessary. We identified the Company’s assessment of qualitative factors for the March 31, 2020 goodwill impairment assessment as a 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assessment of qualitative factors for the March 31, 2020 goodwill impairment assessment is a critical audit matter is that there are significant judgments management made in assessing and weighting the relevant qualitative factors in determining whether it was more likely than not that the fair value of its reporting units was less than its carrying amount. As disclosed by management, qualitative factors may include, but are not limited to, (i) macroeconomic conditions, (ii) industry and market considerations, (iii) cost factors, (iv) overall financial performance of the reporting unit and (v) other relevant entity-specific events.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relevant qualitative factors for each reporting unit included in the March 31, 2020 goodwill impairment assessment to evaluate whether it is more likely than not the fair value of each reporting unit is less than the carrying value included the following, among others.</w:t>
      </w:r>
    </w:p>
    <w:p>
      <w:pPr>
        <w:spacing w:after="0" w:line="243" w:lineRule="exact"/>
        <w:rPr>
          <w:sz w:val="20"/>
          <w:szCs w:val="20"/>
          <w:color w:val="auto"/>
        </w:rPr>
      </w:pPr>
    </w:p>
    <w:p>
      <w:pPr>
        <w:ind w:left="660" w:hanging="328"/>
        <w:spacing w:after="0" w:line="281" w:lineRule="auto"/>
        <w:tabs>
          <w:tab w:leader="none" w:pos="649" w:val="left"/>
        </w:tabs>
        <w:numPr>
          <w:ilvl w:val="0"/>
          <w:numId w:val="12"/>
        </w:numPr>
        <w:rPr>
          <w:rFonts w:ascii="Arial" w:cs="Arial" w:eastAsia="Arial" w:hAnsi="Arial"/>
          <w:sz w:val="16"/>
          <w:szCs w:val="16"/>
          <w:color w:val="auto"/>
        </w:rPr>
      </w:pPr>
      <w:r>
        <w:rPr>
          <w:rFonts w:ascii="Times New Roman" w:cs="Times New Roman" w:eastAsia="Times New Roman" w:hAnsi="Times New Roman"/>
          <w:sz w:val="18"/>
          <w:szCs w:val="18"/>
          <w:color w:val="auto"/>
        </w:rPr>
        <w:t>We tested the design and operating effectiveness of controls related to the evaluation of the assumptions and inputs used as part of management’s review of the qualitative assessment.</w:t>
      </w:r>
    </w:p>
    <w:p>
      <w:pPr>
        <w:spacing w:after="0" w:line="1"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2"/>
        </w:numPr>
        <w:rPr>
          <w:rFonts w:ascii="Arial" w:cs="Arial" w:eastAsia="Arial" w:hAnsi="Arial"/>
          <w:sz w:val="16"/>
          <w:szCs w:val="16"/>
          <w:color w:val="auto"/>
        </w:rPr>
      </w:pPr>
      <w:r>
        <w:rPr>
          <w:rFonts w:ascii="Times New Roman" w:cs="Times New Roman" w:eastAsia="Times New Roman" w:hAnsi="Times New Roman"/>
          <w:sz w:val="18"/>
          <w:szCs w:val="18"/>
          <w:color w:val="auto"/>
        </w:rPr>
        <w:t>We evaluated the qualitative factors used by management for reasonableness, which included a consolidated market capitalization reconciliation and an assessment of the macroeconomic conditions and forecasted performance for each reporting unit.</w:t>
      </w:r>
    </w:p>
    <w:p>
      <w:pPr>
        <w:spacing w:after="0" w:line="1" w:lineRule="exact"/>
        <w:rPr>
          <w:rFonts w:ascii="Arial" w:cs="Arial" w:eastAsia="Arial" w:hAnsi="Arial"/>
          <w:sz w:val="16"/>
          <w:szCs w:val="16"/>
          <w:color w:val="auto"/>
        </w:rPr>
      </w:pPr>
    </w:p>
    <w:p>
      <w:pPr>
        <w:ind w:left="660" w:right="20" w:hanging="328"/>
        <w:spacing w:after="0" w:line="282" w:lineRule="auto"/>
        <w:tabs>
          <w:tab w:leader="none" w:pos="649" w:val="left"/>
        </w:tabs>
        <w:numPr>
          <w:ilvl w:val="0"/>
          <w:numId w:val="12"/>
        </w:numPr>
        <w:rPr>
          <w:rFonts w:ascii="Arial" w:cs="Arial" w:eastAsia="Arial" w:hAnsi="Arial"/>
          <w:sz w:val="16"/>
          <w:szCs w:val="16"/>
          <w:color w:val="auto"/>
        </w:rPr>
      </w:pPr>
      <w:r>
        <w:rPr>
          <w:rFonts w:ascii="Times New Roman" w:cs="Times New Roman" w:eastAsia="Times New Roman" w:hAnsi="Times New Roman"/>
          <w:sz w:val="18"/>
          <w:szCs w:val="18"/>
          <w:color w:val="auto"/>
        </w:rPr>
        <w:t>We compared the actual results of each reporting unit to the Company’s historical forecasted performance to evaluate the accuracy of management’s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goodwill impairment assessment of the reporting unit included in the North American Cabinet Components operating segment</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further in Note 1 to the financial statements, the Company performs its annual goodwill impairment test as of August 31. The Company performed a quantitative assessment of the reporting unit in the North American (NA) Cabinet Components primarily due to the recent impairment of goodwill during the second and fourth quarters of 2019 and the history of narrow margin of fair value above carrying value in the quantitative assessments performed in prior years. We identified the estimation of the fair value of the reporting unit included in the NA Cabinet Components operating segment as a critical audit matter.</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quantitative goodwill impairment assessment of the reporting unit included in the NA Cabinet Components operating segment is a critical audit matter include the significant judgments and assumptions management makes to estimate the fair value of the reporting unit. Auditing the fair value of the reporting unit involved a high degree of auditor judgment, subjectivity and audit effort in evaluating management’s significant assumptions, including future revenues, earnings and cash flows, expected growth rates, terminal growth rates, discount rates, guideline public companies and market multiples. In addition, the audit effort involved the use of valuation specialists to assist in performing these procedures and evaluating the audit evidence obtained.</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estimation of the fair value of the reporting unit included in the NA Cabinets Components operating segment included the following, among others.</w:t>
      </w:r>
    </w:p>
    <w:p>
      <w:pPr>
        <w:spacing w:after="0" w:line="243"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impairment including those over the determination of fair value, including controls relating to management’s development of forecasts of future revenues, earnings and cash flows, discount rates, market multiples and selection of guideline public companies.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revenues, earnings and cash flows by comparing actual results to management’s historical forecasts.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revenues, earnings and cash flows by comparing the forecasts to historical revenues, earnings and cash flows, communications to the Board of Directors, press releases and industry reports.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evaluate:</w:t>
      </w:r>
    </w:p>
    <w:p>
      <w:pPr>
        <w:spacing w:after="0" w:line="63"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17" w:val="left"/>
        </w:tabs>
        <w:numPr>
          <w:ilvl w:val="1"/>
          <w:numId w:val="13"/>
        </w:numPr>
        <w:rPr>
          <w:rFonts w:ascii="Arial" w:cs="Arial" w:eastAsia="Arial" w:hAnsi="Arial"/>
          <w:sz w:val="16"/>
          <w:szCs w:val="16"/>
          <w:color w:val="auto"/>
        </w:rPr>
      </w:pPr>
      <w:r>
        <w:rPr>
          <w:rFonts w:ascii="Times New Roman" w:cs="Times New Roman" w:eastAsia="Times New Roman" w:hAnsi="Times New Roman"/>
          <w:sz w:val="18"/>
          <w:szCs w:val="18"/>
          <w:color w:val="auto"/>
        </w:rPr>
        <w:t>The discount rate, including the testing of underlying source information and the mathematical accuracy of the calculations, and developing a range of independent estimates and comparing those to the discount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00" w:hanging="401"/>
        <w:spacing w:after="0" w:line="266" w:lineRule="auto"/>
        <w:tabs>
          <w:tab w:leader="none" w:pos="1303" w:val="left"/>
        </w:tabs>
        <w:numPr>
          <w:ilvl w:val="0"/>
          <w:numId w:val="14"/>
        </w:numPr>
        <w:rPr>
          <w:rFonts w:ascii="Arial" w:cs="Arial" w:eastAsia="Arial" w:hAnsi="Arial"/>
          <w:sz w:val="16"/>
          <w:szCs w:val="16"/>
          <w:color w:val="auto"/>
        </w:rPr>
      </w:pPr>
      <w:r>
        <w:rPr>
          <w:rFonts w:ascii="Times New Roman" w:cs="Times New Roman" w:eastAsia="Times New Roman" w:hAnsi="Times New Roman"/>
          <w:sz w:val="18"/>
          <w:szCs w:val="18"/>
          <w:color w:val="auto"/>
        </w:rPr>
        <w:t>Market multiples by evaluating the selected comparable publicly traded companies and the adjustments made for difference in growth prospects and risk profiles between the reporting unit and the comparable publicly traded companies. We tested the underlying source information and mathematical accuracy of calculations.</w:t>
      </w: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Quanex Building Products Corporation (a Delaware corporation) and subsidiaries (the “Company”) as of October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October 31, 2020, and our report dated December 11, 2020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October 31, 2020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Based on this assessment, management has concluded that, as of October 31, 2020,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Grant Thornton LLP, the Company’s independent registered public accounting firm, has issued an attestation report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October 31, 2020 and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8"/>
        </w:trPr>
        <w:tc>
          <w:tcPr>
            <w:tcW w:w="8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80" w:type="dxa"/>
            <w:vAlign w:val="bottom"/>
            <w:gridSpan w:val="4"/>
          </w:tcPr>
          <w:p>
            <w:pPr>
              <w:jc w:val="center"/>
              <w:ind w:right="25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30,868</w:t>
            </w: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$161 and $393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67,159</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207,306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190,326</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$340,144 and $317,568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193,600</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145,563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107,297</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645,110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77,335</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39,221</w:t>
            </w: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109,754</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116,728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156,414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pension and postretirement benefits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19,363</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w:t>
            </w:r>
          </w:p>
        </w:tc>
        <w:tc>
          <w:tcPr>
            <w:tcW w:w="0" w:type="dxa"/>
            <w:vAlign w:val="bottom"/>
          </w:tcPr>
          <w:p>
            <w:pPr>
              <w:spacing w:after="0"/>
              <w:rPr>
                <w:sz w:val="1"/>
                <w:szCs w:val="1"/>
                <w:color w:val="auto"/>
              </w:rPr>
            </w:pPr>
          </w:p>
        </w:tc>
      </w:tr>
      <w:tr>
        <w:trPr>
          <w:trHeight w:val="207"/>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335,826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314,923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no par value, shares authorized 1,000,000 issued and outstanding - none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3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shares authorized 125,000,000 issued 37,296,166 and 37,370,402 respectively; outstanding</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32,804,737 and 33,021,789, respectively</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253,458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254,673</w:t>
            </w: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185,703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(33,817)</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Treasury stock at cost, 4,491,429 and 4,348,613 shares, respectively</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(78,565)</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(76,746)</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355,759</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330,187</w:t>
            </w:r>
          </w:p>
        </w:tc>
        <w:tc>
          <w:tcPr>
            <w:tcW w:w="0" w:type="dxa"/>
            <w:vAlign w:val="bottom"/>
          </w:tcPr>
          <w:p>
            <w:pPr>
              <w:spacing w:after="0"/>
              <w:rPr>
                <w:sz w:val="1"/>
                <w:szCs w:val="1"/>
                <w:color w:val="auto"/>
              </w:rPr>
            </w:pPr>
          </w:p>
        </w:tc>
      </w:tr>
      <w:tr>
        <w:trPr>
          <w:trHeight w:val="207"/>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691,585</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645,110</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Years Ended October 31, 2020, 2019 and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8"/>
        </w:trPr>
        <w:tc>
          <w:tcPr>
            <w:tcW w:w="6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40" w:type="dxa"/>
            <w:vAlign w:val="bottom"/>
            <w:gridSpan w:val="6"/>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00" w:type="dxa"/>
            <w:vAlign w:val="bottom"/>
          </w:tcPr>
          <w:p>
            <w:pPr>
              <w:spacing w:after="0"/>
              <w:rPr>
                <w:sz w:val="15"/>
                <w:szCs w:val="15"/>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851,573</w:t>
            </w:r>
          </w:p>
        </w:tc>
        <w:tc>
          <w:tcPr>
            <w:tcW w:w="6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893,841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889,785</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and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658,750</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694,420</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697,022</w:t>
            </w: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103,758</w:t>
            </w: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51,822</w:t>
            </w: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74,600</w:t>
            </w:r>
          </w:p>
        </w:tc>
        <w:tc>
          <w:tcPr>
            <w:tcW w:w="2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35,697</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w:t>
            </w: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07"/>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(35,954)</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25,753</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2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(46,730)</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26,553</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73"/>
        </w:trPr>
        <w:tc>
          <w:tcPr>
            <w:tcW w:w="6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73"/>
        </w:trPr>
        <w:tc>
          <w:tcPr>
            <w:tcW w:w="6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32,960</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34,701</w:t>
            </w: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35,025</w:t>
            </w:r>
          </w:p>
        </w:tc>
      </w:tr>
      <w:tr>
        <w:trPr>
          <w:trHeight w:val="273"/>
        </w:trPr>
        <w:tc>
          <w:tcPr>
            <w:tcW w:w="6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per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bl>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20" w:right="2380"/>
        <w:spacing w:after="0" w:line="331"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CONSOLIDATED STATEMENTS OF COMPREHENSIVE INCOME (LOSS) For the Years Ended October 31, 2020, 2019 and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26,553</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(loss) gain (pretax)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(loss) gain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07"/>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w:t>
            </w: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(49,842)</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October 31, 2020, 2019 and 2018</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020" w:type="dxa"/>
            <w:vAlign w:val="bottom"/>
          </w:tcPr>
          <w:p>
            <w:pPr>
              <w:spacing w:after="0"/>
              <w:rPr>
                <w:sz w:val="15"/>
                <w:szCs w:val="15"/>
                <w:color w:val="auto"/>
              </w:rPr>
            </w:pPr>
          </w:p>
        </w:tc>
        <w:tc>
          <w:tcPr>
            <w:tcW w:w="20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9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2017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37,508,877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(2,670,743)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407,692</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0" w:type="dxa"/>
            <w:vAlign w:val="bottom"/>
          </w:tcPr>
          <w:p>
            <w:pPr>
              <w:spacing w:after="0"/>
              <w:rPr>
                <w:sz w:val="1"/>
                <w:szCs w:val="1"/>
                <w:color w:val="auto"/>
              </w:rPr>
            </w:pPr>
          </w:p>
        </w:tc>
      </w:tr>
      <w:tr>
        <w:trPr>
          <w:trHeight w:val="162"/>
        </w:trPr>
        <w:tc>
          <w:tcPr>
            <w:tcW w:w="30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of tax expense of $1,242)</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($0.20 per share)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(32,034)</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share awards vested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2018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37,433,817</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254,678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243,904</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(30,705)</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(4,094,785)</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(73,029)</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395,222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(46,730)</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Change in pension from net unamortized loss</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tax of benefit of $1,596)</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2019</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37,370,402</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254,673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185,703</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(33,817)</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(4,348,613)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(76,746)</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330,187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Change in pension from net unamortized loss</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tax benefit of $91)</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share awards vested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35"/>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37,296,166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6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 the Years Ended October 31, 2020, 2019 and 2018</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8"/>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(46,730)</w:t>
            </w:r>
          </w:p>
        </w:tc>
        <w:tc>
          <w:tcPr>
            <w:tcW w:w="2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51,822</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disposition of capital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Charge for deferred loan costs and debt discount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receivable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inventory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17,230</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other current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accounts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accrued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income taxes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deferred pension and postretirement benefits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other long-term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3"/>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104,611</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(26,484)</w:t>
            </w:r>
          </w:p>
        </w:tc>
      </w:tr>
      <w:tr>
        <w:trPr>
          <w:trHeight w:val="213"/>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capital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(26,052)</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268,500</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(296,250)</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other long-term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 paid to settle shares forfeited upon vesting of stock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13"/>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(32,034)</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(65,817)</w:t>
            </w:r>
          </w:p>
        </w:tc>
      </w:tr>
      <w:tr>
        <w:trPr>
          <w:trHeight w:val="213"/>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11,548</w:t>
            </w:r>
          </w:p>
        </w:tc>
      </w:tr>
      <w:tr>
        <w:trPr>
          <w:trHeight w:val="21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17,455</w:t>
            </w:r>
          </w:p>
        </w:tc>
      </w:tr>
      <w:tr>
        <w:trPr>
          <w:trHeight w:val="23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30,868</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right="4960" w:hanging="332"/>
        <w:spacing w:after="0" w:line="440" w:lineRule="auto"/>
        <w:tabs>
          <w:tab w:leader="none" w:pos="19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Operations, Basis of Presentation and Significant Accounting Policies </w:t>
      </w:r>
      <w:r>
        <w:rPr>
          <w:rFonts w:ascii="Times New Roman" w:cs="Times New Roman" w:eastAsia="Times New Roman" w:hAnsi="Times New Roman"/>
          <w:sz w:val="18"/>
          <w:szCs w:val="18"/>
          <w:b w:val="1"/>
          <w:bCs w:val="1"/>
          <w:i w:val="1"/>
          <w:iCs w:val="1"/>
          <w:color w:val="auto"/>
        </w:rPr>
        <w:t>Nature of Operations</w:t>
      </w:r>
    </w:p>
    <w:p>
      <w:pPr>
        <w:spacing w:after="0" w:line="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(1) North American Fenestration (NA Fenestration), (2) European Fenestration (EU Fenestration) and (3) North American Cabinet Components (NA Cabinet Components). For additional discussion of our reportable business segments, see Note 16, "Segment Information."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In our opinion, these audited financial statements contain all adjustments necessary to fairly present our financial position, results of operations and cash flows for the periods presented.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 During the year ended October 31, 2018, we recorded a change in estimate related to certain assets involved in restructuring activities, as more fully described under the caption "Restructuring."</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summary of our significant accounting policies consistently applied in the preparation of the accompanying consolidated financial statements follows: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Shipping and handling cost</w:t>
      </w:r>
      <w:r>
        <w:rPr>
          <w:rFonts w:ascii="Times New Roman" w:cs="Times New Roman" w:eastAsia="Times New Roman" w:hAnsi="Times New Roman"/>
          <w:sz w:val="18"/>
          <w:szCs w:val="18"/>
          <w:b w:val="1"/>
          <w:bCs w:val="1"/>
          <w:i w:val="1"/>
          <w:iCs w:val="1"/>
          <w:color w:val="auto"/>
        </w:rPr>
        <w: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insulating glass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years ended October 31, 2020, 2019, and 2018 into groupings by segment which we believe depicts how the nature, amount, timing and uncertainty of our revenues and cash flows are affected by economic factors. For further details regarding our results by segment, refer to Note 16, “Segment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439,536</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r>
      <w:tr>
        <w:trPr>
          <w:trHeight w:val="223"/>
        </w:trPr>
        <w:tc>
          <w:tcPr>
            <w:tcW w:w="7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483,415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503,837</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485,366</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135,415</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r>
      <w:tr>
        <w:trPr>
          <w:trHeight w:val="223"/>
        </w:trPr>
        <w:tc>
          <w:tcPr>
            <w:tcW w:w="7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164,997</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159,973</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Cabinet Components: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232,990</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23"/>
        </w:trPr>
        <w:tc>
          <w:tcPr>
            <w:tcW w:w="7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249,813</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23"/>
        </w:trPr>
        <w:tc>
          <w:tcPr>
            <w:tcW w:w="7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851,573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893,841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889,785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 for Doubtful Accounts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 ended October 31, 2020, one customer provided more than 10% of our consolidated net sales. For the years ending October 31, 2019 and 2018, no customers provided more than 10% of our consolidated net sales.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established an allowance for doubtful accounts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2020.</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in accordance with U.S. GAAP,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are evaluated and expensed in the period, to insure that inventory is properly capitalized. Inventory quantities are regularly reviewed and provisions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Changes in market conditions throughout 2019 impacted our long-term forecasts of future operating results with regard to the reduction of significant sales volume to a large customer of our United States (U.S.) vinyl operations, and lower-than-expected operating performance of our NA Cabinet Components business. The World Health Organization's (WHO), declaration of COVID-19 as a global pandemic also created significant changes in market conditions throughout 2020. We determined that these conditions were indicators of triggering events which necessitated an evaluation of certain long-term assets used in these businesses for potential impairment. We compared the projected undiscounted cash flows we expected to realize associated with these assets over the remaining useful lives of the primary operating assets to the net book value of the long-term assets, including goodwill, and determined that these assets were not impaired. Therefore, we did not record an impairment charge related to property, plant and equipment or intangible assets with defined lives during the years ended October 31, 2020 and 2019. There were no indicators of triggering events noted for the year ended October 31, 2018.</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 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is stated at cost and is depreciated using the straight-line method over the estimated useful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lives of the assets. We capitalize betterments which extend the useful lives or significantly improve the operational efficiency of assets. We expense repair and maintenance costs as incurred.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useful lives of our primary asset categories at October 31, 2020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to 25</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 to 40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to 15</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lives or the term of the lease.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3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quantitative assessments performed during the year ended October 31, 2019, we recorded impairment charges totaling $74.6 million during the year ended October 31, 2019, reducing the goodwill balance applicable to the reporting unit included in our NA Cabinet Components operating segment from $113.7 million to $39.1 million.</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2020, we determined the WHO's characterization of the outbreak of COVID-19 as a global pandemic was a triggering event which could indicate that the carrying value of our goodwill was no longer greater than the fair value. As a result of this determination, we performed a qualitative assessment for each of the five goodwill reportable units. As a result of this analysis, we determined that our goodwill was not more likely than not impaired and no quantitative assessment was necessary.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At our annual testing date, August 31, 2020,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the two reporting units in the NA Fenestration segment and one of the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these three reporting units. Also, at our annual testing date, we performed a quantitative assessment of the reporting unit in our NA Cabinet Components segment primarily due to the recent impairment of goodwill during the second and fourth quarters of 2019 and the history of a narrow margin of fair value above carrying value in quantitative assessments performed in prior years. We also elected to update the quantitative assessment of the other reportable unit in the EU Fenestration operating segment. We determined that the fair value of these reporting units exceeded their carrying values by approximately 5% and 36%, respectively. We concluded that no impairment was necessary.</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11, 2020, the WHO declared the outbreak of COVID-19 as a global pandemic and advised aggressive containment action. In response to this declaration and the rapid global spread of COVID-19, national, state, and local governments have taken extraordinary and continuously evolving measures to limit the outbreak and spread of the virus, including travel bans, quarantines, "stay-at-home" orders and similar mandates imposing varying degrees of restrictions on social and non-essential commercial activity to promote social distancing. Measures providing for business shutdowns generally exclude certain essential services commonly including critical infrastructure such as construction and the businesses that support that critical infrastructure. To date, we have not experienced significant challenges or expenses implementing crisis management plans intended to meet government requirements for containment and prevention.</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COVID-19 pandemic and actions taken in response thereto are continuing to have an adverse effect on many sectors of the economy. We initially reduced operating schedules and implemented furloughs to balance production and demand, but all facilities were operational as of October 31, 2020. However, the duration and severity of the COVID-19 pandemic, the actions to contain the pandemic and treat its impacts, and the effects on our operations are highly uncertain and cannot be predicted at this time. Therefore, while we expect some negative impacts on our business, results of operations, cash flows and financial position, the overall financial impact cannot be reasonably estimated at this time.</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in response to the business environment impacted by COVID-19 during 2020, we reduced capital expenditures and discretionary spending during the second and third quarters of the year. We have currently resumed our normal business operations but we continue to closely monitor our working capital needs as events unfold.</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doubtful accounts), and inventory, which could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sponsor a defined benefit pension plan and an unfunded postretirement plan that provides health care and life insurance benefits for a limited pool of eligible retirees and dependents. To measure our liabilities associated with these plans, we make assumptions related to future events, including expected return on plan assets, rate of compensation increases, and healthcare cost trend rates. The discount rate reflects the rate at which benefits could be effectively settled on the measurement date. We determine our discount rate using a RATE: Link Model whereby target yields are developed from bonds across a range of maturity points, and a curve is fitted to those targets. Spot rates (zero coupon bond yields) are developed from the curve and used to discount benefit payments associated with each future year.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recorded net income for the years ended October 31, 2020 and October 31, 2018 and net loss for the year ended October 31, 2019. We have recorded pre-tax cumulative income from operations of $40.1 million for the three-year period ended October 31, 2020.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We have recorded a liability for uncertain tax positions which stem from certain state tax items related to the interpretation of tax laws and regulations. We continue to evaluate our positions regarding various state tax interpretations at each reporting date, until the applicable statute of limitations lapse.</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The Act reduced our federal income tax statutory rate from 35.0% to 21.0% for each of the fiscal years ended October 31, 2020 and 2019, respectively. For the fiscal year ended October 31, 2018 we used a rate of 23.3%, which reflects the period of November 1, 2017 through December 31,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2017 at the previous 35% rate, and the period of January 1, 2018 through October 31, 2018 at the new 21% rate. We have re-measured our deferred income tax assets and liabilities and have recorded tax expense for the one-time mandatory transition tax on deemed repatriation of previously tax-deferred and unremitted foreign earnings. For further details of the impact of the Act, see Note 10, "Income Taxes."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Final regulations were published by the Internal Revenue Service regarding Uniform Capitalization (UNICAP) that became effective during fiscal 2020. Also, on March 27, 2020, The Coronavirus Aid, Relief, and Economic Security (CARES) Act was signed into law. We are evaluating these regulations but do not believe they will result in a material impact on our consolidated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historically used financial and commodity-based derivative contracts to manage our exposure to fluctuations in foreign currency exchange rates and aluminum prices. All derivatives are measured at fair value on a recurring basis. We have not designated the derivative instruments we use as cash flow hedges under ASC Topic 815 "Derivatives and Hedging”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presented in our reporting currency, the United States Dollar. Our German and U.K.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Occasionally, we enter into transactions that are denominated in currencies other than our functional currency.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income (loss) under the caption, “Other, net.”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issued stock-based compensation in the form of stock options to directors, employees and officers, and non-vested restricted stock awards to certain key employees and officers. We apply the provisions of ASC Topic 718 “Compensation - Stock Compensation”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2020 and 2019. See Note 15, “Stock-based Compensation.”</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we have granted performance share awards which settle in cash and shares upon vesting. The award granted during the year ended October 31, 2018 has vesting criteria based on a market condition (relative total shareholder return) and an internal performance condition (earnings per share growth). The awards granted during the years ended October 31, 2020 and 2019 use return on net assets as the vesting condition and settle in cash. We use a Monte Carlo simulation model to value the market condition and our stock price on the date of grant to value the internal performance condition. We bifurcate the liability and equity portion of the awards (amounts expected to settle in cash and shares, respectively) and recognize expense ratably over the vesting period of three years.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also granted performance restricted stock units which settle in shares upon vesting. These awards cliff vest upon a three-year service period with the absolute performance of our common stock as the vesting criteria. We used a Monte Carlo simulation model to arrive at a grant-date value of these performance restricted stock units. This amount, which is settled in our common stock, is expensed over the three-year term of the award with a credit to additional paid-in-capital.</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 in capital, while any deficiency is charged to retained earnings.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Data</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supplemental cash flow information for the years ended October 31, 2020, 2019 and 2018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October 31,</w:t>
            </w:r>
          </w:p>
        </w:tc>
        <w:tc>
          <w:tcPr>
            <w:tcW w:w="62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capitalized expenditures in accounts payable and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October 31, 2018, we leased several operating facilities from a company that was directly owned by the former owner of our U.K.-based vinyl extrusion business, who was our employee until his retirement in October 2018. We recorded rent expense of $1.3 million related to the related party leases for the year ended October 31, 2018. We did not participate in any related party transactions during the years ended October 31, 2020 and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evaluated events occurring after the balance sheet date for possible disclosure as a subsequent event through the date the financial statements were issued.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 and Allowance for Doubtful Accounts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 as of October 31, 2020 and 2019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 w:type="dxa"/>
            <w:vAlign w:val="bottom"/>
            <w:tcBorders>
              <w:bottom w:val="single" w:sz="8" w:color="CCEEFF"/>
            </w:tcBorders>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CCEEFF"/>
            </w:tcBorders>
            <w:shd w:val="clear" w:color="auto" w:fill="CCEEFF"/>
          </w:tcPr>
          <w:p>
            <w:pPr>
              <w:spacing w:after="0"/>
              <w:rPr>
                <w:sz w:val="19"/>
                <w:szCs w:val="19"/>
                <w:color w:val="auto"/>
              </w:rPr>
            </w:pPr>
          </w:p>
        </w:tc>
        <w:tc>
          <w:tcPr>
            <w:tcW w:w="6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83,339</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82,946</w:t>
            </w:r>
          </w:p>
        </w:tc>
        <w:tc>
          <w:tcPr>
            <w:tcW w:w="6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w w:val="99"/>
              </w:rPr>
              <w:t>The changes in our allowance for doubtful accounts were as follows (in thousands):</w:t>
            </w: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 w:type="dxa"/>
            <w:vAlign w:val="bottom"/>
            <w:tcBorders>
              <w:bottom w:val="single" w:sz="8" w:color="CCEEFF"/>
            </w:tcBorders>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2019, 2018 and 2017, respectively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6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Inventories consisted of the following at October 31, 2020 and 2019 (in thousands):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CCEEFF"/>
            </w:tcBorders>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and other</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Inventory reserves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3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changes in our inventory reserve accounts were as follows (in thousands):</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November 1, 2019, 2018 and 2017, respectively</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3,790</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Charged to cost of sales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October 31,</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6,484</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3,790</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October 31, 2020 and 2019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20" w:type="dxa"/>
            <w:vAlign w:val="bottom"/>
            <w:tcBorders>
              <w:bottom w:val="single" w:sz="8" w:color="auto"/>
            </w:tcBorders>
          </w:tcPr>
          <w:p>
            <w:pPr>
              <w:spacing w:after="0"/>
              <w:rPr>
                <w:sz w:val="16"/>
                <w:szCs w:val="16"/>
                <w:color w:val="auto"/>
              </w:rPr>
            </w:pPr>
          </w:p>
        </w:tc>
      </w:tr>
      <w:tr>
        <w:trPr>
          <w:trHeight w:val="188"/>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398,950</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386,953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524,248</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511,168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340,144</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317,568</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184,104</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the years ended October 31, 2020, 2019, and 2018 was $31.8 million, $34.3 million and $35.6 million, respectively.</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 October 31, 2020, 2019, and 2018. See further discussion at Note 1, "Nature of Operations, Basis of Presentation and Significant Accounting Policies - Long-Lived Assets - Property, Plant and Equipment and Intangible Assets with Defined Lives."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Effective November 1, 2019, we adopted Accounting Standards Codification Topic 842, "Leases" (ASC Topic 842), which requires leases to be recognized on the balance sheet. 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(calculated as the present value of lease payments over the term of the lease)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long-lived assets. Additionally, we monitor for events or changes in circumstances that may require a reassessment of one of our leases and determine if a remeasurement is required.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 at October 31, 2020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6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October 31, 2020</w:t>
            </w:r>
          </w:p>
        </w:tc>
      </w:tr>
      <w:tr>
        <w:trPr>
          <w:trHeight w:val="196"/>
        </w:trPr>
        <w:tc>
          <w:tcPr>
            <w:tcW w:w="2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22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Operating lease assets</w:t>
            </w:r>
          </w:p>
        </w:tc>
        <w:tc>
          <w:tcPr>
            <w:tcW w:w="69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51,824</w:t>
            </w:r>
          </w:p>
        </w:tc>
      </w:tr>
      <w:tr>
        <w:trPr>
          <w:trHeight w:val="203"/>
        </w:trPr>
        <w:tc>
          <w:tcPr>
            <w:tcW w:w="222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Finance lease assets</w:t>
            </w:r>
          </w:p>
        </w:tc>
        <w:tc>
          <w:tcPr>
            <w:tcW w:w="692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Property, plant and equipment (less accumulated depreciation of $1,089)</w:t>
            </w:r>
          </w:p>
        </w:tc>
        <w:tc>
          <w:tcPr>
            <w:tcW w:w="2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15,609</w:t>
            </w:r>
          </w:p>
        </w:tc>
      </w:tr>
      <w:tr>
        <w:trPr>
          <w:trHeight w:val="24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69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67,433</w:t>
            </w: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6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03"/>
        </w:trPr>
        <w:tc>
          <w:tcPr>
            <w:tcW w:w="2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2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6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22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Operating</w:t>
            </w:r>
          </w:p>
        </w:tc>
        <w:tc>
          <w:tcPr>
            <w:tcW w:w="69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7,459</w:t>
            </w:r>
          </w:p>
        </w:tc>
      </w:tr>
      <w:tr>
        <w:trPr>
          <w:trHeight w:val="229"/>
        </w:trPr>
        <w:tc>
          <w:tcPr>
            <w:tcW w:w="2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6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03"/>
        </w:trPr>
        <w:tc>
          <w:tcPr>
            <w:tcW w:w="2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Noncurrent</w:t>
            </w:r>
          </w:p>
        </w:tc>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0"/>
        </w:trPr>
        <w:tc>
          <w:tcPr>
            <w:tcW w:w="2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6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44,873</w:t>
            </w:r>
          </w:p>
        </w:tc>
      </w:tr>
      <w:tr>
        <w:trPr>
          <w:trHeight w:val="203"/>
        </w:trPr>
        <w:tc>
          <w:tcPr>
            <w:tcW w:w="2220" w:type="dxa"/>
            <w:vAlign w:val="bottom"/>
            <w:tcBorders>
              <w:bottom w:val="single" w:sz="8" w:color="CCEEFF"/>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rPr>
              <w:t>Finance</w:t>
            </w:r>
          </w:p>
        </w:tc>
        <w:tc>
          <w:tcPr>
            <w:tcW w:w="6920" w:type="dxa"/>
            <w:vAlign w:val="bottom"/>
            <w:tcBorders>
              <w:bottom w:val="single" w:sz="8" w:color="CCEEFF"/>
            </w:tcBorders>
          </w:tcPr>
          <w:p>
            <w:pPr>
              <w:ind w:left="380"/>
              <w:spacing w:after="0" w:line="202" w:lineRule="exact"/>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14,236</w:t>
            </w:r>
          </w:p>
        </w:tc>
      </w:tr>
      <w:tr>
        <w:trPr>
          <w:trHeight w:val="248"/>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6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for the year ended October 31, 2020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lease costs</w:t>
            </w:r>
          </w:p>
        </w:tc>
        <w:tc>
          <w:tcPr>
            <w:tcW w:w="186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0" w:type="dxa"/>
            <w:vAlign w:val="bottom"/>
          </w:tcPr>
          <w:p>
            <w:pPr>
              <w:spacing w:after="0"/>
              <w:rPr>
                <w:sz w:val="1"/>
                <w:szCs w:val="1"/>
                <w:color w:val="auto"/>
              </w:rPr>
            </w:pPr>
          </w:p>
        </w:tc>
      </w:tr>
      <w:tr>
        <w:trPr>
          <w:trHeight w:val="162"/>
        </w:trPr>
        <w:tc>
          <w:tcPr>
            <w:tcW w:w="9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72"/>
              <w:spacing w:after="0" w:line="16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6"/>
        </w:trPr>
        <w:tc>
          <w:tcPr>
            <w:tcW w:w="938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shd w:val="clear" w:color="auto" w:fill="CCEEFF"/>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03"/>
        </w:trPr>
        <w:tc>
          <w:tcPr>
            <w:tcW w:w="93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Finance lease cost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Amortization of leased assets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Variable lease costs</w:t>
            </w: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96"/>
        </w:trPr>
        <w:tc>
          <w:tcPr>
            <w:tcW w:w="9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440" w:type="dxa"/>
            <w:vAlign w:val="bottom"/>
            <w:tcBorders>
              <w:bottom w:val="single" w:sz="8" w:color="auto"/>
            </w:tcBorders>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year ended October 31, 2020 (in thousands):</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ind w:left="20"/>
        <w:spacing w:after="0" w:line="234" w:lineRule="auto"/>
        <w:rPr>
          <w:sz w:val="20"/>
          <w:szCs w:val="20"/>
          <w:color w:val="auto"/>
        </w:rPr>
      </w:pPr>
      <w:r>
        <w:rPr>
          <w:rFonts w:ascii="Times New Roman" w:cs="Times New Roman" w:eastAsia="Times New Roman" w:hAnsi="Times New Roman"/>
          <w:sz w:val="18"/>
          <w:szCs w:val="18"/>
          <w:color w:val="auto"/>
        </w:rPr>
        <w:t>Finance leases - financing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Times New Roman" w:cs="Times New Roman" w:eastAsia="Times New Roman" w:hAnsi="Times New Roman"/>
          <w:sz w:val="18"/>
          <w:szCs w:val="18"/>
          <w:color w:val="auto"/>
        </w:rPr>
        <w:t>Finance leases - operating cash flows</w:t>
      </w:r>
    </w:p>
    <w:p>
      <w:pPr>
        <w:ind w:left="20"/>
        <w:spacing w:after="0" w:line="233" w:lineRule="auto"/>
        <w:rPr>
          <w:sz w:val="20"/>
          <w:szCs w:val="20"/>
          <w:color w:val="auto"/>
        </w:rPr>
      </w:pPr>
      <w:r>
        <w:rPr>
          <w:rFonts w:ascii="Times New Roman" w:cs="Times New Roman" w:eastAsia="Times New Roman" w:hAnsi="Times New Roman"/>
          <w:sz w:val="18"/>
          <w:szCs w:val="18"/>
          <w:color w:val="auto"/>
        </w:rPr>
        <w:t>Operating leases - operating cash flows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Year Ended October 31,</w:t>
      </w: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2020</w:t>
      </w:r>
    </w:p>
    <w:p>
      <w:pPr>
        <w:spacing w:after="0" w:line="199" w:lineRule="exact"/>
        <w:rPr>
          <w:sz w:val="20"/>
          <w:szCs w:val="20"/>
          <w:color w:val="auto"/>
        </w:rPr>
      </w:pPr>
    </w:p>
    <w:p>
      <w:pPr>
        <w:ind w:left="1365" w:hanging="1365"/>
        <w:spacing w:after="0"/>
        <w:tabs>
          <w:tab w:leader="none" w:pos="136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1,092</w:t>
      </w:r>
    </w:p>
    <w:p>
      <w:pPr>
        <w:spacing w:after="0" w:line="27" w:lineRule="exact"/>
        <w:rPr>
          <w:sz w:val="20"/>
          <w:szCs w:val="20"/>
          <w:color w:val="auto"/>
        </w:rPr>
      </w:pPr>
    </w:p>
    <w:p>
      <w:pPr>
        <w:ind w:left="5"/>
        <w:spacing w:after="0"/>
        <w:tabs>
          <w:tab w:leader="none" w:pos="1485"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557</w:t>
      </w:r>
    </w:p>
    <w:p>
      <w:pPr>
        <w:spacing w:after="0" w:line="7" w:lineRule="exact"/>
        <w:rPr>
          <w:sz w:val="20"/>
          <w:szCs w:val="20"/>
          <w:color w:val="auto"/>
        </w:rPr>
      </w:pPr>
    </w:p>
    <w:p>
      <w:pPr>
        <w:ind w:left="1365" w:hanging="1365"/>
        <w:spacing w:after="0"/>
        <w:tabs>
          <w:tab w:leader="none" w:pos="136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8,681</w:t>
      </w:r>
    </w:p>
    <w:p>
      <w:pPr>
        <w:spacing w:after="0" w:line="24" w:lineRule="exact"/>
        <w:rPr>
          <w:sz w:val="20"/>
          <w:szCs w:val="20"/>
          <w:color w:val="auto"/>
        </w:rPr>
      </w:pPr>
    </w:p>
    <w:p>
      <w:pPr>
        <w:sectPr>
          <w:pgSz w:w="11900" w:h="16838" w:orient="portrait"/>
          <w:cols w:equalWidth="0" w:num="2">
            <w:col w:w="8675" w:space="720"/>
            <w:col w:w="1845"/>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90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3"/>
        </w:trPr>
        <w:tc>
          <w:tcPr>
            <w:tcW w:w="69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9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leases</w:t>
            </w:r>
          </w:p>
        </w:tc>
        <w:tc>
          <w:tcPr>
            <w:tcW w:w="3180" w:type="dxa"/>
            <w:vAlign w:val="bottom"/>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19,559</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bl>
    <w:p>
      <w:pPr>
        <w:spacing w:after="0" w:line="35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 average remaining lease terms and weighted average discount rates for the Company's leases as of October 31, 2020: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46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162"/>
        </w:trPr>
        <w:tc>
          <w:tcPr>
            <w:tcW w:w="662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jc w:val="right"/>
              <w:ind w:right="753"/>
              <w:spacing w:after="0" w:line="16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4620" w:type="dxa"/>
            <w:vAlign w:val="bottom"/>
            <w:shd w:val="clear" w:color="auto" w:fill="CCEEFF"/>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leases</w:t>
            </w:r>
          </w:p>
        </w:tc>
        <w:tc>
          <w:tcPr>
            <w:tcW w:w="4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Financing leases</w:t>
            </w:r>
          </w:p>
        </w:tc>
        <w:tc>
          <w:tcPr>
            <w:tcW w:w="4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15.25</w:t>
            </w:r>
          </w:p>
        </w:tc>
      </w:tr>
      <w:tr>
        <w:trPr>
          <w:trHeight w:val="270"/>
        </w:trPr>
        <w:tc>
          <w:tcPr>
            <w:tcW w:w="662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4620" w:type="dxa"/>
            <w:vAlign w:val="bottom"/>
            <w:shd w:val="clear" w:color="auto" w:fill="CCEEFF"/>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leases</w:t>
            </w:r>
          </w:p>
        </w:tc>
        <w:tc>
          <w:tcPr>
            <w:tcW w:w="4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3.52 %</w:t>
            </w: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Financing leases</w:t>
            </w:r>
          </w:p>
        </w:tc>
        <w:tc>
          <w:tcPr>
            <w:tcW w:w="4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3.62 %</w:t>
            </w: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October 31, 2020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196"/>
        </w:trPr>
        <w:tc>
          <w:tcPr>
            <w:tcW w:w="7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9,191</w:t>
            </w:r>
          </w:p>
        </w:tc>
        <w:tc>
          <w:tcPr>
            <w:tcW w:w="32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1,496</w:t>
            </w:r>
          </w:p>
        </w:tc>
      </w:tr>
      <w:tr>
        <w:trPr>
          <w:trHeight w:val="203"/>
        </w:trPr>
        <w:tc>
          <w:tcPr>
            <w:tcW w:w="7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8,754</w:t>
            </w:r>
          </w:p>
        </w:tc>
        <w:tc>
          <w:tcPr>
            <w:tcW w:w="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1,449</w:t>
            </w:r>
          </w:p>
        </w:tc>
      </w:tr>
      <w:tr>
        <w:trPr>
          <w:trHeight w:val="203"/>
        </w:trPr>
        <w:tc>
          <w:tcPr>
            <w:tcW w:w="7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8,340</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1,350</w:t>
            </w:r>
          </w:p>
        </w:tc>
      </w:tr>
      <w:tr>
        <w:trPr>
          <w:trHeight w:val="203"/>
        </w:trPr>
        <w:tc>
          <w:tcPr>
            <w:tcW w:w="7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7,581</w:t>
            </w:r>
          </w:p>
        </w:tc>
        <w:tc>
          <w:tcPr>
            <w:tcW w:w="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1,247</w:t>
            </w:r>
          </w:p>
        </w:tc>
      </w:tr>
      <w:tr>
        <w:trPr>
          <w:trHeight w:val="203"/>
        </w:trPr>
        <w:tc>
          <w:tcPr>
            <w:tcW w:w="7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6,166</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1,188</w:t>
            </w:r>
          </w:p>
        </w:tc>
      </w:tr>
      <w:tr>
        <w:trPr>
          <w:trHeight w:val="203"/>
        </w:trPr>
        <w:tc>
          <w:tcPr>
            <w:tcW w:w="70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19,941</w:t>
            </w: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12,768</w:t>
            </w:r>
          </w:p>
        </w:tc>
      </w:tr>
      <w:tr>
        <w:trPr>
          <w:trHeight w:val="196"/>
        </w:trPr>
        <w:tc>
          <w:tcPr>
            <w:tcW w:w="7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59,973</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19,498</w:t>
            </w:r>
          </w:p>
        </w:tc>
      </w:tr>
      <w:tr>
        <w:trPr>
          <w:trHeight w:val="203"/>
        </w:trPr>
        <w:tc>
          <w:tcPr>
            <w:tcW w:w="700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7,641</w:t>
            </w: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4,300</w:t>
            </w:r>
          </w:p>
        </w:tc>
      </w:tr>
      <w:tr>
        <w:trPr>
          <w:trHeight w:val="221"/>
        </w:trPr>
        <w:tc>
          <w:tcPr>
            <w:tcW w:w="7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52,332</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15,198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adoption of ASC Topic 842, we are required to present future minimum lease payments for operating and financing obligations having initial or remaining non-cancelable lease terms in excess of one year. These future minimum lease payments were previously disclosed in our 2019 Annual Report on Form 10-K and accounted for under previous lease guidance. Commitments as of October 31, 2019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line="20" w:lineRule="exact"/>
              <w:rPr>
                <w:sz w:val="1"/>
                <w:szCs w:val="1"/>
                <w:color w:val="auto"/>
              </w:rPr>
            </w:pPr>
          </w:p>
        </w:tc>
      </w:tr>
      <w:tr>
        <w:trPr>
          <w:trHeight w:val="177"/>
        </w:trPr>
        <w:tc>
          <w:tcPr>
            <w:tcW w:w="70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years ended October 31, 2020 and 2019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88"/>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2020 and 2019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219,627</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(74,600)</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2020</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145,563</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our annual testing date, August 31, 2020, we had five reporting units with goodwill balances. Two of these units were included in our NA Fenestration segment and had goodwill balances of $35.9 million and $2.8 million, two units were included in our EU Fenestration segment with goodwill balances of $50.9 million and $17.4 million, and our NA Cabinet Components segment had one unit with a goodwill balance of $39.1 million. During the year ended October 31, 2019, we recorded impairment charges of $74.6 million associated with our NA Cabinet Components segment. The details of the impairment charges, as well as the results of our goodwill assessments during the year ended October 31, 2020 are more fully described at Note 1, "Nature of Operations, Basis of Presentation and Significant Accounting Policies - Long-Lived Assets - Goodwill." For a summary of the change in the carrying amount of goodwill by segment, see Note 17, "Segment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October 31, 2020 and 2019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60" w:type="dxa"/>
            <w:vAlign w:val="bottom"/>
          </w:tcPr>
          <w:p>
            <w:pPr>
              <w:spacing w:after="0"/>
              <w:rPr>
                <w:sz w:val="16"/>
                <w:szCs w:val="16"/>
                <w:color w:val="auto"/>
              </w:rPr>
            </w:pPr>
          </w:p>
        </w:tc>
        <w:tc>
          <w:tcPr>
            <w:tcW w:w="26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16"/>
                <w:szCs w:val="16"/>
                <w:color w:val="auto"/>
              </w:rPr>
            </w:pPr>
          </w:p>
        </w:tc>
        <w:tc>
          <w:tcPr>
            <w:tcW w:w="2580" w:type="dxa"/>
            <w:vAlign w:val="bottom"/>
            <w:gridSpan w:val="4"/>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134"/>
        </w:trPr>
        <w:tc>
          <w:tcPr>
            <w:tcW w:w="3860" w:type="dxa"/>
            <w:vAlign w:val="bottom"/>
          </w:tcPr>
          <w:p>
            <w:pPr>
              <w:spacing w:after="0"/>
              <w:rPr>
                <w:sz w:val="11"/>
                <w:szCs w:val="11"/>
                <w:color w:val="auto"/>
              </w:rPr>
            </w:pPr>
          </w:p>
        </w:tc>
        <w:tc>
          <w:tcPr>
            <w:tcW w:w="16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Remaining Weighted</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8"/>
              <w:spacing w:after="0" w:line="13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8"/>
              <w:spacing w:after="0" w:line="134"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84"/>
        </w:trPr>
        <w:tc>
          <w:tcPr>
            <w:tcW w:w="3860" w:type="dxa"/>
            <w:vAlign w:val="bottom"/>
          </w:tcPr>
          <w:p>
            <w:pPr>
              <w:spacing w:after="0"/>
              <w:rPr>
                <w:sz w:val="15"/>
                <w:szCs w:val="15"/>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Average Useful Life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228"/>
        </w:trPr>
        <w:tc>
          <w:tcPr>
            <w:tcW w:w="3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70,103</w:t>
            </w: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9 years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35,210</w:t>
            </w:r>
          </w:p>
        </w:tc>
      </w:tr>
      <w:tr>
        <w:trPr>
          <w:trHeight w:val="23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 years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w:t>
            </w:r>
          </w:p>
        </w:tc>
      </w:tr>
      <w:tr>
        <w:trPr>
          <w:trHeight w:val="223"/>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124,784</w:t>
            </w:r>
          </w:p>
        </w:tc>
      </w:tr>
      <w:tr>
        <w:trPr>
          <w:trHeight w:val="20"/>
        </w:trPr>
        <w:tc>
          <w:tcPr>
            <w:tcW w:w="3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do not estimate a residual value associated with these intangible assets. See additional disclosure at Note 1, "Nature of Operations, Basis of Presentation and Significant Accounting Policies - Restructuring."</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October 31, 2019, we retired fully amortized identifiable intangible assets of $0.3 million related to customer relationships and patents and other technology. We retired $0.3 million of fully amortized identifiable assets related to customer relationships during the year ended October 31, 2020.</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associated with identifiable intangible assets for the years ended October 31, 2020, 2019, and 2018 was $14.3 million, $15.3 million and $16.2 million, respectively.</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ending October 31,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9"/>
        </w:trPr>
        <w:tc>
          <w:tcPr>
            <w:tcW w:w="9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3"/>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r>
      <w:tr>
        <w:trPr>
          <w:trHeight w:val="230"/>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37,657</w:t>
            </w: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incur impairment losses related to our identifiable intangible assets during the years ended October 31, 2020, 2019, and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at October 31, 2020 and 2019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payroll taxes and employee benefits</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insurance and workers compensation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(current portion)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0" w:type="dxa"/>
            <w:vAlign w:val="bottom"/>
          </w:tcPr>
          <w:p>
            <w:pPr>
              <w:spacing w:after="0"/>
              <w:rPr>
                <w:sz w:val="1"/>
                <w:szCs w:val="1"/>
                <w:color w:val="auto"/>
              </w:rPr>
            </w:pPr>
          </w:p>
        </w:tc>
      </w:tr>
      <w:tr>
        <w:trPr>
          <w:trHeight w:val="21"/>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at October 31, 2020 and 2019 (in thousands):</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5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5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3"/>
        </w:trPr>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116,728</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29, 2016, we entered into a $450.0 million credit agreement comprising a $150.0 million Term Loan A and a $300.0 million revolving credit facility (collectively, the “2016 Credit Agreement”), with Wells Fargo Bank, National Association, as Agent, Swingline Lender and Issuing Lender, and Bank of America, N.A. serving as Syndication Agent. The 2016 Credit Agreement had a five-year term, maturing on July 29, 2021, and required interest payments calculated, at our election and depending upon our Consolidated Leverage Ratio, at either a Base Rate plus an applicable margin (0.50% to 1.25%) or the LIBOR Rate plus an applicable margin (1.50% to 2.25%). At the time of the initial borrowing, the applicable rate was LIBOR + 2.00%. In addition, we were subject to commitment fees for the unused portion of the 2016 Credit Agreement (0.20% to 0.30%).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October 18, 2018, we amended and extended the 2016 Credit Agreement by entering into a $325.0 million revolving credit facility (the “2018 Credit Facility”), with Wells Fargo Bank, National Association, as Agent, Swingline Lender and Issuing Lender, and Bank of America, N.A. serving as Syndication Agent. The 2018 Credit Facility has a five-year term, maturing on October 18, 2023, and requires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2018 Credit Facility.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4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40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LIBOR Rate Loans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than or equal to 1.50 to 1.00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0.200%</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175"/>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4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Greater than 1.50 to 1.00, but less than or equal to</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0.225%</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2.25 to 1.00</w:t>
            </w:r>
          </w:p>
        </w:tc>
        <w:tc>
          <w:tcPr>
            <w:tcW w:w="162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40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Greater than 2.25 to 1.00, but less than or equal to</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0" w:type="dxa"/>
            <w:vAlign w:val="bottom"/>
          </w:tcPr>
          <w:p>
            <w:pPr>
              <w:spacing w:after="0"/>
              <w:rPr>
                <w:sz w:val="1"/>
                <w:szCs w:val="1"/>
                <w:color w:val="auto"/>
              </w:rPr>
            </w:pPr>
          </w:p>
        </w:tc>
      </w:tr>
      <w:tr>
        <w:trPr>
          <w:trHeight w:val="230"/>
        </w:trPr>
        <w:tc>
          <w:tcPr>
            <w:tcW w:w="1300" w:type="dxa"/>
            <w:vAlign w:val="bottom"/>
            <w:vMerge w:val="continue"/>
            <w:shd w:val="clear" w:color="auto" w:fill="CCEEFF"/>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3.00 to 1.00</w:t>
            </w:r>
          </w:p>
        </w:tc>
        <w:tc>
          <w:tcPr>
            <w:tcW w:w="162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Greater than 3.00 to 1.00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0.300%</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2018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Agreement.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must be greater than 3.25 to 1.00.</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2018 Credit Facility. Some of these limitations, however, do not take effect so long as total leverage is less than or equal to 2.75 to 1.00 and available liquidity exceeds $25 million. Substantially all of our domestic assets, with the exception of real property were used as collateral for the Credit Agreement.</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initial borrowings from the 2018 Credit Facility were $205.0 million and along with additional funding of $10.0 million of cash on hand, was used to repay outstanding borrowings under the 2016 Credit Agreement of $213.5 million, to settle outstanding interest accrued and loan fees under the prior facility, and to pay loan fees associated with the 2018 Credit Agreement which totaled $1.0 million. We expensed $1.1 million of unamortized deferred financing fees associated with the 2016 Credit Agreement, while deferring the remaining $0.5 million of unamortized deferred financing fees attributable to the remaining lenders from the previous facility over the life of the 2018 Credit Facility.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October 31, 2020, we had $103.0 million of borrowings outstanding under the 2018 Credit Facility (reduced by unamortized debt issuance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$0.9 million), $4.8 million of outstanding letters of credit and $15.3 million outstanding under finance leases. We had $217.2 million available for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2018 Credit Facility at October 31, 2020. The borrowings outstanding as of October 31, 2020 under the 2018 Credit Facility accrue interest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per annum, and our weighted average borrowing rate for borrowings outstanding during the years ended October 31, 2020 and 2019 was 2.45%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4.07%, respectively. We were in compliance with our debt covenants as of October 31, 2020.</w:t>
      </w:r>
    </w:p>
    <w:p>
      <w:pPr>
        <w:spacing w:after="0" w:line="153"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maintain certain finance lease obligations related to equipment purchases, vehicles, and warehouse space. Refer to Note 5 "Leases" for further information regarding our finance leases.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scheduled maturity dates of our long-term debt outstanding (excluding deferred loan costs of $0.9 million )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2020 (in thousands):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1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Finance Leases and Other</w:t>
            </w:r>
          </w:p>
        </w:tc>
        <w:tc>
          <w:tcPr>
            <w:tcW w:w="160" w:type="dxa"/>
            <w:vAlign w:val="bottom"/>
          </w:tcPr>
          <w:p>
            <w:pPr>
              <w:spacing w:after="0"/>
              <w:rPr>
                <w:sz w:val="13"/>
                <w:szCs w:val="13"/>
                <w:color w:val="auto"/>
              </w:rPr>
            </w:pP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Maturities</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payments</w:t>
            </w:r>
          </w:p>
        </w:tc>
        <w:tc>
          <w:tcPr>
            <w:tcW w:w="1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122,621</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 of finance leases</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a number of retirement plans covering substantially all employees. We provide both defined benefit and defined contribution plans. In general, an employee’s coverage for retirement benefits depends on the location of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a non-contributory, single employer defined benefit pension plan that covers the majority of our domestic employees, excluding the NA Cabinet Component employees who are not currently participating.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Every year, the participants will receive an interest related credit on their respective balance equivalent to the prevailing 30-year Treasury rate. Of our pension plan participants, 99% have their benefit determined pursuant to the cash balance formula. For the remaining 1% of participants, the benefit formula is a traditional formula for retirement benefits, whereby the plan pays benefits to employees upon retirement, using a formula which considers years of service and pensionable compensation prior to retirement.</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this action, we remeasured the pension assets and obligations for the pension plan, which resulted in a decrease to our projected benefit obligation and a corresponding net actuarial gain that was recorded in accumulated other comprehensive income (loss). This remeasurement is included in the tables below, which reflect the full impact of pension plan results and accounting measurements for the year ended October 31, 2020.</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was signed into law on December 8, 2003. This Act introduces a Medicare prescription-drug benefit beginning in 2006 as well as a federal subsidy to sponsors of retiree health care plans that provide a benefit at least “actuarially equivalent” to the Medicare benefit. We concluded that our plans are at least “actuarially equivalent” to the Medicare benefit. For those who are otherwise eligible for the subsidy, we have not included this subsidy per the Act in our benefit calculations. The impact to net periodic benefit cost and to benefits paid did not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Funded Status and Net periodic Benefit Cost</w:t>
      </w:r>
    </w:p>
    <w:p>
      <w:pPr>
        <w:spacing w:after="0" w:line="173"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changes in benefit obligation and plan assets, and our funded status (reported in deferred pension and postretirement benefits on the consolidated balance sheets) were as follows (in thousands):</w:t>
      </w:r>
    </w:p>
    <w:tbl>
      <w:tblPr>
        <w:tblLayout w:type="fixed"/>
        <w:tblInd w:w="0" w:type="dxa"/>
        <w:tblCellMar>
          <w:top w:w="0" w:type="dxa"/>
          <w:left w:w="0" w:type="dxa"/>
          <w:bottom w:w="0" w:type="dxa"/>
          <w:right w:w="0" w:type="dxa"/>
        </w:tblCellMar>
      </w:tblPr>
      <w:tr>
        <w:trPr>
          <w:trHeight w:val="194"/>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2019 and 2018, respectively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35,959</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Curtailments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October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1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2019 and 2018, respectively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October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 liability - Funded Status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0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2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October 31, 2020 and 2019, included in our accumulated comprehensive loss was a net actuarial loss of $9.9 million and $6.7 million, respectively. There were no net prior service costs or transition obligations for the years ended October 31, 2020 and 2019.</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2020 and 2019, the accumulated benefit obligation was $44.8 million and $43.3 million, respectively. The accumulated benefit obligation is the present value of pension benefits (whether vested or unvested) attributed to employee service rendered before the measurement date, and based on employee service and compensation prior to that date. The accumulated benefit obligation differs from the projected benefit obligation in that it includes no assumption about future compensation levels.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periodic benefit cost for the years ended October 31, 2020, 2019 and 2018,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6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changes in plan assets and projected benefit obligations which were recognized in our other comprehensive loss for the years ended October 31, 2020, 2019 and 2018 were as follows (in thousands):</w:t>
      </w:r>
    </w:p>
    <w:tbl>
      <w:tblPr>
        <w:tblLayout w:type="fixed"/>
        <w:tblInd w:w="4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92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arising during the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29"/>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Amortization of net loss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Curtailments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Settlements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other comprehensive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Date and Assumptions</w:t>
      </w:r>
    </w:p>
    <w:p>
      <w:pPr>
        <w:spacing w:after="0" w:line="173"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We generally determine our actuarial assumptions on an annual basis, with a measurement date of October 31. The following table presents our assumptions for pension benefit calculations for the years ended October 31, 2020, 2019 and 2018:</w:t>
      </w: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October 31,</w:t>
            </w:r>
          </w:p>
        </w:tc>
        <w:tc>
          <w:tcPr>
            <w:tcW w:w="800" w:type="dxa"/>
            <w:vAlign w:val="bottom"/>
            <w:tcBorders>
              <w:bottom w:val="single" w:sz="8" w:color="auto"/>
            </w:tcBorders>
          </w:tcPr>
          <w:p>
            <w:pPr>
              <w:spacing w:after="0"/>
              <w:rPr>
                <w:sz w:val="16"/>
                <w:szCs w:val="16"/>
                <w:color w:val="auto"/>
              </w:rPr>
            </w:pPr>
          </w:p>
        </w:tc>
      </w:tr>
      <w:tr>
        <w:trPr>
          <w:trHeight w:val="188"/>
        </w:trPr>
        <w:tc>
          <w:tcPr>
            <w:tcW w:w="46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Benefit Obligation</w:t>
            </w: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Net Periodic Benefit Cost</w:t>
            </w:r>
          </w:p>
        </w:tc>
        <w:tc>
          <w:tcPr>
            <w:tcW w:w="800" w:type="dxa"/>
            <w:vAlign w:val="bottom"/>
            <w:tcBorders>
              <w:bottom w:val="single" w:sz="8" w:color="auto"/>
            </w:tcBorders>
          </w:tcPr>
          <w:p>
            <w:pPr>
              <w:spacing w:after="0"/>
              <w:rPr>
                <w:sz w:val="18"/>
                <w:szCs w:val="18"/>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8"/>
              </w:rPr>
              <w:t>3.22%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3.10%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c>
          <w:tcPr>
            <w:tcW w:w="8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3.68%</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40" w:type="dxa"/>
            <w:vAlign w:val="bottom"/>
          </w:tcPr>
          <w:p>
            <w:pPr>
              <w:spacing w:after="0"/>
              <w:rPr>
                <w:sz w:val="19"/>
                <w:szCs w:val="19"/>
                <w:color w:val="auto"/>
              </w:rPr>
            </w:pPr>
          </w:p>
        </w:tc>
        <w:tc>
          <w:tcPr>
            <w:tcW w:w="8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6"/>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3.00%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6.50%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8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6.50%</w:t>
            </w: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discount rate was used to calculate the present value of the projected benefit obligation for pension benefits. The rate reflects the amount at which benefits could be effectively settled on the measurement date. We used a RATE: Link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expected return on plan assets was used to determine net periodic pension expense. The rate of return assumptions were based on projected long-term market returns for the various asset classes in which the plans were invested, weighted by the target asset allocations. We review the return assumption at least annually. The rate of compensation increase represents the long-term assumption for expected increases in salaries.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provide our target allocation for the year ended October 31, 2020, as well as the actual asset allocation by asset category and fair value measurements as of October 31, 2020 and 2019:</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Target Allocation</w:t>
            </w:r>
          </w:p>
        </w:tc>
        <w:tc>
          <w:tcPr>
            <w:tcW w:w="260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Actual Allocation</w:t>
            </w:r>
          </w:p>
        </w:tc>
        <w:tc>
          <w:tcPr>
            <w:tcW w:w="1500" w:type="dxa"/>
            <w:vAlign w:val="bottom"/>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19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40" w:type="dxa"/>
            <w:vAlign w:val="bottom"/>
          </w:tcPr>
          <w:p>
            <w:pPr>
              <w:spacing w:after="0"/>
              <w:rPr>
                <w:sz w:val="16"/>
                <w:szCs w:val="16"/>
                <w:color w:val="auto"/>
              </w:rPr>
            </w:pPr>
          </w:p>
        </w:tc>
        <w:tc>
          <w:tcPr>
            <w:tcW w:w="260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5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2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r>
      <w:tr>
        <w:trPr>
          <w:trHeight w:val="188"/>
        </w:trPr>
        <w:tc>
          <w:tcPr>
            <w:tcW w:w="7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164"/>
        </w:trPr>
        <w:tc>
          <w:tcPr>
            <w:tcW w:w="7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20" w:type="dxa"/>
            <w:vAlign w:val="bottom"/>
          </w:tcPr>
          <w:p>
            <w:pPr>
              <w:spacing w:after="0"/>
              <w:rPr>
                <w:sz w:val="14"/>
                <w:szCs w:val="14"/>
                <w:color w:val="auto"/>
              </w:rPr>
            </w:pPr>
          </w:p>
        </w:tc>
      </w:tr>
      <w:tr>
        <w:trPr>
          <w:trHeight w:val="23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capitalization</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capitalization</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3"/>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r>
      <w:tr>
        <w:trPr>
          <w:trHeight w:val="196"/>
        </w:trPr>
        <w:tc>
          <w:tcPr>
            <w:tcW w:w="7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High-quality core bond</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High-quality government bond</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High-yield bond</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3"/>
        </w:trPr>
        <w:tc>
          <w:tcPr>
            <w:tcW w:w="7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w:t>
            </w:r>
          </w:p>
        </w:tc>
      </w:tr>
      <w:tr>
        <w:trPr>
          <w:trHeight w:val="248"/>
        </w:trPr>
        <w:tc>
          <w:tcPr>
            <w:tcW w:w="7240" w:type="dxa"/>
            <w:vAlign w:val="bottom"/>
            <w:tcBorders>
              <w:bottom w:val="single" w:sz="8" w:color="CCEEFF"/>
            </w:tcBorders>
            <w:shd w:val="clear" w:color="auto" w:fill="CCEEFF"/>
          </w:tcPr>
          <w:p>
            <w:pPr>
              <w:ind w:left="380"/>
              <w:spacing w:after="0" w:line="223" w:lineRule="exact"/>
              <w:rPr>
                <w:sz w:val="20"/>
                <w:szCs w:val="20"/>
                <w:color w:val="auto"/>
              </w:rPr>
            </w:pPr>
            <w:r>
              <w:rPr>
                <w:rFonts w:ascii="Times New Roman" w:cs="Times New Roman" w:eastAsia="Times New Roman" w:hAnsi="Times New Roman"/>
                <w:sz w:val="18"/>
                <w:szCs w:val="18"/>
                <w:color w:val="auto"/>
              </w:rPr>
              <w:t>Total securities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20" w:hanging="150"/>
        <w:spacing w:after="0"/>
        <w:tabs>
          <w:tab w:leader="none" w:pos="32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Quoted prices in active markets for identical assets (Level 1).</w:t>
      </w:r>
    </w:p>
    <w:p>
      <w:pPr>
        <w:spacing w:after="0" w:line="13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Inputs and valuation techniques used to measure the fair value of plan assets vary according to the type of security being valued. All of the equity and debt securities held directly by the plans were actively traded and fair values were determined based on quoted market prices.</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investment objective for defined benefit plan assets is to meet the plans’ benefit obligations, while minimizing the potential for future required plan contributions. The investment strategies focus on asset class diversification, liquidity to meet benefit payments and an appropriate balance of long-term investment return and risk. Target ranges for asset allocations are determined by matching the actuarial projections of the plans’ future liabilities and benefit payments with expected long-term rates of return on the assets, taking into account investment return volatility and correlations across asset classes. Plan assets are diversified across several investment managers and are generally invested in liquid funds that are selected to track broad market equity and bond indices. Investment risk is carefully controlled with plan assets rebalanced to target allocations on a periodic basis and monitoring of performance of investment managers relative to the investment guidelines established with each investment manager.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Benefit Payments and Funding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pension funding policy is to make the minimum annual contributions required pursuant to the plan. We accelerated contributions to target a 100% funding threshold. Additionally, we consider funding annual requirements early in the fiscal year to potentially maximize the return on assets. For the fiscal years ended October 31, 2020, 2019 and 2018, we made total pension contributions of $3.7 million, $0.7 million and $0.8 million, respectively.</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2021, we expect to contribute approximately $0.5 million to the pension plan to reach targeted funding levels and meet minimum contribution requirements. This expected contribution level will be dependent on many variables, including the market value of the assets compared to the obligation, as well as other market or regulatory conditions. In addition, we consider the cash requirements of our business investment opportunities. Accordingly, actual funding amounts and the timing of such funding may differ from current estimates.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total benefit payments expected to be paid to participants by year, which includes payments funded from our assets, as well as payments paid from the plan for the year ended October 31, (in thousands):</w:t>
      </w: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Pension Benefits</w:t>
            </w:r>
          </w:p>
        </w:tc>
      </w:tr>
      <w:tr>
        <w:trPr>
          <w:trHeight w:val="23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2026 - 2030</w:t>
            </w:r>
          </w:p>
        </w:tc>
        <w:tc>
          <w:tcPr>
            <w:tcW w:w="4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sponsor two defined contribution plans into which we and our employees make contributions. As of January 1, 2020, we match 100% up to the first 5% of employee annual salary deferrals under our plan for all employees excluding NA Cabinet Components participants, who receive a 100% match up to 4% of employee annual salary deferrals. Between January 1, 2018 and January 1, 2020, we matched 50% up to the first 5% of employee salary deferrals. We do not offer our common stock as a direct investment option under these plans. For the years ended October 31, 2020, 2019 and 2018, we contributed approximately $4.8 million, $2.7 million and $2.6 million for these plans,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our postretirement benefit plan, we provide certain healthcare and life insurance benefits for a small number of eligible retired employees who were employed prior to January 1, 1993. Certain employees may become eligible for those benefits if they reach normal retirement age while working for us. We continue to fund benefit costs on a pay-as-you-go basis.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indicates the amount of these liabilities included in the accompanying consolidated balance sheets: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169"/>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4"/>
          </w:tcPr>
          <w:p>
            <w:pPr>
              <w:jc w:val="right"/>
              <w:ind w:right="1175"/>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3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pension and postretirement benefits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8"/>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have supplemental benefit plans covering certain executive officers and a non-qualified deferred compensation plan covering members of the Board of Directors and certain key employees. Our liability under the supplemental benefit plan was approximately $2.6 million and $4.2 million as of October 31, 2020 and 2019, and our liability under the deferred compensation plan was approximately $3.3 million and $3.8 million, respectively. As of October 31, 2020 and 2019, the current portion of these liabilities was recorded under the caption "Accrued Liabilities," and the long-term portion was included under the caption "Other Liabilities" in the accompanying balance sheets.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We provide for income taxes on taxable income at the applicable statutory rates. The following table summarizes the components of income tax expense (benefit) for the years ended October 31, 2020, 2019 and 2018 (in thousands):</w:t>
      </w:r>
    </w:p>
    <w:tbl>
      <w:tblPr>
        <w:tblLayout w:type="fixed"/>
        <w:tblInd w:w="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Non-United States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3"/>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11,993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Non-United States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6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w:t>
            </w:r>
          </w:p>
        </w:tc>
      </w:tr>
      <w:tr>
        <w:trPr>
          <w:trHeight w:val="248"/>
        </w:trPr>
        <w:tc>
          <w:tcPr>
            <w:tcW w:w="64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11,804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For financial reporting purposes, income (loss) before income taxes for the years ended October 31, 2020, 2019 and 2018 includes the following components (in thousands):</w:t>
      </w:r>
    </w:p>
    <w:tbl>
      <w:tblPr>
        <w:tblLayout w:type="fixed"/>
        <w:tblInd w:w="4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7"/>
              </w:rPr>
              <w:t>(58,247)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rPr>
              <w:t>22,293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16,032</w:t>
            </w:r>
          </w:p>
        </w:tc>
      </w:tr>
      <w:tr>
        <w:trPr>
          <w:trHeight w:val="248"/>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7"/>
              </w:rPr>
              <w:t>(35,954)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effective income tax rate to the federal statutory rate for the years ended October 31, 2020, 2019 and 2018:</w:t>
      </w:r>
    </w:p>
    <w:p>
      <w:pPr>
        <w:spacing w:after="0" w:line="4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October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tax at statutory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 income tax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rate impact of enactment of tax reform</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positions under the Act (GILTI and FDII)</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deemed repatriation</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Return to actual adjustments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was signed into law. This Act reduced our federal income tax statutory rate from 35.0% to 21.0% for the fiscal years ending October 31, 2020 and October 31, 2019, and 23.3% for the fiscal year ended October 31, 2018, which reflects the period November 1, 2017 to December 31, 2017 at the previous 35.0% rate and the period January 1, 2018 to October 31, 2018 at the new 21.0% rate. This Act also imposed additional tax law changes that became effective during fiscal 2019, which include new requirements for a global intangible low-taxed income provision (GILTI) and a deduction for foreign-derived intangible income (FDII). We elected to account for the tax on GILTI as a period cost and therefore have not recorded deferred taxes related to GILTI on our foreign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October 31, 2020 effective tax rate was impacted by the true-up of our accruals and related deferred taxes from prior year filings and settled tax audits as well as $0.6 million related to the vesting or exercise of equity-based compensation awards.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October 31, 2019 effective rate was primarily impacted by a net charge of $1.2 million related to GILTI and FDII, as well as discrete charge of $0.4 million for the adjustment of the one-time mandatory transition tax on deemed repatriation of previously tax-deferred and unremitted foreign earnings and $0.6 million related to the vesting or exercise of equity-based compensation awards. Additionally, during the year ended October 31, 2019, we recorded a $74.6 million asset impairment charge, which was primarily non-deductible, in the NA Cabinet Components segment, as further explained in Note 6, "Goodwill and Intangible Assets."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Discrete items contributing to the October 31, 2018 income tax benefit included $7.7 million for the remeasurement of our deferred income tax assets and liabilities due to the decrease in the federal corporate income tax rate, a benefit of $0.2 million for the true up of our accruals and related deferred taxes from prior year filings and settled tax audits, and a benefit of $0.2 million related to the vesting or exercise of equity-based compensation awards, partially offset by a tax expense of $1.2 million for the one-time mandatory transition tax on deemed repatriation of previously tax-deferred and unremitted foreign earnings.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Given the significance of the Tax Cuts and Jobs Act, the SEC staff issued Staff Accounting Bulletin No. 118 (SAB 118), which allows registrants to record provisional amounts during a one year “measurement period." As of October 31, 2019, we have completed the accounting for the tax effects of the Act.</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light of the Tax Cuts and Jobs Act, we repatriated $31.9 million and $24.2 million of foreign earnings from our international operations during the years ended October 31, 2020 and 2019, respectively. This was repatriation of excess cash that was a portion of the one-time mandatory transition tax discussed above. We will continue to evaluate our foreign cash position and may repatriate additional foreign earnings in the future. With the exception of the one-time mandatory transition tax on deemed repatriation of previously tax-deferred and unremitted foreign earnings, we do not anticipate any material tax impact from any potential repatriation of previously unremitted foreign earnings. If the investment in our foreign subsidiaries were completely realized, we would not incur a residual U.S. tax liability.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components of our net deferred tax liabilities and assets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180" w:type="dxa"/>
            <w:vAlign w:val="bottom"/>
            <w:tcBorders>
              <w:bottom w:val="single" w:sz="8" w:color="auto"/>
            </w:tcBorders>
          </w:tcPr>
          <w:p>
            <w:pPr>
              <w:spacing w:after="0"/>
              <w:rPr>
                <w:sz w:val="16"/>
                <w:szCs w:val="16"/>
                <w:color w:val="auto"/>
              </w:rPr>
            </w:pPr>
          </w:p>
        </w:tc>
      </w:tr>
      <w:tr>
        <w:trPr>
          <w:trHeight w:val="187"/>
        </w:trPr>
        <w:tc>
          <w:tcPr>
            <w:tcW w:w="7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2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other benefit obligations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and tax credit carry forwards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w:t>
            </w:r>
          </w:p>
        </w:tc>
      </w:tr>
      <w:tr>
        <w:trPr>
          <w:trHeight w:val="23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23,623</w:t>
            </w:r>
          </w:p>
        </w:tc>
      </w:tr>
      <w:tr>
        <w:trPr>
          <w:trHeight w:val="223"/>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34,698</w:t>
            </w:r>
          </w:p>
        </w:tc>
      </w:tr>
      <w:tr>
        <w:trPr>
          <w:trHeight w:val="255"/>
        </w:trPr>
        <w:tc>
          <w:tcPr>
            <w:tcW w:w="7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At October 31, 2020, state operating loss carry forwards totaled $30.1 million. The majority of these losses begin to expire in 2025. Tax credits available to offset future tax liabilities totaled $0.6 million and are expected to be utilized within the next twelve months. We evaluate tax benefits of operating losses and tax credit carry forwards on an ongoing basis, including a review of historical and projected future operating results, the eligible carry forward period and other circumstances. We have recorded a valuation allowance for certain state net operating losses as of October 31, 2020 and 2019, totaling $1.5 million and $1.6 million, respectively ($1.2 million net of federal taxes for each year) for the respective periods. In assessing the need for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we consider both positive and negative evidence related to the likelihood of realization of the deferred tax assets.</w:t>
      </w:r>
    </w:p>
    <w:p>
      <w:pPr>
        <w:spacing w:after="0" w:line="171"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shows the change in the unrecognized income tax benefit associated with uncertain tax positions for the years ended October 31, 2020, 2019 and 2018 (in thousands):</w:t>
      </w:r>
    </w:p>
    <w:tbl>
      <w:tblPr>
        <w:tblLayout w:type="fixed"/>
        <w:tblInd w:w="0" w:type="dxa"/>
        <w:tblCellMar>
          <w:top w:w="0" w:type="dxa"/>
          <w:left w:w="0" w:type="dxa"/>
          <w:bottom w:w="0" w:type="dxa"/>
          <w:right w:w="0" w:type="dxa"/>
        </w:tblCellMar>
      </w:tblPr>
      <w:tr>
        <w:trPr>
          <w:trHeight w:val="147"/>
        </w:trPr>
        <w:tc>
          <w:tcPr>
            <w:tcW w:w="9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373"/>
              <w:spacing w:after="0" w:line="147" w:lineRule="exact"/>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89"/>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Income Tax Benefits</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October 31, 2020, our unrecognized tax benefit (UTB) relates to certain state tax items regarding the interpretation of tax laws and regulations. At October 31, 2020, $0.5 million is recorded as a liability for uncertain tax positions. The disallowance of the UTB would not materially affect the annual effective tax rate.</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along with our subsidiaries, file income tax returns in the U.S. and various state jurisdictions as well as in the U.K., Germany and Canada. In certain jurisdictions, the statute of limitations has not yet expired. We generally remain subject to examination of our U.S. income tax returns for 2016 and subsequent years. We generally remain subject to examination of our various state and foreign income tax returns for a period of four to five years from the date the return was filed. The state impact of any federal changes remains subject to examination by various states for a period of up to one year after formal notification to the state of the federal change.</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We do not believe any of the UTB at October 31, 2020 will be recognized within the next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 party to non-cancelable purchase obligations primarily for door hardware, primary and secondary steel and primary and secondary aluminum used in our manufacturing processes, as well as expenditures related to capital projects in progress. We paid $9.0 million and $11.1 million pursuant to these arrangements for the years ended October 31, 2020 and 2019, respectively. These obligations total $22.4 million and $18.7 million at October 31, 2020 and 2019, respectively, and extend through fiscal 2021. Future amounts paid pursuant to these arrangements will depend, to some extent, on our usage.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maintain an asset retirement obligation associated with a leased facility in Kent, Washington. We have estimated our future cash flows associated with this asset retirement obligation and recorded an asset and corresponding liability. We are depreciating the asset and accreting the liability over a seven year term, to culminate in an asset retirement obligation of $2.3 million as of February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2021.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During the year ended October 31, 2018 our insurance carrier reimbursed fees and expenses originally incurred as part of our defense of these various commercial sealant claims totaling $0.5 million. There were no corresponding reimbursements during the years ended October 31, 2020 or 2019.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2020 no instruments were being measured on a recurring basis. For the year ended October 31, 2019, foreign currency derivatives were the only instruments being measured on a recurring basis. Less than $0.1 million of foreign currency derivatives were included in total assets as of October 31, 2019. There were no outstanding foreign currency derivatives as of October 31, 2020. All of our derivative contracts are valued using quoted market prices from brokers or exchanges and are classified within Level 2 of the fair value hierarchy.</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sheets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2020 and 2019 (Level 2 measurement).</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liability portion of our performance share awards are marked-to-market on a quarterly basis during a three-year vesting period based on market data (Level 2 measurement). For further information refer to Note 13. Stock-Based Compensation - Performance Share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a restricted stock award is entitled to all of the rights of a shareholder, except that the awards are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years ended October 31, 2020, 2019 and 2018,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5"/>
        </w:trPr>
        <w:tc>
          <w:tcPr>
            <w:tcW w:w="7480" w:type="dxa"/>
            <w:vAlign w:val="bottom"/>
          </w:tcPr>
          <w:p>
            <w:pPr>
              <w:spacing w:after="0"/>
              <w:rPr>
                <w:sz w:val="11"/>
                <w:szCs w:val="11"/>
                <w:color w:val="auto"/>
              </w:rPr>
            </w:pPr>
          </w:p>
        </w:tc>
        <w:tc>
          <w:tcPr>
            <w:tcW w:w="1740" w:type="dxa"/>
            <w:vAlign w:val="bottom"/>
            <w:vMerge w:val="restart"/>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rPr>
              <w:t>Grant Date Fair Value per</w:t>
            </w:r>
          </w:p>
        </w:tc>
        <w:tc>
          <w:tcPr>
            <w:tcW w:w="0" w:type="dxa"/>
            <w:vAlign w:val="bottom"/>
          </w:tcPr>
          <w:p>
            <w:pPr>
              <w:spacing w:after="0"/>
              <w:rPr>
                <w:sz w:val="1"/>
                <w:szCs w:val="1"/>
                <w:color w:val="auto"/>
              </w:rPr>
            </w:pPr>
          </w:p>
        </w:tc>
      </w:tr>
      <w:tr>
        <w:trPr>
          <w:trHeight w:val="184"/>
        </w:trPr>
        <w:tc>
          <w:tcPr>
            <w:tcW w:w="74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Share</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2017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2018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(69,400)</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2019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Cancelled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the years ended October 31, 2020, 2019 and 2018 was $1.1 million, $1.3 million and $2.3 million, respectively. As of October 31, 2020, total unrecognized compensation cost related to unamortized restricted stock awards totaled $1.2 million. We expect to recognize this expense over the remaining weighted average period of 1.7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2020, 2019, and 2018.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We used the Black-Scholes pricing model to estimate the grant date fair value. The inputs to this model included expected volatility, expected term, a risk-free rate and expected dividend rate at the time of grant. For employees who were nearing retirement-eligibility, we recognized stock option expense ratably over the shorter of the vesting period or the period from the grant-date to the retirement-eligibility date.</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years ended October 31, 2020, 2019 and 2018.</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00" w:type="dxa"/>
            <w:vAlign w:val="bottom"/>
          </w:tcPr>
          <w:p>
            <w:pPr>
              <w:spacing w:after="0"/>
              <w:rPr>
                <w:sz w:val="12"/>
                <w:szCs w:val="12"/>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520" w:type="dxa"/>
            <w:vAlign w:val="bottom"/>
            <w:vMerge w:val="restart"/>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200" w:type="dxa"/>
            <w:vAlign w:val="bottom"/>
          </w:tcPr>
          <w:p>
            <w:pPr>
              <w:spacing w:after="0"/>
              <w:rPr>
                <w:sz w:val="11"/>
                <w:szCs w:val="11"/>
                <w:color w:val="auto"/>
              </w:rPr>
            </w:pPr>
          </w:p>
        </w:tc>
        <w:tc>
          <w:tcPr>
            <w:tcW w:w="112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 (in years)</w:t>
            </w:r>
          </w:p>
        </w:tc>
        <w:tc>
          <w:tcPr>
            <w:tcW w:w="2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Value (000s)</w:t>
            </w:r>
          </w:p>
        </w:tc>
        <w:tc>
          <w:tcPr>
            <w:tcW w:w="0" w:type="dxa"/>
            <w:vAlign w:val="bottom"/>
          </w:tcPr>
          <w:p>
            <w:pPr>
              <w:spacing w:after="0"/>
              <w:rPr>
                <w:sz w:val="1"/>
                <w:szCs w:val="1"/>
                <w:color w:val="auto"/>
              </w:rPr>
            </w:pPr>
          </w:p>
        </w:tc>
      </w:tr>
      <w:tr>
        <w:trPr>
          <w:trHeight w:val="22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2017</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2,152,758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(377,218)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1,753,656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(132,700)</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1,416,186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1,095,329</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at October 31, 2020</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1,095,329</w:t>
            </w:r>
          </w:p>
        </w:tc>
        <w:tc>
          <w:tcPr>
            <w:tcW w:w="4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18.88</w:t>
            </w:r>
          </w:p>
        </w:tc>
        <w:tc>
          <w:tcPr>
            <w:tcW w:w="24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561,000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1,095,329</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For the years ended October 31, 2020, 2019 and 2018, the total intrinsic value of our stock options that were exercised totaled $0.5 million, $0.4 million and $2.9 million, respectively. The total fair value of stock options vested during the years ended October 31, 2020, 2019 and 2018, was $0.6 million, $1.1 million and $1.5 million, respectively. As of October 31, 2020, all compensation cost related to stock options has been recognized.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years ended October 31, 2020, 2019 and 2018, 25,621, 34,050 and 18,050 restricted stock units, respectively, were granted with corresponding weighted average grant date fair value of $18.18, $15.51, and $21.85, respectively. As of October 31, 2019, there were 4,616 non-vested restricted stock units from the fiscal 2019 grant that will vest in December 2020. As of October 31, 2020 there were 21,774 unvested restricted stock units from the fiscal 2020 grant. During the year ended October 31, 2019, we paid less than $0.4 million to settle restricted stock units. During the year ended October 31, 2020, we paid $0.2 million to settle restricted stock units. There were no payments to settle restricted stock units during the year ended October 31,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w:t>
      </w:r>
      <w:r>
        <w:rPr>
          <w:rFonts w:ascii="Times New Roman" w:cs="Times New Roman" w:eastAsia="Times New Roman" w:hAnsi="Times New Roman"/>
          <w:sz w:val="18"/>
          <w:szCs w:val="18"/>
          <w:color w:val="auto"/>
        </w:rPr>
        <w:t>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Awards issued during the year ended October 31, 2018 cliff vest after a three-year period with service and performance measures such as relative total shareholder return (R-TSR) and earnings per share (EPS) growth as vesting conditions. The number of performance share awards earned is variable depending on the metrics achieved. The settlement method is 50% in cash and 50% in our common stock. Performance share awards issued during the years ended October 31, 2020 and October 31, 2019 vest with return on net assets (RONA) as the performance condition, and pay out 100% in cash.</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account for these awards, we have bifurcated the portion subject to a market condition (R-TSR) and the portion subject to an internal performance measure (EPS or RONA). For awards issued during the year ended October 31, 2018, we have further bifurcated these awards based on the settlement method, as the portion expected to settle in stock (equity component) and the portion expected to settle in cash (liability component).</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To value the shares subject to the market condition, we used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will be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marked to market over the three-year term of the award, and could fluctuate depending on the number of shares ultimately expected to vest. Depending on the achievement of the performance conditions, 0% to 200% of the awarded performance shares may ultimately vest.</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EPS, R-TSR, and RONA performance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488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240" w:type="dxa"/>
            <w:vAlign w:val="bottom"/>
          </w:tcPr>
          <w:p>
            <w:pPr>
              <w:spacing w:after="0"/>
              <w:rPr>
                <w:sz w:val="18"/>
                <w:szCs w:val="18"/>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EPS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R-TSR</w:t>
            </w:r>
          </w:p>
        </w:tc>
        <w:tc>
          <w:tcPr>
            <w:tcW w:w="2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RONA</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Forfeited</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2017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5, 2018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131,500</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40,900</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r>
    </w:tbl>
    <w:p>
      <w:pPr>
        <w:spacing w:after="0" w:line="33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November 30, 2019, a total of 56,103 shares vested pursuant to the November 2016 grant, which were settled with 28,051 shares of common stock and a cash payment of $0.6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Performance shares are excluded from the diluted weighted-average shares used to calculate earnings per share until the performance criteria is probable to result in the issuance of contingent shares. We evaluate the probability of the performance share vesting within one year of the vesting date. As of October 31, 2020, we have deemed that no shares related to the December 2017 grants of performance shares are probable to vest. For the year ended October 31, 2019 there were 28,051 related to performance shares that were potentially dilutive and considered in the diluted weighted average shares calculations. No contingent shares related to performance shares are included in diluted weighted average shares for the year ended October 31, 2018.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0"/>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89"/>
        </w:trPr>
        <w:tc>
          <w:tcPr>
            <w:tcW w:w="77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2017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5, 2018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45"/>
        <w:spacing w:after="0" w:line="263"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2020, 2019 and 2018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67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1"/>
        </w:trPr>
        <w:tc>
          <w:tcPr>
            <w:tcW w:w="6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2020, our authorized capital stock consists of 125,000,000 shares of common stock, at par value of $0.01 per share, and 1,000,000 shares of preferred stock, with no par value. As of October 31, 2020 and 2019, we had 37,296,166 and 37,370,402 shares of common stock issued, respectively, and 32,804,737 and 33,021,789 shares of common stock outstanding, respectively. There were no shares of preferred stock issued or outstanding at October 31, 2020 and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and Treasury Stock</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2020 and 2019, we purchased 450,000 shares and 583,398 shares, respectively, at a cost of $7.2 million and $9.6 million respectively, under this program.</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We recorded a charge to retained earnings of $0.1 million, $0.3 million and $2.1 million, in the years ended October 31, 2020, 2019, and 2018, respectively.</w:t>
      </w:r>
    </w:p>
    <w:p>
      <w:pPr>
        <w:spacing w:after="0" w:line="13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treasury stock activity for the years ended October 31, 2020, 2019 and 2018, refer to the </w:t>
      </w:r>
      <w:r>
        <w:rPr>
          <w:rFonts w:ascii="Times New Roman" w:cs="Times New Roman" w:eastAsia="Times New Roman" w:hAnsi="Times New Roman"/>
          <w:sz w:val="18"/>
          <w:szCs w:val="18"/>
          <w:i w:val="1"/>
          <w:iCs w:val="1"/>
          <w:color w:val="auto"/>
        </w:rPr>
        <w:t>Consolidated Statement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located elsewhere herein.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net</w:t>
      </w:r>
    </w:p>
    <w:p>
      <w:pPr>
        <w:spacing w:after="0" w:line="17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Other income included under the caption "Other, net" on the accompanying consolidated statements of income (loss), consisted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71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derivative losses</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benefit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
        </w:trPr>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segment.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consolidated financial statements. Corporate general and administrative expenses allocated during the years ended October 31, 2020, 2019 and 2018 were $21.7 million, $18.3 million and $18.7 million, respectively.</w:t>
      </w:r>
    </w:p>
    <w:p>
      <w:pPr>
        <w:spacing w:after="0" w:line="13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information for the years ended October 31, 2020, 2019 and 2018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2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8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9"/>
              </w:rPr>
              <w:t>Year Ended October 31, 2020</w:t>
            </w:r>
          </w:p>
        </w:tc>
        <w:tc>
          <w:tcPr>
            <w:tcW w:w="2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483,415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161,054</w:t>
            </w:r>
          </w:p>
        </w:tc>
        <w:tc>
          <w:tcPr>
            <w:tcW w:w="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210,099</w:t>
            </w:r>
          </w:p>
        </w:tc>
        <w:tc>
          <w:tcPr>
            <w:tcW w:w="16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23,555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39,909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15,761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252,703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223,248</w:t>
            </w:r>
          </w:p>
        </w:tc>
        <w:tc>
          <w:tcPr>
            <w:tcW w:w="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174,713</w:t>
            </w:r>
          </w:p>
        </w:tc>
        <w:tc>
          <w:tcPr>
            <w:tcW w:w="16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691,585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Year Ended October 31, 2019</w:t>
            </w:r>
          </w:p>
        </w:tc>
        <w:tc>
          <w:tcPr>
            <w:tcW w:w="2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503,837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164,997</w:t>
            </w:r>
          </w:p>
        </w:tc>
        <w:tc>
          <w:tcPr>
            <w:tcW w:w="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229,644</w:t>
            </w:r>
          </w:p>
        </w:tc>
        <w:tc>
          <w:tcPr>
            <w:tcW w:w="16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27,054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39,765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12,984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226,243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212,239</w:t>
            </w:r>
          </w:p>
        </w:tc>
        <w:tc>
          <w:tcPr>
            <w:tcW w:w="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181,416</w:t>
            </w:r>
          </w:p>
        </w:tc>
        <w:tc>
          <w:tcPr>
            <w:tcW w:w="16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645,110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Year Ended October 31, 2018</w:t>
            </w:r>
          </w:p>
        </w:tc>
        <w:tc>
          <w:tcPr>
            <w:tcW w:w="2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485,366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159,973</w:t>
            </w:r>
          </w:p>
        </w:tc>
        <w:tc>
          <w:tcPr>
            <w:tcW w:w="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249,813</w:t>
            </w:r>
          </w:p>
        </w:tc>
        <w:tc>
          <w:tcPr>
            <w:tcW w:w="16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27,248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30,633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13,929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segment for the years ended October 31, 2020 and 2019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67,168</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16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68,295</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6, "Goodwill and Intangible Assets", located herewith.</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allocate non-operating expense or income tax expense to the reportable segments. The following table reconciles operating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reported above to net income (loss) for the years ended October 31, 2020, 2019 and 2018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35,697</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Our manufacturing facilities and all long-lived assets are located in the U.S., U.K. and Germany. We attribute our net sales to a geographic region based on the location of the customer. The following tables provide information concerning our net sales for the years ended October 31, 2020, 2019 and 2018, and our long-lived assets as of October 31, 2020 and 2019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7"/>
                <w:szCs w:val="17"/>
                <w:color w:val="auto"/>
              </w:rPr>
            </w:pPr>
          </w:p>
        </w:tc>
      </w:tr>
      <w:tr>
        <w:trPr>
          <w:trHeight w:val="22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654,802</w:t>
            </w: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683,204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676,776</w:t>
            </w:r>
          </w:p>
        </w:tc>
        <w:tc>
          <w:tcPr>
            <w:tcW w:w="20" w:type="dxa"/>
            <w:vAlign w:val="bottom"/>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159,652</w:t>
            </w:r>
          </w:p>
        </w:tc>
        <w:tc>
          <w:tcPr>
            <w:tcW w:w="2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w:t>
            </w:r>
          </w:p>
        </w:tc>
        <w:tc>
          <w:tcPr>
            <w:tcW w:w="20" w:type="dxa"/>
            <w:vAlign w:val="bottom"/>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2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20" w:type="dxa"/>
            <w:vAlign w:val="bottom"/>
          </w:tcPr>
          <w:p>
            <w:pPr>
              <w:spacing w:after="0"/>
              <w:rPr>
                <w:sz w:val="19"/>
                <w:szCs w:val="19"/>
                <w:color w:val="auto"/>
              </w:rPr>
            </w:pPr>
          </w:p>
        </w:tc>
      </w:tr>
      <w:tr>
        <w:trPr>
          <w:trHeight w:val="223"/>
        </w:trPr>
        <w:tc>
          <w:tcPr>
            <w:tcW w:w="7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851,573</w:t>
            </w:r>
          </w:p>
        </w:tc>
        <w:tc>
          <w:tcPr>
            <w:tcW w:w="1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889,785</w:t>
            </w:r>
          </w:p>
        </w:tc>
        <w:tc>
          <w:tcPr>
            <w:tcW w:w="20" w:type="dxa"/>
            <w:vAlign w:val="bottom"/>
          </w:tcPr>
          <w:p>
            <w:pPr>
              <w:spacing w:after="0"/>
              <w:rPr>
                <w:sz w:val="19"/>
                <w:szCs w:val="19"/>
                <w:color w:val="auto"/>
              </w:rPr>
            </w:pP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2"/>
        </w:trPr>
        <w:tc>
          <w:tcPr>
            <w:tcW w:w="7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net</w:t>
            </w:r>
          </w:p>
        </w:tc>
        <w:tc>
          <w:tcPr>
            <w:tcW w:w="3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r>
      <w:tr>
        <w:trPr>
          <w:trHeight w:val="22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288,722</w:t>
            </w:r>
          </w:p>
        </w:tc>
        <w:tc>
          <w:tcPr>
            <w:tcW w:w="2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2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142,097</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7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475,150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446,460</w:t>
            </w:r>
          </w:p>
        </w:tc>
        <w:tc>
          <w:tcPr>
            <w:tcW w:w="20" w:type="dxa"/>
            <w:vAlign w:val="bottom"/>
            <w:tcBorders>
              <w:bottom w:val="single" w:sz="8" w:color="auto"/>
            </w:tcBorders>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Long-lived assets, net includes: property, plant and equipment, net; goodwill; and intangible assets, net. Beginning in the year ended October 31, 2020, this amount also includes operating lease right-of-use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compute basic earnings (loss) per share by dividing net income (loss)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the years ended October 31, 2020, 2019 and 2018 follows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October 31, 2020</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86"/>
        </w:trPr>
        <w:tc>
          <w:tcPr>
            <w:tcW w:w="752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38,496</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5"/>
              </w:rPr>
              <w:t>1.18</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6"/>
              </w:rPr>
              <w:t>38,496</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5"/>
              </w:rPr>
              <w:t>1.17</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October 31, 2019</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(46,730)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(46,730)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Effect of anti-dilutive securities: </w:t>
            </w:r>
            <w:r>
              <w:rPr>
                <w:rFonts w:ascii="Times New Roman" w:cs="Times New Roman" w:eastAsia="Times New Roman" w:hAnsi="Times New Roman"/>
                <w:sz w:val="23"/>
                <w:szCs w:val="23"/>
                <w:i w:val="1"/>
                <w:iCs w:val="1"/>
                <w:color w:val="auto"/>
                <w:vertAlign w:val="superscript"/>
              </w:rPr>
              <w:t>(1)</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October 31, 2018</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26,553</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5"/>
              </w:rPr>
              <w:t>0.77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26,553</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35,025</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5"/>
              </w:rPr>
              <w:t>0.76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0" w:firstLine="8"/>
        <w:spacing w:after="0"/>
        <w:tabs>
          <w:tab w:leader="none" w:pos="165"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computation of diluted earnings per share excludes outstanding stock options and other common stock equivalents when their inclusion would be anti-dilutive.</w:t>
      </w:r>
    </w:p>
    <w:p>
      <w:pPr>
        <w:spacing w:after="0" w:line="36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October 31, 2020, 2019 and 2018, we had 1,032,201, 1,267,141, and 1,000,356 securities, respectively, that were potentially dilutive in future earnings per share calculations. Such dilution will be dependent on the excess of the market price of our stock over the exercise price and other components of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Unaudited Quarterly Data</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quarterly financial data for the years ended October 31, 2020 and 2019 was as follows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2020</w:t>
            </w:r>
          </w:p>
        </w:tc>
        <w:tc>
          <w:tcPr>
            <w:tcW w:w="12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40" w:type="dxa"/>
            <w:vAlign w:val="bottom"/>
          </w:tcPr>
          <w:p>
            <w:pPr>
              <w:spacing w:after="0"/>
              <w:rPr>
                <w:sz w:val="13"/>
                <w:szCs w:val="13"/>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120" w:type="dxa"/>
            <w:vAlign w:val="bottom"/>
          </w:tcPr>
          <w:p>
            <w:pPr>
              <w:spacing w:after="0"/>
              <w:rPr>
                <w:sz w:val="24"/>
                <w:szCs w:val="2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40" w:type="dxa"/>
            <w:vAlign w:val="bottom"/>
          </w:tcPr>
          <w:p>
            <w:pPr>
              <w:spacing w:after="0"/>
              <w:rPr>
                <w:sz w:val="24"/>
                <w:szCs w:val="24"/>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Quarterly earnings (loss) per share results may not sum to the consolidated earnings per share results on the accompanying consolidated statements of income (loss) due to rounding and changes in weighted average shares during the respective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New Accounting Guidance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Effective November 1, 2019 we adopted ASC Topic 842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using the modified retrospective approach and did not have a cumulative-effect adjustment in retained earnings as a result of the adoption. Topic 842 significantly changes accounting for leases by requiring that lessees recognize a liability representing the obligation to make lease payments and a related ROU asset for virtually all lease transactions. Upon adoption, we implemented policy elections and practical expedients which include the following:</w:t>
      </w:r>
    </w:p>
    <w:p>
      <w:pPr>
        <w:spacing w:after="0" w:line="209" w:lineRule="exact"/>
        <w:rPr>
          <w:sz w:val="20"/>
          <w:szCs w:val="20"/>
          <w:color w:val="auto"/>
        </w:rPr>
      </w:pPr>
    </w:p>
    <w:p>
      <w:pPr>
        <w:ind w:left="420" w:right="2280" w:hanging="7"/>
        <w:spacing w:after="0" w:line="261" w:lineRule="auto"/>
        <w:tabs>
          <w:tab w:leader="none" w:pos="5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of practical expedients which allows us to avoid reassessing contracts that commenced prior to adoption that were properly evaluated under legacy lease accounting guidance;</w:t>
      </w:r>
    </w:p>
    <w:p>
      <w:pPr>
        <w:ind w:left="520" w:hanging="10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ROU assets and lease liabilities for leases with terms that are less than one year;</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lease and non-lease components and accounting for them as a single lease (elected by asset class);</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land easements that existed or expired prior to adoption; and</w:t>
      </w:r>
    </w:p>
    <w:p>
      <w:pPr>
        <w:spacing w:after="0" w:line="9" w:lineRule="exact"/>
        <w:rPr>
          <w:rFonts w:ascii="Times New Roman" w:cs="Times New Roman" w:eastAsia="Times New Roman" w:hAnsi="Times New Roman"/>
          <w:sz w:val="18"/>
          <w:szCs w:val="18"/>
          <w:color w:val="auto"/>
        </w:rPr>
      </w:pPr>
    </w:p>
    <w:p>
      <w:pPr>
        <w:ind w:left="420" w:right="2560" w:hanging="7"/>
        <w:spacing w:after="0" w:line="260" w:lineRule="auto"/>
        <w:tabs>
          <w:tab w:leader="none" w:pos="5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election that eliminates the need for adjusting prior period comparable financial statements prepared under legacy (Accounting Standards Codification Topic 840) lease accounting guidance.</w:t>
      </w:r>
    </w:p>
    <w:p>
      <w:pPr>
        <w:spacing w:after="0" w:line="2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adopting ASC Topic 842, we recorded additional lease liabilities of approximately $39.3 million and ROU assets of approximately $38.9 million on our consolidated balance sheet. The difference between the lease liabilities and ROU assets is due to rent holiday and lease build-out incentives that were recorded as deferred lease liabilities under legacy accounting guidance. The adoption of ASC Topic 842 did not materially change our consolidated statements of income or consolidated statements of cash flows. See Note 5. "Leases," for further discussion.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13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Compensation - Retirement Benefits - Defined Benefit Plans - General (Subtopic 715-20).</w:t>
      </w:r>
      <w:r>
        <w:rPr>
          <w:rFonts w:ascii="Times New Roman" w:cs="Times New Roman" w:eastAsia="Times New Roman" w:hAnsi="Times New Roman"/>
          <w:sz w:val="18"/>
          <w:szCs w:val="18"/>
          <w:color w:val="auto"/>
        </w:rPr>
        <w:t xml:space="preserve"> This amendment modifies the disclosure requirements for employers that sponsor defined benefit pensions or other postretirement plans. Specifically, the amendment removes disclosures which were no longer considered cost beneficial, clarifies certain disclosure requirements, and adds disclosures identified as relevant. This amendment becomes effective for fiscal years beginning after December 15, 2020, including interim periods within that fiscal year. We expect to adopt this amendment during fiscal 2022 with no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 13a-15(e) under the Securities Exchange Act of 1934 (1934 Act) as of October 31, 2020. Based on that evaluation, the Chief Executive Officer and Chief Financial Officer concluded that, as of October 31, 2020, the disclosure controls and procedures are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Management’s Annual Report on Internal Control over Financial Reporting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of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the Report of Independent Registered Public Accounting Firm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 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 Directors, Executive Officers and Corporate Governance.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Pursuant to General Instruction G(3) to Form 10-K, the information on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2021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 Executive Compensation.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Pursuant to General Instruction G(3) to Form 10-K, the information 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is incorporated herein by reference from the Registrant's Definitive Proxy Statement relating to the 2021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 Security Ownership of Certain Beneficial Owners and Management and Related Stockholder Matters.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Pursuant to General Instruction G(3) to Form 10-K, the information on </w:t>
      </w:r>
      <w:r>
        <w:rPr>
          <w:rFonts w:ascii="Times New Roman" w:cs="Times New Roman" w:eastAsia="Times New Roman" w:hAnsi="Times New Roman"/>
          <w:sz w:val="18"/>
          <w:szCs w:val="18"/>
          <w:i w:val="1"/>
          <w:iCs w:val="1"/>
          <w:color w:val="auto"/>
        </w:rPr>
        <w:t>"Security Ownership of Certain Beneficial Owners and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Stockholder Matters" </w:t>
      </w:r>
      <w:r>
        <w:rPr>
          <w:rFonts w:ascii="Times New Roman" w:cs="Times New Roman" w:eastAsia="Times New Roman" w:hAnsi="Times New Roman"/>
          <w:sz w:val="18"/>
          <w:szCs w:val="18"/>
          <w:color w:val="auto"/>
        </w:rPr>
        <w:t>is incorporated herein by reference from the Registrant's Definitive Proxy Statement relating to the 2021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 Certain Relationships and Related Transactions, and Director Independence.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Pursuant to General Instruction G(3) to Form 10-K, the information on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2021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 Principal Accountant Fees and Services.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Pursuant to General Instruction G(3) to Form 10-K, the information on </w:t>
      </w:r>
      <w:r>
        <w:rPr>
          <w:rFonts w:ascii="Times New Roman" w:cs="Times New Roman" w:eastAsia="Times New Roman" w:hAnsi="Times New Roman"/>
          <w:sz w:val="18"/>
          <w:szCs w:val="18"/>
          <w:i w:val="1"/>
          <w:iCs w:val="1"/>
          <w:color w:val="auto"/>
        </w:rPr>
        <w:t>"Principal Accountant Fees and Services"</w:t>
      </w:r>
      <w:r>
        <w:rPr>
          <w:rFonts w:ascii="Times New Roman" w:cs="Times New Roman" w:eastAsia="Times New Roman" w:hAnsi="Times New Roman"/>
          <w:sz w:val="18"/>
          <w:szCs w:val="18"/>
          <w:color w:val="auto"/>
        </w:rPr>
        <w:t xml:space="preserve"> is incorporated herein by reference from the Registrant's Definitive Proxy Statement relating to the 2021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 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located elsewhere in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exhibits required to be filed pursuant to Item 15(b) of Form 10-K are listed in the Exhibit Index filed herewith, which Exhibit Index is incorporated herein by reference. Exhibits 10.1 through 10.52 listed in the Exhibit Index filed herewith, are management or compensatory plans or arrangements required to be filed as exhibits to this Annual Report on Form 10-K pursuant to Item 15(b) thereof.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r>
      <w:tr>
        <w:trPr>
          <w:trHeight w:val="28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2020</w:t>
            </w: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218"/>
        </w:trPr>
        <w:tc>
          <w:tcPr>
            <w:tcW w:w="43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 Zuehlke</w:t>
            </w:r>
          </w:p>
        </w:tc>
      </w:tr>
      <w:tr>
        <w:trPr>
          <w:trHeight w:val="180"/>
        </w:trPr>
        <w:tc>
          <w:tcPr>
            <w:tcW w:w="4300" w:type="dxa"/>
            <w:vAlign w:val="bottom"/>
          </w:tcPr>
          <w:p>
            <w:pPr>
              <w:spacing w:after="0"/>
              <w:rPr>
                <w:sz w:val="15"/>
                <w:szCs w:val="15"/>
                <w:color w:val="auto"/>
              </w:rPr>
            </w:pPr>
          </w:p>
        </w:tc>
        <w:tc>
          <w:tcPr>
            <w:tcW w:w="6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 Chief Financial Officer and Treasurer</w:t>
            </w:r>
          </w:p>
        </w:tc>
      </w:tr>
      <w:tr>
        <w:trPr>
          <w:trHeight w:val="234"/>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2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96"/>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C. Griffiths</w:t>
            </w:r>
          </w:p>
        </w:tc>
        <w:tc>
          <w:tcPr>
            <w:tcW w:w="6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Chairman of the Board</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C. Griffiths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F. Davis</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F. Davis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 Rupp</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D. Rupp</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Curtis M. Stevens</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Curtis M. Stevens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R. Buck</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R. Buck</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Donald R. Maier</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R. Maier</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Meredith W. Mendes</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Meredith W. Mendes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William E. Waltz</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E. Waltz</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George L. Wilson</w:t>
            </w:r>
          </w:p>
        </w:tc>
        <w:tc>
          <w:tcPr>
            <w:tcW w:w="6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 Wilson</w:t>
            </w:r>
          </w:p>
        </w:tc>
        <w:tc>
          <w:tcPr>
            <w:tcW w:w="6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c>
          <w:tcPr>
            <w:tcW w:w="6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Senior Vice President - Chief Financial Officer and Treasurer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M. Zuehlke</w:t>
            </w:r>
          </w:p>
        </w:tc>
        <w:tc>
          <w:tcPr>
            <w:tcW w:w="60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4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Livingston</w:t>
            </w:r>
          </w:p>
        </w:tc>
        <w:tc>
          <w:tcPr>
            <w:tcW w:w="6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Vice President, Chief Accounting Officer and Controller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A. Livingston</w:t>
            </w:r>
          </w:p>
        </w:tc>
        <w:tc>
          <w:tcPr>
            <w:tcW w:w="6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0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7"/>
              </w:rPr>
              <w:t>2.1</w:t>
            </w:r>
          </w:p>
        </w:tc>
        <w:tc>
          <w:tcPr>
            <w:tcW w:w="100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Distribution Agreement among Quanex Corporation, Quanex Building Products LLC and Quanex Building Products Corporation</w:t>
            </w:r>
          </w:p>
        </w:tc>
      </w:tr>
      <w:tr>
        <w:trPr>
          <w:trHeight w:val="176"/>
        </w:trPr>
        <w:tc>
          <w:tcPr>
            <w:tcW w:w="1020" w:type="dxa"/>
            <w:vAlign w:val="bottom"/>
          </w:tcPr>
          <w:p>
            <w:pPr>
              <w:spacing w:after="0"/>
              <w:rPr>
                <w:sz w:val="15"/>
                <w:szCs w:val="15"/>
                <w:color w:val="auto"/>
              </w:rPr>
            </w:pPr>
          </w:p>
        </w:tc>
        <w:tc>
          <w:tcPr>
            <w:tcW w:w="100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to Exhibit 10.1 to Quanex Corporation’s Current Report on Form 8-K (Reg. No. 001-05725) filed with</w:t>
            </w:r>
          </w:p>
        </w:tc>
      </w:tr>
      <w:tr>
        <w:trPr>
          <w:trHeight w:val="234"/>
        </w:trPr>
        <w:tc>
          <w:tcPr>
            <w:tcW w:w="1020" w:type="dxa"/>
            <w:vAlign w:val="bottom"/>
          </w:tcPr>
          <w:p>
            <w:pPr>
              <w:spacing w:after="0"/>
              <w:rPr>
                <w:sz w:val="20"/>
                <w:szCs w:val="20"/>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the Commission on December 24, 2007).</w:t>
            </w:r>
          </w:p>
        </w:tc>
      </w:tr>
      <w:tr>
        <w:trPr>
          <w:trHeight w:val="238"/>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09">
              <w:r>
                <w:rPr>
                  <w:rFonts w:ascii="Times New Roman" w:cs="Times New Roman" w:eastAsia="Times New Roman" w:hAnsi="Times New Roman"/>
                  <w:sz w:val="18"/>
                  <w:szCs w:val="18"/>
                  <w:u w:val="single" w:color="auto"/>
                  <w:color w:val="0000FF"/>
                  <w:w w:val="97"/>
                </w:rPr>
                <w:t>2.2</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Agreement and Plan of Merger, dated as of January 31, 2011, by and among Quanex Building Products Corporation, QSB Inc.,</w:t>
              </w:r>
            </w:hyperlink>
          </w:p>
        </w:tc>
      </w:tr>
      <w:tr>
        <w:trPr>
          <w:trHeight w:val="156"/>
        </w:trPr>
        <w:tc>
          <w:tcPr>
            <w:tcW w:w="1020" w:type="dxa"/>
            <w:vAlign w:val="bottom"/>
          </w:tcPr>
          <w:p>
            <w:pPr>
              <w:spacing w:after="0"/>
              <w:rPr>
                <w:sz w:val="13"/>
                <w:szCs w:val="13"/>
                <w:color w:val="auto"/>
              </w:rPr>
            </w:pPr>
          </w:p>
        </w:tc>
        <w:tc>
          <w:tcPr>
            <w:tcW w:w="98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Lauren Holdco Inc., Lauren International, Inc. and Kevin E. Gray, as agent for the shareholders of Lauren Holdco Inc., filed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Exhibit 2.1 of the Registrant’s Current Report on Form 8-K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920" w:type="dxa"/>
            <w:vAlign w:val="bottom"/>
            <w:gridSpan w:val="3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Commission on February 2,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0">
              <w:r>
                <w:rPr>
                  <w:rFonts w:ascii="Times New Roman" w:cs="Times New Roman" w:eastAsia="Times New Roman" w:hAnsi="Times New Roman"/>
                  <w:sz w:val="18"/>
                  <w:szCs w:val="18"/>
                  <w:u w:val="single" w:color="auto"/>
                  <w:color w:val="0000FF"/>
                  <w:w w:val="97"/>
                </w:rPr>
                <w:t>2.3</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Limited Liability Company Interest Purchase Agreement dated February 7, 2014, by and among Quanex Building Products</w:t>
              </w:r>
            </w:hyperlink>
          </w:p>
        </w:tc>
      </w:tr>
      <w:tr>
        <w:trPr>
          <w:trHeight w:val="156"/>
        </w:trPr>
        <w:tc>
          <w:tcPr>
            <w:tcW w:w="102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Corporation, Nichols Aluminum, LLC and Aleris International Inc., filed as Exhibit 2.1 of the Registrant’s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8-K (Reg. No. 001-33913) as filed with the Securities and Exchange Commission on February 10, 2014, and incorporated herein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reference.</w:t>
              </w:r>
            </w:hyperlink>
          </w:p>
        </w:tc>
        <w:tc>
          <w:tcPr>
            <w:tcW w:w="898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1">
              <w:r>
                <w:rPr>
                  <w:rFonts w:ascii="Times New Roman" w:cs="Times New Roman" w:eastAsia="Times New Roman" w:hAnsi="Times New Roman"/>
                  <w:sz w:val="18"/>
                  <w:szCs w:val="18"/>
                  <w:u w:val="single" w:color="auto"/>
                  <w:color w:val="0000FF"/>
                  <w:w w:val="97"/>
                </w:rPr>
                <w:t>2.4</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First Amendment to Limited Liability Company Interest Purchase Agreement dated April 1, 2014, by and among Quanex Building</w:t>
              </w:r>
            </w:hyperlink>
          </w:p>
        </w:tc>
      </w:tr>
      <w:tr>
        <w:trPr>
          <w:trHeight w:val="156"/>
        </w:trPr>
        <w:tc>
          <w:tcPr>
            <w:tcW w:w="10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Products Corporation, Nichols Aluminum, LLC and Aleris International Inc., filed as Exhibit 10.1 of the Registrant’s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64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on Form 8-K (Reg. No. 001-33913) as filed with the Securities and Exchange Commission on April 7, 2014, and incorporated 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by reference.</w:t>
              </w:r>
            </w:hyperlink>
          </w:p>
        </w:tc>
        <w:tc>
          <w:tcPr>
            <w:tcW w:w="9040" w:type="dxa"/>
            <w:vAlign w:val="bottom"/>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2">
              <w:r>
                <w:rPr>
                  <w:rFonts w:ascii="Times New Roman" w:cs="Times New Roman" w:eastAsia="Times New Roman" w:hAnsi="Times New Roman"/>
                  <w:sz w:val="18"/>
                  <w:szCs w:val="18"/>
                  <w:u w:val="single" w:color="auto"/>
                  <w:color w:val="0000FF"/>
                  <w:w w:val="97"/>
                </w:rPr>
                <w:t>2.5</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Share Purchase Agreement dated June 15, 2015 by and among R.L. Hartshorn and others, and Quanex Building Products</w:t>
              </w:r>
            </w:hyperlink>
          </w:p>
        </w:tc>
      </w:tr>
      <w:tr>
        <w:trPr>
          <w:trHeight w:val="156"/>
        </w:trPr>
        <w:tc>
          <w:tcPr>
            <w:tcW w:w="1020" w:type="dxa"/>
            <w:vAlign w:val="bottom"/>
          </w:tcPr>
          <w:p>
            <w:pPr>
              <w:spacing w:after="0"/>
              <w:rPr>
                <w:sz w:val="13"/>
                <w:szCs w:val="13"/>
                <w:color w:val="auto"/>
              </w:rPr>
            </w:pPr>
          </w:p>
        </w:tc>
        <w:tc>
          <w:tcPr>
            <w:tcW w:w="98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Corporation, filed as Exhibit 2.1 to the Registrant’s Current Report on Form 8-K (Reg. No. 001-33913), as filed with the Securities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6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and Exchange Commission on June 16, 2015, and incorporated herein by reference.</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3">
              <w:r>
                <w:rPr>
                  <w:rFonts w:ascii="Times New Roman" w:cs="Times New Roman" w:eastAsia="Times New Roman" w:hAnsi="Times New Roman"/>
                  <w:sz w:val="18"/>
                  <w:szCs w:val="18"/>
                  <w:u w:val="single" w:color="auto"/>
                  <w:color w:val="0000FF"/>
                  <w:w w:val="97"/>
                </w:rPr>
                <w:t>2.6</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Agreement and Plan of Merger, dated as of August 30, 2015, by and among Quanex Building Products Corporation, QWMS, Inc.,</w:t>
              </w:r>
            </w:hyperlink>
          </w:p>
        </w:tc>
      </w:tr>
      <w:tr>
        <w:trPr>
          <w:trHeight w:val="156"/>
        </w:trPr>
        <w:tc>
          <w:tcPr>
            <w:tcW w:w="10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WII Holding, Inc., and Olympus Growth Fund IV, L.P, solely in its capacity as the representative of the stockholders of WII</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90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Holding, Inc, filed as Exhibit 2.1 to the Registrant's Current Report on Form 8-K (Reg. No. 001-33913), as filed with the Securities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622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and Exchange Commission on August 30, 2015, and incorporated herein by reference.</w:t>
              </w:r>
            </w:hyperlink>
          </w:p>
        </w:tc>
        <w:tc>
          <w:tcPr>
            <w:tcW w:w="3740" w:type="dxa"/>
            <w:vAlign w:val="bottom"/>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4">
              <w:r>
                <w:rPr>
                  <w:rFonts w:ascii="Times New Roman" w:cs="Times New Roman" w:eastAsia="Times New Roman" w:hAnsi="Times New Roman"/>
                  <w:sz w:val="18"/>
                  <w:szCs w:val="18"/>
                  <w:u w:val="single" w:color="auto"/>
                  <w:color w:val="0000FF"/>
                  <w:w w:val="97"/>
                </w:rPr>
                <w:t>3.1</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Restated Certificate of Incorporation of the Registrant dated as of March 4, 2016, filed as Exhibit 3.1 of the Registrant’s Current</w:t>
              </w:r>
            </w:hyperlink>
          </w:p>
        </w:tc>
      </w:tr>
      <w:tr>
        <w:trPr>
          <w:trHeight w:val="156"/>
        </w:trPr>
        <w:tc>
          <w:tcPr>
            <w:tcW w:w="1020" w:type="dxa"/>
            <w:vAlign w:val="bottom"/>
          </w:tcPr>
          <w:p>
            <w:pPr>
              <w:spacing w:after="0"/>
              <w:rPr>
                <w:sz w:val="13"/>
                <w:szCs w:val="13"/>
                <w:color w:val="auto"/>
              </w:rPr>
            </w:pPr>
          </w:p>
        </w:tc>
        <w:tc>
          <w:tcPr>
            <w:tcW w:w="96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 on Form 8-K (Reg. No. 001-33913) as filed with the Securities and Exchange Commission on March 7, 2016, and</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9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5">
              <w:r>
                <w:rPr>
                  <w:rFonts w:ascii="Times New Roman" w:cs="Times New Roman" w:eastAsia="Times New Roman" w:hAnsi="Times New Roman"/>
                  <w:sz w:val="18"/>
                  <w:szCs w:val="18"/>
                  <w:u w:val="single" w:color="auto"/>
                  <w:color w:val="0000FF"/>
                  <w:w w:val="97"/>
                </w:rPr>
                <w:t>3.2</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Fourth Amended and Restated Bylaws of the Registrant dated as of February 27, 2020, filed as Exhibit 3.2 of the Registrant's</w:t>
              </w:r>
            </w:hyperlink>
          </w:p>
        </w:tc>
      </w:tr>
      <w:tr>
        <w:trPr>
          <w:trHeight w:val="155"/>
        </w:trPr>
        <w:tc>
          <w:tcPr>
            <w:tcW w:w="1020" w:type="dxa"/>
            <w:vAlign w:val="bottom"/>
          </w:tcPr>
          <w:p>
            <w:pPr>
              <w:spacing w:after="0"/>
              <w:rPr>
                <w:sz w:val="13"/>
                <w:szCs w:val="13"/>
                <w:color w:val="auto"/>
              </w:rPr>
            </w:pPr>
          </w:p>
        </w:tc>
        <w:tc>
          <w:tcPr>
            <w:tcW w:w="100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Quarterly Report on Form 10-Q (Reg. No. 001-33913) for the quarter ended January 31, 2020.</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6">
              <w:r>
                <w:rPr>
                  <w:rFonts w:ascii="Times New Roman" w:cs="Times New Roman" w:eastAsia="Times New Roman" w:hAnsi="Times New Roman"/>
                  <w:sz w:val="18"/>
                  <w:szCs w:val="18"/>
                  <w:u w:val="single" w:color="auto"/>
                  <w:color w:val="0000FF"/>
                  <w:w w:val="97"/>
                </w:rPr>
                <w:t>4.1</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Registrant’s common stock certificate, filed as Exhibit 4.1 of Amendment No. 1 to the Registrant’s Registration Statement</w:t>
              </w:r>
            </w:hyperlink>
          </w:p>
        </w:tc>
      </w:tr>
      <w:tr>
        <w:trPr>
          <w:trHeight w:val="155"/>
        </w:trPr>
        <w:tc>
          <w:tcPr>
            <w:tcW w:w="1020" w:type="dxa"/>
            <w:vAlign w:val="bottom"/>
          </w:tcPr>
          <w:p>
            <w:pPr>
              <w:spacing w:after="0"/>
              <w:rPr>
                <w:sz w:val="13"/>
                <w:szCs w:val="13"/>
                <w:color w:val="auto"/>
              </w:rPr>
            </w:pPr>
          </w:p>
        </w:tc>
        <w:tc>
          <w:tcPr>
            <w:tcW w:w="96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on Form 10 (Reg. No. 001-33913), as filed with the Securities and Exchange Commission on February 14, 2008, and incorporated</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herein by reference.</w:t>
              </w:r>
            </w:hyperlink>
          </w:p>
        </w:tc>
        <w:tc>
          <w:tcPr>
            <w:tcW w:w="852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7">
              <w:r>
                <w:rPr>
                  <w:rFonts w:ascii="Times New Roman" w:cs="Times New Roman" w:eastAsia="Times New Roman" w:hAnsi="Times New Roman"/>
                  <w:sz w:val="18"/>
                  <w:szCs w:val="18"/>
                  <w:u w:val="single" w:color="auto"/>
                  <w:color w:val="0000FF"/>
                  <w:w w:val="97"/>
                </w:rPr>
                <w:t>4.2</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Credit Agreement dated as of October 18, 2018, by and among the Company; the lenders party thereto; and Wells Fargo Bank,</w:t>
              </w:r>
            </w:hyperlink>
          </w:p>
        </w:tc>
      </w:tr>
      <w:tr>
        <w:trPr>
          <w:trHeight w:val="156"/>
        </w:trPr>
        <w:tc>
          <w:tcPr>
            <w:tcW w:w="1020" w:type="dxa"/>
            <w:vAlign w:val="bottom"/>
          </w:tcPr>
          <w:p>
            <w:pPr>
              <w:spacing w:after="0"/>
              <w:rPr>
                <w:sz w:val="13"/>
                <w:szCs w:val="13"/>
                <w:color w:val="auto"/>
              </w:rPr>
            </w:pPr>
          </w:p>
        </w:tc>
        <w:tc>
          <w:tcPr>
            <w:tcW w:w="98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National Association, as Agent; filed as Exhibit 10.1 of the Registrant’s Current Report on Form 8-K (Reg. No. 001-33913) as filed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with the Securities and Exchange Commission on October 18, 2018, and incorporated herein by reference.</w:t>
              </w:r>
            </w:hyperlink>
          </w:p>
        </w:tc>
        <w:tc>
          <w:tcPr>
            <w:tcW w:w="21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020" w:type="dxa"/>
            <w:vAlign w:val="bottom"/>
          </w:tcPr>
          <w:p>
            <w:pPr>
              <w:jc w:val="center"/>
              <w:ind w:right="550"/>
              <w:spacing w:after="0"/>
              <w:rPr>
                <w:rFonts w:ascii="Times New Roman" w:cs="Times New Roman" w:eastAsia="Times New Roman" w:hAnsi="Times New Roman"/>
                <w:sz w:val="18"/>
                <w:szCs w:val="18"/>
                <w:u w:val="single" w:color="auto"/>
                <w:color w:val="0000FF"/>
                <w:w w:val="97"/>
              </w:rPr>
            </w:pPr>
            <w:hyperlink r:id="rId118">
              <w:r>
                <w:rPr>
                  <w:rFonts w:ascii="Times New Roman" w:cs="Times New Roman" w:eastAsia="Times New Roman" w:hAnsi="Times New Roman"/>
                  <w:sz w:val="18"/>
                  <w:szCs w:val="18"/>
                  <w:u w:val="single" w:color="auto"/>
                  <w:color w:val="0000FF"/>
                  <w:w w:val="97"/>
                </w:rPr>
                <w:t>4.3</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1 to Amended and Restated Credit Agreement, by and among the Company; the lenders party thereto; and Wells</w:t>
              </w:r>
            </w:hyperlink>
          </w:p>
        </w:tc>
      </w:tr>
      <w:tr>
        <w:trPr>
          <w:trHeight w:val="156"/>
        </w:trPr>
        <w:tc>
          <w:tcPr>
            <w:tcW w:w="10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Fargo Bank, National Association, as Agent (portions redacted). filed as Exhibit 4.3 of the Registrant's Quarterly Report on Form</w:t>
              </w:r>
            </w:hyperlink>
          </w:p>
        </w:tc>
        <w:tc>
          <w:tcPr>
            <w:tcW w:w="180" w:type="dxa"/>
            <w:vAlign w:val="bottom"/>
            <w:tcBorders>
              <w:bottom w:val="single" w:sz="8" w:color="0000FF"/>
            </w:tcBorders>
            <w:gridSpan w:val="9"/>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46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10-Q (Reg. No. 001-33913) for the quarter ended July 31, 2020.</w:t>
              </w:r>
            </w:hyperlink>
          </w:p>
        </w:tc>
        <w:tc>
          <w:tcPr>
            <w:tcW w:w="5200" w:type="dxa"/>
            <w:vAlign w:val="bottom"/>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020" w:type="dxa"/>
            <w:vAlign w:val="bottom"/>
          </w:tcPr>
          <w:p>
            <w:pPr>
              <w:jc w:val="center"/>
              <w:ind w:right="530"/>
              <w:spacing w:after="0"/>
              <w:rPr>
                <w:rFonts w:ascii="Times New Roman" w:cs="Times New Roman" w:eastAsia="Times New Roman" w:hAnsi="Times New Roman"/>
                <w:sz w:val="18"/>
                <w:szCs w:val="18"/>
                <w:u w:val="single" w:color="auto"/>
                <w:color w:val="0000FF"/>
                <w:w w:val="98"/>
              </w:rPr>
            </w:pPr>
            <w:hyperlink r:id="rId119">
              <w:r>
                <w:rPr>
                  <w:rFonts w:ascii="Times New Roman" w:cs="Times New Roman" w:eastAsia="Times New Roman" w:hAnsi="Times New Roman"/>
                  <w:sz w:val="18"/>
                  <w:szCs w:val="18"/>
                  <w:u w:val="single" w:color="auto"/>
                  <w:color w:val="0000FF"/>
                  <w:w w:val="98"/>
                </w:rPr>
                <w:t>†10.1</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Quanex Building Products Corporation Amended and Restated 2008 Omnibus Incentive Plan, filed as Exhibit 10.1 to the</w:t>
              </w:r>
            </w:hyperlink>
          </w:p>
        </w:tc>
      </w:tr>
      <w:tr>
        <w:trPr>
          <w:trHeight w:val="155"/>
        </w:trPr>
        <w:tc>
          <w:tcPr>
            <w:tcW w:w="1020" w:type="dxa"/>
            <w:vAlign w:val="bottom"/>
          </w:tcPr>
          <w:p>
            <w:pPr>
              <w:spacing w:after="0"/>
              <w:rPr>
                <w:sz w:val="13"/>
                <w:szCs w:val="13"/>
                <w:color w:val="auto"/>
              </w:rPr>
            </w:pPr>
          </w:p>
        </w:tc>
        <w:tc>
          <w:tcPr>
            <w:tcW w:w="100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Registrant's Current Report on Form 8-K (Reg. No. 001-33913) as filed with the Securities and Exchange Commission on February</w:t>
              </w:r>
            </w:hyperlink>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27, 2014, and incorporated herein by reference.</w:t>
              </w:r>
            </w:hyperlink>
          </w:p>
        </w:tc>
        <w:tc>
          <w:tcPr>
            <w:tcW w:w="646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020" w:type="dxa"/>
            <w:vAlign w:val="bottom"/>
          </w:tcPr>
          <w:p>
            <w:pPr>
              <w:jc w:val="center"/>
              <w:ind w:right="530"/>
              <w:spacing w:after="0"/>
              <w:rPr>
                <w:rFonts w:ascii="Times New Roman" w:cs="Times New Roman" w:eastAsia="Times New Roman" w:hAnsi="Times New Roman"/>
                <w:sz w:val="18"/>
                <w:szCs w:val="18"/>
                <w:u w:val="single" w:color="auto"/>
                <w:color w:val="0000FF"/>
                <w:w w:val="98"/>
              </w:rPr>
            </w:pPr>
            <w:hyperlink r:id="rId120">
              <w:r>
                <w:rPr>
                  <w:rFonts w:ascii="Times New Roman" w:cs="Times New Roman" w:eastAsia="Times New Roman" w:hAnsi="Times New Roman"/>
                  <w:sz w:val="18"/>
                  <w:szCs w:val="18"/>
                  <w:u w:val="single" w:color="auto"/>
                  <w:color w:val="0000FF"/>
                  <w:w w:val="98"/>
                </w:rPr>
                <w:t>†10.2</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Quanex Building Products Corporation Deferred Compensation Plan as amended, filed as Exhibit 10.2 to the Registrant's Quarterly</w:t>
              </w:r>
            </w:hyperlink>
          </w:p>
        </w:tc>
      </w:tr>
      <w:tr>
        <w:trPr>
          <w:trHeight w:val="155"/>
        </w:trPr>
        <w:tc>
          <w:tcPr>
            <w:tcW w:w="102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Report on Form 10-Q (Reg. No. 001-33913) for the quarter ended January 31, 2014, as filed with the Securities and Exchange</w:t>
              </w:r>
            </w:hyperlink>
          </w:p>
        </w:tc>
        <w:tc>
          <w:tcPr>
            <w:tcW w:w="40" w:type="dxa"/>
            <w:vAlign w:val="bottom"/>
            <w:gridSpan w:val="2"/>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Commission on March 6, 2014, and incorporated herein by reference.</w:t>
              </w:r>
            </w:hyperlink>
          </w:p>
        </w:tc>
        <w:tc>
          <w:tcPr>
            <w:tcW w:w="4800" w:type="dxa"/>
            <w:vAlign w:val="bottom"/>
            <w:tcBorders>
              <w:top w:val="single" w:sz="8" w:color="0000FF"/>
            </w:tcBorders>
            <w:gridSpan w:val="18"/>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3"/>
        </w:trPr>
        <w:tc>
          <w:tcPr>
            <w:tcW w:w="1020" w:type="dxa"/>
            <w:vAlign w:val="bottom"/>
          </w:tcPr>
          <w:p>
            <w:pPr>
              <w:jc w:val="center"/>
              <w:ind w:right="530"/>
              <w:spacing w:after="0"/>
              <w:rPr>
                <w:rFonts w:ascii="Times New Roman" w:cs="Times New Roman" w:eastAsia="Times New Roman" w:hAnsi="Times New Roman"/>
                <w:sz w:val="18"/>
                <w:szCs w:val="18"/>
                <w:u w:val="single" w:color="auto"/>
                <w:color w:val="0000FF"/>
                <w:w w:val="98"/>
              </w:rPr>
            </w:pPr>
            <w:hyperlink r:id="rId121">
              <w:r>
                <w:rPr>
                  <w:rFonts w:ascii="Times New Roman" w:cs="Times New Roman" w:eastAsia="Times New Roman" w:hAnsi="Times New Roman"/>
                  <w:sz w:val="18"/>
                  <w:szCs w:val="18"/>
                  <w:u w:val="single" w:color="auto"/>
                  <w:color w:val="0000FF"/>
                  <w:w w:val="98"/>
                </w:rPr>
                <w:t>†10.3</w:t>
              </w:r>
            </w:hyperlink>
          </w:p>
        </w:tc>
        <w:tc>
          <w:tcPr>
            <w:tcW w:w="10040" w:type="dxa"/>
            <w:vAlign w:val="bottom"/>
            <w:gridSpan w:val="3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Quanex Building Products Corporation Restoration Plan, filed as Exhibit 10.8 of Amendment No. 4 to the Registrant’s Registration</w:t>
              </w:r>
            </w:hyperlink>
          </w:p>
        </w:tc>
      </w:tr>
      <w:tr>
        <w:trPr>
          <w:trHeight w:val="156"/>
        </w:trPr>
        <w:tc>
          <w:tcPr>
            <w:tcW w:w="1020" w:type="dxa"/>
            <w:vAlign w:val="bottom"/>
          </w:tcPr>
          <w:p>
            <w:pPr>
              <w:spacing w:after="0"/>
              <w:rPr>
                <w:sz w:val="13"/>
                <w:szCs w:val="13"/>
                <w:color w:val="auto"/>
              </w:rPr>
            </w:pPr>
          </w:p>
        </w:tc>
        <w:tc>
          <w:tcPr>
            <w:tcW w:w="99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Statement on Form 10 (Reg. No. 001-33913), as filed with the Securities and Exchange Commission on March 17, 2008, and</w:t>
              </w:r>
            </w:hyperlink>
          </w:p>
        </w:tc>
        <w:tc>
          <w:tcPr>
            <w:tcW w:w="100" w:type="dxa"/>
            <w:vAlign w:val="bottom"/>
            <w:gridSpan w:val="5"/>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incorporated herein by reference.</w:t>
              </w:r>
            </w:hyperlink>
          </w:p>
        </w:tc>
        <w:tc>
          <w:tcPr>
            <w:tcW w:w="260" w:type="dxa"/>
            <w:vAlign w:val="bottom"/>
            <w:gridSpan w:val="1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5" w:lineRule="exact"/>
        <w:rPr>
          <w:sz w:val="20"/>
          <w:szCs w:val="20"/>
          <w:color w:val="auto"/>
        </w:rPr>
      </w:pPr>
    </w:p>
    <w:p>
      <w:pPr>
        <w:jc w:val="both"/>
        <w:ind w:left="1580" w:hanging="101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†10.4</w:t>
      </w:r>
      <w:r>
        <w:rPr>
          <w:sz w:val="20"/>
          <w:szCs w:val="20"/>
          <w:color w:val="auto"/>
        </w:rPr>
        <w:tab/>
      </w:r>
      <w:hyperlink r:id="rId123">
        <w:r>
          <w:rPr>
            <w:rFonts w:ascii="Times New Roman" w:cs="Times New Roman" w:eastAsia="Times New Roman" w:hAnsi="Times New Roman"/>
            <w:sz w:val="18"/>
            <w:szCs w:val="18"/>
            <w:u w:val="single" w:color="auto"/>
            <w:color w:val="0000FF"/>
          </w:rPr>
          <w:t>Quanex Building Products Corporation Supplemental Employees Retirement Plan, filed as Exhibit 10.9 of Amendment No. 4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Registrant’s Registration Statement on Form 10 (Reg. No. 001-33913),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March 17, 2008,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1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†10.5</w:t>
      </w:r>
      <w:r>
        <w:rPr>
          <w:sz w:val="20"/>
          <w:szCs w:val="20"/>
          <w:color w:val="auto"/>
        </w:rPr>
        <w:tab/>
      </w:r>
      <w:hyperlink r:id="rId124">
        <w:r>
          <w:rPr>
            <w:rFonts w:ascii="Times New Roman" w:cs="Times New Roman" w:eastAsia="Times New Roman" w:hAnsi="Times New Roman"/>
            <w:sz w:val="18"/>
            <w:szCs w:val="18"/>
            <w:u w:val="single" w:color="auto"/>
            <w:color w:val="0000FF"/>
          </w:rPr>
          <w:t>Form of Executive Severance Policy applicable to the Registrant and certain of its executive officers, filed as Exhibit 10.1 of the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Registrant's current report on Form 8-K (Reg. No. 001-33913), as filed with the Securities and Exchange Commission on March 2,</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2020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1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†10.6</w:t>
      </w:r>
      <w:r>
        <w:rPr>
          <w:sz w:val="20"/>
          <w:szCs w:val="20"/>
          <w:color w:val="auto"/>
        </w:rPr>
        <w:tab/>
      </w:r>
      <w:hyperlink r:id="rId125">
        <w:r>
          <w:rPr>
            <w:rFonts w:ascii="Times New Roman" w:cs="Times New Roman" w:eastAsia="Times New Roman" w:hAnsi="Times New Roman"/>
            <w:sz w:val="18"/>
            <w:szCs w:val="18"/>
            <w:u w:val="single" w:color="auto"/>
            <w:color w:val="0000FF"/>
          </w:rPr>
          <w:t>Form of Indemnity Agreement between the Registrant and each of its independent directors, filed as Exhibit 10.1 of the Registrant’s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Current Report on Form 8-K (Reg. No. 001-33913), as filed with the Securities and Exchange Commission on August 29, 2008, and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1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†10.7</w:t>
      </w:r>
      <w:r>
        <w:rPr>
          <w:sz w:val="20"/>
          <w:szCs w:val="20"/>
          <w:color w:val="auto"/>
        </w:rPr>
        <w:tab/>
      </w:r>
      <w:hyperlink r:id="rId126">
        <w:r>
          <w:rPr>
            <w:rFonts w:ascii="Times New Roman" w:cs="Times New Roman" w:eastAsia="Times New Roman" w:hAnsi="Times New Roman"/>
            <w:sz w:val="18"/>
            <w:szCs w:val="18"/>
            <w:u w:val="single" w:color="auto"/>
            <w:color w:val="0000FF"/>
          </w:rPr>
          <w:t>Form of Indemnity Agreement between the Registrant and each of its officers, filed as Exhibit 10.2 of the Registrant’s Current</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Report on Form 8-K (Reg. No. 001-33913), as filed with the Securities and Exchange Commission on August 29, 2008, and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1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†10.8</w:t>
      </w:r>
      <w:r>
        <w:rPr>
          <w:sz w:val="20"/>
          <w:szCs w:val="20"/>
          <w:color w:val="auto"/>
        </w:rPr>
        <w:tab/>
      </w:r>
      <w:hyperlink r:id="rId127">
        <w:r>
          <w:rPr>
            <w:rFonts w:ascii="Times New Roman" w:cs="Times New Roman" w:eastAsia="Times New Roman" w:hAnsi="Times New Roman"/>
            <w:sz w:val="18"/>
            <w:szCs w:val="18"/>
            <w:u w:val="single" w:color="auto"/>
            <w:color w:val="0000FF"/>
          </w:rPr>
          <w:t>Agreement between Quanex Building Products Corporation and William C. Griffiths, effective July 9, 2013, filed as Exhibit 10.1 of</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the Registrant's Current Report on Form 8-K (Reg. No. 001-33913), as filed with the Securities and Exchange Commission on July</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9, 2013,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1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†10.9</w:t>
      </w:r>
      <w:r>
        <w:rPr>
          <w:sz w:val="20"/>
          <w:szCs w:val="20"/>
          <w:color w:val="auto"/>
        </w:rPr>
        <w:tab/>
      </w:r>
      <w:hyperlink r:id="rId128">
        <w:r>
          <w:rPr>
            <w:rFonts w:ascii="Times New Roman" w:cs="Times New Roman" w:eastAsia="Times New Roman" w:hAnsi="Times New Roman"/>
            <w:sz w:val="18"/>
            <w:szCs w:val="18"/>
            <w:u w:val="single" w:color="auto"/>
            <w:color w:val="0000FF"/>
          </w:rPr>
          <w:t>Change in Control Agreement between Quanex Building Products Corporation and William C. Griffiths, effective July 9, 2013, filed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as Exhibit 10.2 of the Registrant's Current Report on Form 8-K (Reg. No. 001-33913), as filed with the Securities and Exchange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Commission on July 9, 2013,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†10.10</w:t>
      </w:r>
      <w:r>
        <w:rPr>
          <w:sz w:val="20"/>
          <w:szCs w:val="20"/>
          <w:color w:val="auto"/>
        </w:rPr>
        <w:tab/>
      </w:r>
      <w:hyperlink r:id="rId129">
        <w:r>
          <w:rPr>
            <w:rFonts w:ascii="Times New Roman" w:cs="Times New Roman" w:eastAsia="Times New Roman" w:hAnsi="Times New Roman"/>
            <w:sz w:val="18"/>
            <w:szCs w:val="18"/>
            <w:u w:val="single" w:color="auto"/>
            <w:color w:val="0000FF"/>
          </w:rPr>
          <w:t>Form of Stock Option Agreement for Employees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amended, filed as Exhibit 10.1 to the Registrant’s Current Report on Form 8-K (Reg. No. 001-33913), as filed with the Securities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5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†10.11</w:t>
      </w:r>
      <w:r>
        <w:rPr>
          <w:sz w:val="20"/>
          <w:szCs w:val="20"/>
          <w:color w:val="auto"/>
        </w:rPr>
        <w:tab/>
      </w:r>
      <w:hyperlink r:id="rId130">
        <w:r>
          <w:rPr>
            <w:rFonts w:ascii="Times New Roman" w:cs="Times New Roman" w:eastAsia="Times New Roman" w:hAnsi="Times New Roman"/>
            <w:sz w:val="18"/>
            <w:szCs w:val="18"/>
            <w:u w:val="single" w:color="auto"/>
            <w:color w:val="0000FF"/>
          </w:rPr>
          <w:t>Form of Stock Option Agreement for Section 16 Officers under the Quanex Building Products Corporation 2008 Omnibus Incentive</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Plan, as amended, filed as Exhibit 10.2 to the Registrant’s Current Report on Form 8-K (Reg. No. 001-33913), as filed with the</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†10.12</w:t>
      </w:r>
      <w:r>
        <w:rPr>
          <w:sz w:val="20"/>
          <w:szCs w:val="20"/>
          <w:color w:val="auto"/>
        </w:rPr>
        <w:tab/>
      </w:r>
      <w:hyperlink r:id="rId131">
        <w:r>
          <w:rPr>
            <w:rFonts w:ascii="Times New Roman" w:cs="Times New Roman" w:eastAsia="Times New Roman" w:hAnsi="Times New Roman"/>
            <w:sz w:val="18"/>
            <w:szCs w:val="18"/>
            <w:u w:val="single" w:color="auto"/>
            <w:color w:val="0000FF"/>
          </w:rPr>
          <w:t>Form of Stock Option Agreement for Key Leaders under the Quanex Building Products Corporation 2008 Omnibus Incentive Plan,</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as amended, filed as Exhibit 10.3 to the Registrant’s Current Report on Form 8-K ( Reg. No. 001-33913), as filed with the Securities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†10.13</w:t>
      </w:r>
      <w:r>
        <w:rPr>
          <w:sz w:val="20"/>
          <w:szCs w:val="20"/>
          <w:color w:val="auto"/>
        </w:rPr>
        <w:tab/>
      </w:r>
      <w:hyperlink r:id="rId132">
        <w:r>
          <w:rPr>
            <w:rFonts w:ascii="Times New Roman" w:cs="Times New Roman" w:eastAsia="Times New Roman" w:hAnsi="Times New Roman"/>
            <w:sz w:val="18"/>
            <w:szCs w:val="18"/>
            <w:u w:val="single" w:color="auto"/>
            <w:color w:val="0000FF"/>
          </w:rPr>
          <w:t>Form of Stock Option Agreement for Non-Employee Directors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Incentive Plan, as amended, filed as Exhibit 10.4 to the Registrant’s Current Report on Form 8-K (Reg. No. 001-33913), as filed</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with the Securities 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†10.14</w:t>
      </w:r>
      <w:r>
        <w:rPr>
          <w:sz w:val="20"/>
          <w:szCs w:val="20"/>
          <w:color w:val="auto"/>
        </w:rPr>
        <w:tab/>
      </w:r>
      <w:hyperlink r:id="rId133">
        <w:r>
          <w:rPr>
            <w:rFonts w:ascii="Times New Roman" w:cs="Times New Roman" w:eastAsia="Times New Roman" w:hAnsi="Times New Roman"/>
            <w:sz w:val="18"/>
            <w:szCs w:val="18"/>
            <w:u w:val="single" w:color="auto"/>
            <w:color w:val="0000FF"/>
          </w:rPr>
          <w:t>Form of Restricted Stock Award Agreement for Section 16 Officers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Incentive Plan, as amended, filed as Exhibit 10.6 to the Registrant’s Current Report on Form 8-K (Reg. No. 001-33913), as filed</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with the Securities 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†10.15</w:t>
      </w:r>
      <w:r>
        <w:rPr>
          <w:sz w:val="20"/>
          <w:szCs w:val="20"/>
          <w:color w:val="auto"/>
        </w:rPr>
        <w:tab/>
      </w:r>
      <w:hyperlink r:id="rId134">
        <w:r>
          <w:rPr>
            <w:rFonts w:ascii="Times New Roman" w:cs="Times New Roman" w:eastAsia="Times New Roman" w:hAnsi="Times New Roman"/>
            <w:sz w:val="18"/>
            <w:szCs w:val="18"/>
            <w:u w:val="single" w:color="auto"/>
            <w:color w:val="0000FF"/>
          </w:rPr>
          <w:t>Form of Restricted Stock Award Agreement for Key Leaders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Incentive Plan, as amended, filed as Exhibit 10.7 to the Registrant’s Current Report on Form 8-K (Reg. No. 001-33913), as filed</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with the Securities 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†10.16</w:t>
      </w:r>
      <w:r>
        <w:rPr>
          <w:sz w:val="20"/>
          <w:szCs w:val="20"/>
          <w:color w:val="auto"/>
        </w:rPr>
        <w:tab/>
      </w:r>
      <w:hyperlink r:id="rId135">
        <w:r>
          <w:rPr>
            <w:rFonts w:ascii="Times New Roman" w:cs="Times New Roman" w:eastAsia="Times New Roman" w:hAnsi="Times New Roman"/>
            <w:sz w:val="18"/>
            <w:szCs w:val="18"/>
            <w:u w:val="single" w:color="auto"/>
            <w:color w:val="0000FF"/>
          </w:rPr>
          <w:t>Form of Restricted Stock Unit Award Agreement for Section 16 Officers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Omnibus Incentive Plan, as amended, filed as Exhibit 10.10 to the Registrant’s Current Report on Form 8-K (Reg. No. 001-33913),</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as filed with the Securities 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†10.17</w:t>
      </w:r>
      <w:r>
        <w:rPr>
          <w:sz w:val="20"/>
          <w:szCs w:val="20"/>
          <w:color w:val="auto"/>
        </w:rPr>
        <w:tab/>
      </w:r>
      <w:hyperlink r:id="rId136">
        <w:r>
          <w:rPr>
            <w:rFonts w:ascii="Times New Roman" w:cs="Times New Roman" w:eastAsia="Times New Roman" w:hAnsi="Times New Roman"/>
            <w:sz w:val="18"/>
            <w:szCs w:val="18"/>
            <w:u w:val="single" w:color="auto"/>
            <w:color w:val="0000FF"/>
          </w:rPr>
          <w:t>Form of Restricted Stock Unit Award Agreement for Key Leaders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Incentive Plan, as amended, filed as Exhibit 10.11 to the Registrant’s Current Report on Form 8-K (Reg. No. 001-33913), as filed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with the Securities and Exchange Commission on April 29, 2014,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8"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5" w:lineRule="exact"/>
        <w:rPr>
          <w:sz w:val="20"/>
          <w:szCs w:val="20"/>
          <w:color w:val="auto"/>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†10.18</w:t>
      </w:r>
      <w:r>
        <w:rPr>
          <w:sz w:val="20"/>
          <w:szCs w:val="20"/>
          <w:color w:val="auto"/>
        </w:rPr>
        <w:tab/>
      </w:r>
      <w:hyperlink r:id="rId138">
        <w:r>
          <w:rPr>
            <w:rFonts w:ascii="Times New Roman" w:cs="Times New Roman" w:eastAsia="Times New Roman" w:hAnsi="Times New Roman"/>
            <w:sz w:val="18"/>
            <w:szCs w:val="18"/>
            <w:u w:val="single" w:color="auto"/>
            <w:color w:val="0000FF"/>
          </w:rPr>
          <w:t>Form of Restricted Stock Unit Award Agreement for Non-Employee Directors under the Quanex Building Products Corporation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2008 Omnibus Incentive Plan, as amended, filed as Exhibit 10.12 to the Registrant’s Current Report on Form 8-K (Reg. No. 001-</w:t>
        </w:r>
      </w:hyperlink>
      <w:hyperlink r:id="rId138">
        <w:r>
          <w:rPr>
            <w:rFonts w:ascii="Times New Roman" w:cs="Times New Roman" w:eastAsia="Times New Roman" w:hAnsi="Times New Roman"/>
            <w:sz w:val="18"/>
            <w:szCs w:val="18"/>
            <w:u w:val="single" w:color="auto"/>
            <w:color w:val="0000FF"/>
          </w:rPr>
          <w:t>33913), as filed with the Securities and Exchange Commission on April 29, 2014,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†10.19</w:t>
      </w:r>
      <w:r>
        <w:rPr>
          <w:sz w:val="20"/>
          <w:szCs w:val="20"/>
          <w:color w:val="auto"/>
        </w:rPr>
        <w:tab/>
      </w:r>
      <w:hyperlink r:id="rId139">
        <w:r>
          <w:rPr>
            <w:rFonts w:ascii="Times New Roman" w:cs="Times New Roman" w:eastAsia="Times New Roman" w:hAnsi="Times New Roman"/>
            <w:sz w:val="18"/>
            <w:szCs w:val="18"/>
            <w:u w:val="single" w:color="auto"/>
            <w:color w:val="0000FF"/>
          </w:rPr>
          <w:t>Amended Form of Performance Share Award Agreement for Section 16 Officers under the Quanex Building Products Corporation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2008 Omnibus Incentive Plan, as amended, filed as Exhibit 10.2 to the Registrant’s Current Report on Form 8-K (Reg. No. 001-</w:t>
        </w:r>
      </w:hyperlink>
      <w:hyperlink r:id="rId139">
        <w:r>
          <w:rPr>
            <w:rFonts w:ascii="Times New Roman" w:cs="Times New Roman" w:eastAsia="Times New Roman" w:hAnsi="Times New Roman"/>
            <w:sz w:val="18"/>
            <w:szCs w:val="18"/>
            <w:u w:val="single" w:color="auto"/>
            <w:color w:val="0000FF"/>
          </w:rPr>
          <w:t>33913), as filed with the Securities and Exchange Commission on December 7, 2015,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†10.20</w:t>
      </w:r>
      <w:r>
        <w:rPr>
          <w:sz w:val="20"/>
          <w:szCs w:val="20"/>
          <w:color w:val="auto"/>
        </w:rPr>
        <w:tab/>
      </w:r>
      <w:hyperlink r:id="rId140">
        <w:r>
          <w:rPr>
            <w:rFonts w:ascii="Times New Roman" w:cs="Times New Roman" w:eastAsia="Times New Roman" w:hAnsi="Times New Roman"/>
            <w:sz w:val="18"/>
            <w:szCs w:val="18"/>
            <w:u w:val="single" w:color="auto"/>
            <w:color w:val="0000FF"/>
          </w:rPr>
          <w:t>Amended Form of Performance Share Award Agreement for Key Leaders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Omnibus Incentive Plan, as amended, filed as Exhibit 10.3 to the Registrant’s Current Report on Form 8-K (Reg. No. 001-33913), as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†10.21</w:t>
      </w:r>
      <w:r>
        <w:rPr>
          <w:sz w:val="20"/>
          <w:szCs w:val="20"/>
          <w:color w:val="auto"/>
        </w:rPr>
        <w:tab/>
      </w:r>
      <w:hyperlink r:id="rId141">
        <w:r>
          <w:rPr>
            <w:rFonts w:ascii="Times New Roman" w:cs="Times New Roman" w:eastAsia="Times New Roman" w:hAnsi="Times New Roman"/>
            <w:sz w:val="18"/>
            <w:szCs w:val="18"/>
            <w:u w:val="single" w:color="auto"/>
            <w:color w:val="0000FF"/>
          </w:rPr>
          <w:t>Amended Form of Annual Incentive Award Agreement under the Quanex Building Products Corporation 2008 Omnibus Incentive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Plan, as amended, filed as Exhibit 10.7 to the Registrant’s Current Report on Form 8-K (Reg. No. 001-33913), as filed with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Securities and Exchange Commission on December 7, 2015,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†10.22</w:t>
      </w:r>
      <w:r>
        <w:rPr>
          <w:sz w:val="20"/>
          <w:szCs w:val="20"/>
          <w:color w:val="auto"/>
        </w:rPr>
        <w:tab/>
      </w:r>
      <w:hyperlink r:id="rId142">
        <w:r>
          <w:rPr>
            <w:rFonts w:ascii="Times New Roman" w:cs="Times New Roman" w:eastAsia="Times New Roman" w:hAnsi="Times New Roman"/>
            <w:sz w:val="18"/>
            <w:szCs w:val="18"/>
            <w:u w:val="single" w:color="auto"/>
            <w:color w:val="0000FF"/>
          </w:rPr>
          <w:t>Agreement between Quanex Building Products Corporation and Scott Zuehlke, effective November 1, 2019, filed as Exhibit 10.1 to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the Registrant’s Current Report on Form 8-K (Reg. No. 001-33913),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November 1, 2019,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23"/>
        <w:spacing w:after="0" w:line="226" w:lineRule="auto"/>
        <w:tabs>
          <w:tab w:leader="none" w:pos="1560" w:val="left"/>
        </w:tabs>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43">
        <w:r>
          <w:rPr>
            <w:rFonts w:ascii="Times New Roman" w:cs="Times New Roman" w:eastAsia="Times New Roman" w:hAnsi="Times New Roman"/>
            <w:sz w:val="18"/>
            <w:szCs w:val="18"/>
            <w:u w:val="single" w:color="auto"/>
            <w:color w:val="0000FF"/>
          </w:rPr>
          <w:t>Lease dated February 9, 2016, between Garner Properties Ltd. and HL Plastics Limited, filed as Exhibit 10.44 to the Registrant's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Annual Report on Form 10-K (Reg. No. 001-33913) for the year ended October 31, 2016, as filed with the Securities and Exchange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Commission on December 16, 2016,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23"/>
        <w:spacing w:after="0" w:line="226" w:lineRule="auto"/>
        <w:tabs>
          <w:tab w:leader="none" w:pos="1560" w:val="left"/>
        </w:tabs>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8"/>
            <w:szCs w:val="18"/>
            <w:u w:val="single" w:color="auto"/>
            <w:color w:val="0000FF"/>
          </w:rPr>
          <w:t>Amended and Completely Restated Lease Agreement dated August 25, 2016, between Lauren Real Estate Holding LLC and Quanex</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IG Systems, Inc., filed as Exhibit 10.1 to the Registrant’s Current Report on Form 8-K (Reg. No. 001-33913), as filed with the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Securities and Exchange Commission on August 26, 2016,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†10.25</w:t>
      </w:r>
      <w:r>
        <w:rPr>
          <w:sz w:val="20"/>
          <w:szCs w:val="20"/>
          <w:color w:val="auto"/>
        </w:rPr>
        <w:tab/>
      </w:r>
      <w:hyperlink r:id="rId145">
        <w:r>
          <w:rPr>
            <w:rFonts w:ascii="Times New Roman" w:cs="Times New Roman" w:eastAsia="Times New Roman" w:hAnsi="Times New Roman"/>
            <w:sz w:val="18"/>
            <w:szCs w:val="18"/>
            <w:u w:val="single" w:color="auto"/>
            <w:color w:val="0000FF"/>
          </w:rPr>
          <w:t>Amended and Restated Employee Stock Purchase Plan, as amended and restated effective April 1, 2017, filed as Annex A to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Registrant’s Definitive Proxy Statement on Schedule 14A for its 2017 Annual Meeting of Stockholders (Reg. No 001-33919), as</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filed with the Securities and Exchange Commission on January 31, 2017,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†10.26</w:t>
      </w:r>
      <w:r>
        <w:rPr>
          <w:sz w:val="20"/>
          <w:szCs w:val="20"/>
          <w:color w:val="auto"/>
        </w:rPr>
        <w:tab/>
      </w:r>
      <w:hyperlink r:id="rId146">
        <w:r>
          <w:rPr>
            <w:rFonts w:ascii="Times New Roman" w:cs="Times New Roman" w:eastAsia="Times New Roman" w:hAnsi="Times New Roman"/>
            <w:sz w:val="18"/>
            <w:szCs w:val="18"/>
            <w:u w:val="single" w:color="auto"/>
            <w:color w:val="0000FF"/>
          </w:rPr>
          <w:t>Agreement between Quanex Building Products Corporation and George Wilson, effective August 1, 2017, filed as Exhibit 10.1 of</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the Registrant’s Current Report on Form 8-K (Reg. No. 001-33919) as filed with the Securities and Exchange Commission on July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27, 2017, and herein incorporated by reference.</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†10.27</w:t>
      </w:r>
      <w:r>
        <w:rPr>
          <w:sz w:val="20"/>
          <w:szCs w:val="20"/>
          <w:color w:val="auto"/>
        </w:rPr>
        <w:tab/>
      </w:r>
      <w:hyperlink r:id="rId147">
        <w:r>
          <w:rPr>
            <w:rFonts w:ascii="Times New Roman" w:cs="Times New Roman" w:eastAsia="Times New Roman" w:hAnsi="Times New Roman"/>
            <w:sz w:val="18"/>
            <w:szCs w:val="18"/>
            <w:u w:val="single" w:color="auto"/>
            <w:color w:val="0000FF"/>
          </w:rPr>
          <w:t>Form of Key Leader Stock Settled Performance Restricted Stock Units Award Agreement filed as Exhibit 10.50 to the Registrant's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Annual Report on Form 10-K (Reg. No. 001-33913) for the year ended October 31, 2017, as filed with the Securities and Exchange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Commission on December 12, 2017,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†10.28</w:t>
      </w:r>
      <w:r>
        <w:rPr>
          <w:sz w:val="20"/>
          <w:szCs w:val="20"/>
          <w:color w:val="auto"/>
        </w:rPr>
        <w:tab/>
      </w:r>
      <w:hyperlink r:id="rId148">
        <w:r>
          <w:rPr>
            <w:rFonts w:ascii="Times New Roman" w:cs="Times New Roman" w:eastAsia="Times New Roman" w:hAnsi="Times New Roman"/>
            <w:sz w:val="18"/>
            <w:szCs w:val="18"/>
            <w:u w:val="single" w:color="auto"/>
            <w:color w:val="0000FF"/>
          </w:rPr>
          <w:t>Form of Section 16 Officer Stock Settled Performance Restricted Stock Units Award Agreement filed as Exhibit 10.51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Registrant's Annual Report on Form 10-K (Reg. No. 001-33913) for the year ended October 31, 2017, as filed with the Securities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and Exchange Commission on December 12, 2017,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jc w:val="both"/>
        <w:ind w:left="1580" w:hanging="1023"/>
        <w:spacing w:after="0" w:line="220" w:lineRule="auto"/>
        <w:tabs>
          <w:tab w:leader="none" w:pos="156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8"/>
            <w:szCs w:val="18"/>
            <w:u w:val="single" w:color="auto"/>
            <w:color w:val="0000FF"/>
          </w:rPr>
          <w:t>Share Repurchase Agreement by and among Praesidium Investment Management Company LLC, Quanex Building Products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Corporation, Kevin Oram and Peter Uddo, effective October 9, 2018, filed as Exhibit 10.1 of the Registrant’s Current Report 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Form 8-K (Reg. No. 001-33913) as filed with the Securities and Exchange Commission on October 12, 2018, and incorporated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herein by reference.</w:t>
        </w:r>
      </w:hyperlink>
    </w:p>
    <w:p>
      <w:pPr>
        <w:spacing w:after="0" w:line="105" w:lineRule="exact"/>
        <w:rPr>
          <w:rFonts w:ascii="Times New Roman" w:cs="Times New Roman" w:eastAsia="Times New Roman" w:hAnsi="Times New Roman"/>
          <w:sz w:val="18"/>
          <w:szCs w:val="18"/>
          <w:u w:val="single" w:color="auto"/>
          <w:color w:val="0000FF"/>
        </w:rPr>
      </w:pPr>
    </w:p>
    <w:p>
      <w:pPr>
        <w:jc w:val="both"/>
        <w:ind w:left="1580" w:hanging="107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†10.30</w:t>
      </w:r>
      <w:r>
        <w:rPr>
          <w:sz w:val="20"/>
          <w:szCs w:val="20"/>
          <w:color w:val="auto"/>
        </w:rPr>
        <w:tab/>
      </w:r>
      <w:hyperlink r:id="rId150">
        <w:r>
          <w:rPr>
            <w:rFonts w:ascii="Times New Roman" w:cs="Times New Roman" w:eastAsia="Times New Roman" w:hAnsi="Times New Roman"/>
            <w:sz w:val="18"/>
            <w:szCs w:val="18"/>
            <w:u w:val="single" w:color="auto"/>
            <w:color w:val="0000FF"/>
          </w:rPr>
          <w:t>Agreement between Quanex Building Products Corporation and Mark Livingston, effective November 1, 2019, filed as Exhibit 10.2</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to the Registrant’s Current Report on Form 8-K (Reg. No. 001-33913),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November 1, 2019,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2"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†10.31</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Agreement between Quanex Building Products Corporation and Paul Cornett, effective November 1, 2019, filed as Exhibit 10.4 to</w:t>
              </w:r>
            </w:hyperlink>
          </w:p>
        </w:tc>
      </w:tr>
      <w:tr>
        <w:trPr>
          <w:trHeight w:val="156"/>
        </w:trPr>
        <w:tc>
          <w:tcPr>
            <w:tcW w:w="158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the Registrant’s Current Report on Form 8-K (Reg. No. 001-33913), as filed with the Securities and Exchange Commission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9660" w:type="dxa"/>
            <w:vAlign w:val="bottom"/>
            <w:gridSpan w:val="11"/>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November 1, 2019,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†10.32</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Quanex Building Products Corporation 2020 Omnibus Incentive Plan filed as Exhibit 10.2 to the Registrant's Current Report on</w:t>
              </w:r>
            </w:hyperlink>
          </w:p>
        </w:tc>
      </w:tr>
      <w:tr>
        <w:trPr>
          <w:trHeight w:val="156"/>
        </w:trPr>
        <w:tc>
          <w:tcPr>
            <w:tcW w:w="1580" w:type="dxa"/>
            <w:vAlign w:val="bottom"/>
          </w:tcPr>
          <w:p>
            <w:pPr>
              <w:spacing w:after="0"/>
              <w:rPr>
                <w:sz w:val="13"/>
                <w:szCs w:val="13"/>
                <w:color w:val="auto"/>
              </w:rPr>
            </w:pPr>
          </w:p>
        </w:tc>
        <w:tc>
          <w:tcPr>
            <w:tcW w:w="97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8-K (Reg. No. 001-33913), as filed with the Securities and Exchange Commission on March 2, 2020, and incorporated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9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by reference.</w:t>
              </w:r>
            </w:hyperlink>
          </w:p>
        </w:tc>
        <w:tc>
          <w:tcPr>
            <w:tcW w:w="86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†10.33</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Award Agreement for Employees under the Quanex Building Products Corporation 2020 Omnibus</w:t>
              </w:r>
            </w:hyperlink>
          </w:p>
        </w:tc>
      </w:tr>
      <w:tr>
        <w:trPr>
          <w:trHeight w:val="156"/>
        </w:trPr>
        <w:tc>
          <w:tcPr>
            <w:tcW w:w="158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Incentive Plan, filed as Exhibit 10.1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9680" w:type="dxa"/>
            <w:vAlign w:val="bottom"/>
            <w:gridSpan w:val="12"/>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Securities and Exchange Commission on March 6, 2020,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†10.34</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Annual Incentive Award Agreement for Employees under the Quanex Building Products Corporation 2020 Omnibus</w:t>
              </w:r>
            </w:hyperlink>
          </w:p>
        </w:tc>
      </w:tr>
      <w:tr>
        <w:trPr>
          <w:trHeight w:val="155"/>
        </w:trPr>
        <w:tc>
          <w:tcPr>
            <w:tcW w:w="158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Incentive Plan, filed as Exhibit 10.1 of the Registrant’s Quarterly Report on Form 10-Q (Reg. No. 001-33913) as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†10.35</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Restricted Stock Award Agreement for Employees under the Quanex Building Products Corporation 2020 Omnibus</w:t>
              </w:r>
            </w:hyperlink>
          </w:p>
        </w:tc>
      </w:tr>
      <w:tr>
        <w:trPr>
          <w:trHeight w:val="156"/>
        </w:trPr>
        <w:tc>
          <w:tcPr>
            <w:tcW w:w="1580" w:type="dxa"/>
            <w:vAlign w:val="bottom"/>
          </w:tcPr>
          <w:p>
            <w:pPr>
              <w:spacing w:after="0"/>
              <w:rPr>
                <w:sz w:val="13"/>
                <w:szCs w:val="13"/>
                <w:color w:val="auto"/>
              </w:rPr>
            </w:pPr>
          </w:p>
        </w:tc>
        <w:tc>
          <w:tcPr>
            <w:tcW w:w="96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Incentive Plan, filed as Exhibit 10.2 of the Registrant’s Quarterly Report on Form 10-Q (Reg. No. 001-33913) as filed with the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†10.36</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Stock Unit Award Agreement for Employees under the Quanex Building Products Corporation 2020 Omnibus</w:t>
              </w:r>
            </w:hyperlink>
          </w:p>
        </w:tc>
      </w:tr>
      <w:tr>
        <w:trPr>
          <w:trHeight w:val="156"/>
        </w:trPr>
        <w:tc>
          <w:tcPr>
            <w:tcW w:w="158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Incentive Plan, filed as Exhibit 10.3 of the Registrant’s Quarterly Report on Form 10-Q (Reg. No. 001-33913) as filed with the</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†10.37</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Performance Share Award Agreement for Employees under the Quanex Building Products Corporation 2020 Omnibus</w:t>
              </w:r>
            </w:hyperlink>
          </w:p>
        </w:tc>
      </w:tr>
      <w:tr>
        <w:trPr>
          <w:trHeight w:val="155"/>
        </w:trPr>
        <w:tc>
          <w:tcPr>
            <w:tcW w:w="1580" w:type="dxa"/>
            <w:vAlign w:val="bottom"/>
          </w:tcPr>
          <w:p>
            <w:pPr>
              <w:spacing w:after="0"/>
              <w:rPr>
                <w:sz w:val="13"/>
                <w:szCs w:val="13"/>
                <w:color w:val="auto"/>
              </w:rPr>
            </w:pPr>
          </w:p>
        </w:tc>
        <w:tc>
          <w:tcPr>
            <w:tcW w:w="96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Incentive Plan, filed as Exhibit 10.4 of the Registrant’s Quarterly Report on Form 10-Q (Reg. No. 001-33913) as filed with the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0"/>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†10.38</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Performance Restricted Stock Unit Award Agreement for Employees under the Quanex Building Products Corporation</w:t>
              </w:r>
            </w:hyperlink>
          </w:p>
        </w:tc>
      </w:tr>
      <w:tr>
        <w:trPr>
          <w:trHeight w:val="155"/>
        </w:trPr>
        <w:tc>
          <w:tcPr>
            <w:tcW w:w="158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2020 Omnibus Incentive Plan, filed as Exhibit 10.5 of the Registrant’s Quarterly Report on Form 10-Q (Reg. No. 001-33913) as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filed with the Securities and Exchange Commission on June 5, 2020, and incorporated herein by reference.</w:t>
              </w:r>
            </w:hyperlink>
          </w:p>
        </w:tc>
        <w:tc>
          <w:tcPr>
            <w:tcW w:w="1900" w:type="dxa"/>
            <w:vAlign w:val="bottom"/>
            <w:tcBorders>
              <w:top w:val="single" w:sz="8" w:color="0000FF"/>
            </w:tcBorders>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93">
              <w:r>
                <w:rPr>
                  <w:rFonts w:ascii="Times New Roman" w:cs="Times New Roman" w:eastAsia="Times New Roman" w:hAnsi="Times New Roman"/>
                  <w:sz w:val="18"/>
                  <w:szCs w:val="18"/>
                  <w:u w:val="single" w:color="auto"/>
                  <w:color w:val="0000FF"/>
                  <w:w w:val="99"/>
                </w:rPr>
                <w:t>*†10.39</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Form of Restricted Stock Unit Award Agreement for independent Directors under the Quanex Building Products Corporation 2020</w:t>
              </w:r>
            </w:hyperlink>
          </w:p>
        </w:tc>
      </w:tr>
      <w:tr>
        <w:trPr>
          <w:trHeight w:val="155"/>
        </w:trPr>
        <w:tc>
          <w:tcPr>
            <w:tcW w:w="158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Omnibus Incentive Plan.</w:t>
              </w:r>
            </w:hyperlink>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r>
      <w:tr>
        <w:trPr>
          <w:trHeight w:val="601"/>
        </w:trPr>
        <w:tc>
          <w:tcPr>
            <w:tcW w:w="1580" w:type="dxa"/>
            <w:vAlign w:val="bottom"/>
          </w:tcPr>
          <w:p>
            <w:pPr>
              <w:jc w:val="center"/>
              <w:spacing w:after="0"/>
              <w:rPr>
                <w:rFonts w:ascii="Times New Roman" w:cs="Times New Roman" w:eastAsia="Times New Roman" w:hAnsi="Times New Roman"/>
                <w:sz w:val="18"/>
                <w:szCs w:val="18"/>
                <w:u w:val="single" w:color="auto"/>
                <w:color w:val="0000FF"/>
                <w:w w:val="98"/>
              </w:rPr>
            </w:pPr>
            <w:hyperlink w:anchor="page99">
              <w:r>
                <w:rPr>
                  <w:rFonts w:ascii="Times New Roman" w:cs="Times New Roman" w:eastAsia="Times New Roman" w:hAnsi="Times New Roman"/>
                  <w:sz w:val="18"/>
                  <w:szCs w:val="18"/>
                  <w:u w:val="single" w:color="auto"/>
                  <w:color w:val="0000FF"/>
                  <w:w w:val="98"/>
                </w:rPr>
                <w:t>*21.1</w:t>
              </w:r>
            </w:hyperlink>
          </w:p>
        </w:tc>
        <w:tc>
          <w:tcPr>
            <w:tcW w:w="9780" w:type="dxa"/>
            <w:vAlign w:val="bottom"/>
            <w:gridSpan w:val="17"/>
          </w:tcPr>
          <w:p>
            <w:pPr>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Subsidiaries of the Registrant.</w:t>
              </w:r>
            </w:hyperlink>
          </w:p>
        </w:tc>
      </w:tr>
      <w:tr>
        <w:trPr>
          <w:trHeight w:val="283"/>
        </w:trPr>
        <w:tc>
          <w:tcPr>
            <w:tcW w:w="1580" w:type="dxa"/>
            <w:vAlign w:val="bottom"/>
          </w:tcPr>
          <w:p>
            <w:pPr>
              <w:jc w:val="center"/>
              <w:spacing w:after="0"/>
              <w:rPr>
                <w:rFonts w:ascii="Times New Roman" w:cs="Times New Roman" w:eastAsia="Times New Roman" w:hAnsi="Times New Roman"/>
                <w:sz w:val="18"/>
                <w:szCs w:val="18"/>
                <w:u w:val="single" w:color="auto"/>
                <w:color w:val="0000FF"/>
                <w:w w:val="98"/>
              </w:rPr>
            </w:pPr>
            <w:hyperlink w:anchor="page100">
              <w:r>
                <w:rPr>
                  <w:rFonts w:ascii="Times New Roman" w:cs="Times New Roman" w:eastAsia="Times New Roman" w:hAnsi="Times New Roman"/>
                  <w:sz w:val="18"/>
                  <w:szCs w:val="18"/>
                  <w:u w:val="single" w:color="auto"/>
                  <w:color w:val="0000FF"/>
                  <w:w w:val="98"/>
                </w:rPr>
                <w:t>*23.1</w:t>
              </w:r>
            </w:hyperlink>
          </w:p>
        </w:tc>
        <w:tc>
          <w:tcPr>
            <w:tcW w:w="97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Consent of Grant Thornton LLP.</w:t>
              </w:r>
            </w:hyperlink>
          </w:p>
        </w:tc>
      </w:tr>
      <w:tr>
        <w:trPr>
          <w:trHeight w:val="284"/>
        </w:trPr>
        <w:tc>
          <w:tcPr>
            <w:tcW w:w="1580" w:type="dxa"/>
            <w:vAlign w:val="bottom"/>
          </w:tcPr>
          <w:p>
            <w:pPr>
              <w:jc w:val="center"/>
              <w:spacing w:after="0"/>
              <w:rPr>
                <w:rFonts w:ascii="Times New Roman" w:cs="Times New Roman" w:eastAsia="Times New Roman" w:hAnsi="Times New Roman"/>
                <w:sz w:val="18"/>
                <w:szCs w:val="18"/>
                <w:u w:val="single" w:color="auto"/>
                <w:color w:val="0000FF"/>
                <w:w w:val="98"/>
              </w:rPr>
            </w:pPr>
            <w:hyperlink w:anchor="page101">
              <w:r>
                <w:rPr>
                  <w:rFonts w:ascii="Times New Roman" w:cs="Times New Roman" w:eastAsia="Times New Roman" w:hAnsi="Times New Roman"/>
                  <w:sz w:val="18"/>
                  <w:szCs w:val="18"/>
                  <w:u w:val="single" w:color="auto"/>
                  <w:color w:val="0000FF"/>
                  <w:w w:val="98"/>
                </w:rPr>
                <w:t>*31.1</w:t>
              </w:r>
            </w:hyperlink>
          </w:p>
        </w:tc>
        <w:tc>
          <w:tcPr>
            <w:tcW w:w="9780" w:type="dxa"/>
            <w:vAlign w:val="bottom"/>
            <w:gridSpan w:val="17"/>
          </w:tcPr>
          <w:p>
            <w:pPr>
              <w:spacing w:after="0"/>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u w:val="single" w:color="auto"/>
                  <w:color w:val="0000FF"/>
                </w:rPr>
                <w:t>Certification by chief executive officer pursuant to Rule 13a-14(a)/15d-14(a)</w:t>
              </w:r>
              <w:r>
                <w:rPr>
                  <w:rFonts w:ascii="Times New Roman" w:cs="Times New Roman" w:eastAsia="Times New Roman" w:hAnsi="Times New Roman"/>
                  <w:sz w:val="18"/>
                  <w:szCs w:val="18"/>
                  <w:color w:val="0000FF"/>
                </w:rPr>
                <w:t>.</w:t>
              </w:r>
            </w:hyperlink>
          </w:p>
        </w:tc>
      </w:tr>
      <w:tr>
        <w:trPr>
          <w:trHeight w:val="283"/>
        </w:trPr>
        <w:tc>
          <w:tcPr>
            <w:tcW w:w="1580" w:type="dxa"/>
            <w:vAlign w:val="bottom"/>
          </w:tcPr>
          <w:p>
            <w:pPr>
              <w:jc w:val="center"/>
              <w:spacing w:after="0"/>
              <w:rPr>
                <w:rFonts w:ascii="Times New Roman" w:cs="Times New Roman" w:eastAsia="Times New Roman" w:hAnsi="Times New Roman"/>
                <w:sz w:val="18"/>
                <w:szCs w:val="18"/>
                <w:u w:val="single" w:color="auto"/>
                <w:color w:val="0000FF"/>
                <w:w w:val="98"/>
              </w:rPr>
            </w:pPr>
            <w:hyperlink w:anchor="page102">
              <w:r>
                <w:rPr>
                  <w:rFonts w:ascii="Times New Roman" w:cs="Times New Roman" w:eastAsia="Times New Roman" w:hAnsi="Times New Roman"/>
                  <w:sz w:val="18"/>
                  <w:szCs w:val="18"/>
                  <w:u w:val="single" w:color="auto"/>
                  <w:color w:val="0000FF"/>
                  <w:w w:val="98"/>
                </w:rPr>
                <w:t>*31.2</w:t>
              </w:r>
            </w:hyperlink>
          </w:p>
        </w:tc>
        <w:tc>
          <w:tcPr>
            <w:tcW w:w="97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Certification by chief financial officer pursuant to Rule 13a-14(a)/15d-14(a).</w:t>
              </w:r>
            </w:hyperlink>
          </w:p>
        </w:tc>
      </w:tr>
      <w:tr>
        <w:trPr>
          <w:trHeight w:val="283"/>
        </w:trPr>
        <w:tc>
          <w:tcPr>
            <w:tcW w:w="1580" w:type="dxa"/>
            <w:vAlign w:val="bottom"/>
          </w:tcPr>
          <w:p>
            <w:pPr>
              <w:jc w:val="center"/>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*32</w:t>
              </w:r>
            </w:hyperlink>
          </w:p>
        </w:tc>
        <w:tc>
          <w:tcPr>
            <w:tcW w:w="97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Certification pursuant to Section 906 of the Sarbanes-Oxley Act of 2002.</w:t>
              </w:r>
            </w:hyperlink>
          </w:p>
        </w:tc>
      </w:tr>
      <w:tr>
        <w:trPr>
          <w:trHeight w:val="23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580" w:type="dxa"/>
            <w:vAlign w:val="bottom"/>
          </w:tcPr>
          <w:p>
            <w:pPr>
              <w:spacing w:after="0"/>
              <w:rPr>
                <w:sz w:val="20"/>
                <w:szCs w:val="20"/>
                <w:color w:val="auto"/>
              </w:rPr>
            </w:pP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918"/>
        </w:trPr>
        <w:tc>
          <w:tcPr>
            <w:tcW w:w="1580" w:type="dxa"/>
            <w:vAlign w:val="bottom"/>
          </w:tcPr>
          <w:p>
            <w:pPr>
              <w:spacing w:after="0"/>
              <w:rPr>
                <w:sz w:val="24"/>
                <w:szCs w:val="24"/>
                <w:color w:val="auto"/>
              </w:rPr>
            </w:pPr>
          </w:p>
        </w:tc>
        <w:tc>
          <w:tcPr>
            <w:tcW w:w="668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or Incentive Plan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QUANEX BUILDING PRODUCTS CORPORATION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ANNUAL INCENTIVE AWARD AGREEMENT</w:t>
      </w:r>
    </w:p>
    <w:p>
      <w:pPr>
        <w:spacing w:after="0" w:line="2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Grantee</w:t>
      </w:r>
    </w:p>
    <w:p>
      <w:pPr>
        <w:sectPr>
          <w:pgSz w:w="11900" w:h="16838" w:orient="portrait"/>
          <w:cols w:equalWidth="0" w:num="1">
            <w:col w:w="11240"/>
          </w:cols>
          <w:pgMar w:left="320" w:top="1440"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of Award: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w:t>
      </w:r>
    </w:p>
    <w:p>
      <w:pPr>
        <w:spacing w:after="0" w:line="200" w:lineRule="exact"/>
        <w:rPr>
          <w:sz w:val="20"/>
          <w:szCs w:val="20"/>
          <w:color w:val="auto"/>
        </w:rPr>
      </w:pPr>
    </w:p>
    <w:p>
      <w:pPr>
        <w:sectPr>
          <w:pgSz w:w="11900" w:h="16838" w:orient="portrait"/>
          <w:cols w:equalWidth="0" w:num="2">
            <w:col w:w="3480" w:space="720"/>
            <w:col w:w="7040"/>
          </w:cols>
          <w:pgMar w:left="320" w:top="1440" w:right="339" w:bottom="1440" w:gutter="0" w:footer="0" w:header="0"/>
          <w:type w:val="continuous"/>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Individual Annual Incentive Target: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Threshold: [__]%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Target: [__]%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Maximum: [__]%</w:t>
      </w:r>
    </w:p>
    <w:p>
      <w:pPr>
        <w:spacing w:after="0" w:line="200" w:lineRule="exact"/>
        <w:rPr>
          <w:sz w:val="20"/>
          <w:szCs w:val="20"/>
          <w:color w:val="auto"/>
        </w:rPr>
      </w:pPr>
    </w:p>
    <w:p>
      <w:pPr>
        <w:sectPr>
          <w:pgSz w:w="11900" w:h="16838" w:orient="portrait"/>
          <w:cols w:equalWidth="0" w:num="2">
            <w:col w:w="3480" w:space="720"/>
            <w:col w:w="7040"/>
          </w:cols>
          <w:pgMar w:left="320" w:top="1440" w:right="339" w:bottom="1440" w:gutter="0" w:footer="0" w:header="0"/>
          <w:type w:val="continuous"/>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INCENTIVE AWARD</w:t>
      </w:r>
    </w:p>
    <w:p>
      <w:pPr>
        <w:spacing w:after="0" w:line="216" w:lineRule="exact"/>
        <w:rPr>
          <w:sz w:val="20"/>
          <w:szCs w:val="20"/>
          <w:color w:val="auto"/>
        </w:rPr>
      </w:pPr>
    </w:p>
    <w:p>
      <w:pPr>
        <w:jc w:val="both"/>
        <w:ind w:firstLine="8"/>
        <w:spacing w:after="0" w:line="247" w:lineRule="auto"/>
        <w:tabs>
          <w:tab w:leader="none" w:pos="648"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GRANT OF ANNUAL INCENTIVE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i w:val="1"/>
          <w:iCs w:val="1"/>
          <w:color w:val="auto"/>
        </w:rPr>
        <w:t>Committee</w:t>
      </w:r>
      <w:r>
        <w:rPr>
          <w:rFonts w:ascii="Times New Roman" w:cs="Times New Roman" w:eastAsia="Times New Roman" w:hAnsi="Times New Roman"/>
          <w:sz w:val="20"/>
          <w:szCs w:val="20"/>
          <w:color w:val="auto"/>
        </w:rPr>
        <w:t>”) of the Board of Directors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Quanex Building Products Corporation, a Delaware corporation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subject to the terms and provisions of the Quanex Building Products Corporation 2020 Omnibus Incentive Plan (the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hereby awards to you, the above-named Grantee, effective as of the Date of Award set forth above, an Annual Incentive Award under the Plan on the terms and conditions set forth in this Annual Incentive Award Agreement (this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this Annual Incentive Award you have an opportunity to earn an incentive cash payment based upon the achievement of the Performance Goals assigned to you by the Committee for the one-year period beginning November 1, [__], and ending October 31, [__] (the “</w:t>
      </w:r>
      <w:r>
        <w:rPr>
          <w:rFonts w:ascii="Times New Roman" w:cs="Times New Roman" w:eastAsia="Times New Roman" w:hAnsi="Times New Roman"/>
          <w:sz w:val="20"/>
          <w:szCs w:val="20"/>
          <w:i w:val="1"/>
          <w:iCs w:val="1"/>
          <w:color w:val="auto"/>
        </w:rPr>
        <w:t>Performance Period</w:t>
      </w:r>
      <w:r>
        <w:rPr>
          <w:rFonts w:ascii="Times New Roman" w:cs="Times New Roman" w:eastAsia="Times New Roman" w:hAnsi="Times New Roman"/>
          <w:sz w:val="20"/>
          <w:szCs w:val="20"/>
          <w:color w:val="auto"/>
        </w:rPr>
        <w:t>”), as compared with the Threshold Milestone, Target Milestone and Maximum Milestone established for you by the Committee for the Performance Period.</w:t>
      </w:r>
    </w:p>
    <w:p>
      <w:pPr>
        <w:spacing w:after="0" w:line="176" w:lineRule="exact"/>
        <w:rPr>
          <w:sz w:val="20"/>
          <w:szCs w:val="20"/>
          <w:color w:val="auto"/>
        </w:rPr>
      </w:pPr>
    </w:p>
    <w:p>
      <w:pPr>
        <w:jc w:val="both"/>
        <w:ind w:firstLine="8"/>
        <w:spacing w:after="0" w:line="250" w:lineRule="auto"/>
        <w:tabs>
          <w:tab w:leader="none" w:pos="648"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ACHIEVED INDIVIDUAL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aggregate amount payable to you under this Agreement as your Annual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for the Performance Period is equal to your Achieved Individual Incentive for the Performance Period multiplied by your Salary (as defined below) for the Performance Period. The term “</w:t>
      </w:r>
      <w:r>
        <w:rPr>
          <w:rFonts w:ascii="Times New Roman" w:cs="Times New Roman" w:eastAsia="Times New Roman" w:hAnsi="Times New Roman"/>
          <w:sz w:val="20"/>
          <w:szCs w:val="20"/>
          <w:i w:val="1"/>
          <w:iCs w:val="1"/>
          <w:color w:val="auto"/>
        </w:rPr>
        <w:t>Achieved Individual Incentive</w:t>
      </w:r>
      <w:r>
        <w:rPr>
          <w:rFonts w:ascii="Times New Roman" w:cs="Times New Roman" w:eastAsia="Times New Roman" w:hAnsi="Times New Roman"/>
          <w:sz w:val="20"/>
          <w:szCs w:val="20"/>
          <w:color w:val="auto"/>
        </w:rPr>
        <w:t>” means the amount determined by the Committee using the following guidelines below:</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2.1 If (a) the Target Milestones are achieved for the Performance Period (but the Maximum Milestones are not achieved for the Performance Period) and (b) you remain in the active employ of the Company Group through the last day of the Performance Period (except as otherwise provided in this Agreement), then the Achieved Individual Incentive will be equal to the Individual Incentive Target set forth above multiplied by [number] [fraction] ____.</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2.2 If (a) the Maximum Milestones are achieved for the Performance Period and (b) you remain in the active employ of the Company Group through the last day of the Performance Period (except as otherwise provided in this Agreement), then the Achieved Individual Incentive will be equal to the Individual Incentive Target set forth above multiplied by [number] [fraction] ____.</w:t>
      </w:r>
    </w:p>
    <w:p>
      <w:pPr>
        <w:spacing w:after="0" w:line="174"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0"/>
          <w:szCs w:val="20"/>
          <w:color w:val="auto"/>
        </w:rPr>
        <w:t>2.3 If (a) the Threshold Milestones are achieved for the Performance Period (but the Target Milestones are not achieved for the Performance Period) and (b) you remain in the active employ of the Company Group through the last day of the Performance Period (except as otherwise provided in this Agreement), then the Achieved Individual Incentive will be equal to the Individual Incentive Target set forth above multiplied by [number] [fraction] ____.</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Annual Incentive Award</w:t>
      </w:r>
    </w:p>
    <w:p>
      <w:pPr>
        <w:sectPr>
          <w:pgSz w:w="11900" w:h="16838" w:orient="portrait"/>
          <w:cols w:equalWidth="0" w:num="1">
            <w:col w:w="11240"/>
          </w:cols>
          <w:pgMar w:left="320" w:top="1440" w:right="339" w:bottom="1440" w:gutter="0" w:footer="0" w:header="0"/>
          <w:type w:val="continuous"/>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20"/>
          <w:szCs w:val="20"/>
          <w:color w:val="auto"/>
        </w:rPr>
        <w:t>2.4 If the performance standard achieved with respect to a particular Performance Goal is between the Threshold Milestone and the Target Milestone or between the Target Milestone and the Maximum Milestone, the applicable Achieved Individual Incentive shall be determined by interpolation.</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example, assume that the Committee grants an employee an annual incentive award under the Plan that is contingent upon achieving Performance Goal A and Performance Goal B, weighting the importance of the goals equally as 50% and 50%, respectively. The Committee establishes Threshold, Target and Maximum Milestones for each Performance Goal. The Individual Annual Incentive Target is 100% if the Target Milestones are met, 200% if the Maximum Milestones are met and 75% if the Threshold Milestones are met. Finally, assume that the employee earns a Salary of $100,000 during the Performance Period, is continuously employed by the Company throughout the Performance Period and achieves the Maximum Milestone for Performance Goal A, and precisely halfway between the Target and Maximum Milestones for Performance Goal B. The total amount payable to the employee under the award is $175,000, which is determined as follows: The amount payable to the employee with respect to Performance Goal A is $100,000 (50% (Performance Goal Percentage) x $100,000 (Salary) x 200% (Achieved Individual Incentive at “Maximum”) = $100,000), and the amount payable to the employee with respect to Performance Goal B is $75,000 (50% (Performance Goal Percentage) x $100,000 (Salary) x 150% (Achieved Individual Incentive interpolated halfway between “Target” and “Maximum”) = $75,000).</w:t>
      </w:r>
    </w:p>
    <w:p>
      <w:pPr>
        <w:spacing w:after="0" w:line="190"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2.5 The term “Salary” means the cash amounts paid or payable by the Company Group to you as regular compensation for services rendered during the Performance Period (whether or not deferred), exclusive of bonuses, awards, severance payments, reimbursement of expenses, or fringe benefits.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 The Committee may increase or decrease the amount payable under this Agreement in its sole discretion.</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2.7 The Committee’s determinations with respect to the Performance Period for purposes of this Agreement shall be binding upon all persons.</w:t>
      </w:r>
    </w:p>
    <w:p>
      <w:pPr>
        <w:spacing w:after="0" w:line="155" w:lineRule="exact"/>
        <w:rPr>
          <w:sz w:val="20"/>
          <w:szCs w:val="20"/>
          <w:color w:val="auto"/>
        </w:rPr>
      </w:pPr>
    </w:p>
    <w:p>
      <w:pPr>
        <w:jc w:val="both"/>
        <w:ind w:firstLine="8"/>
        <w:spacing w:after="0" w:line="250" w:lineRule="auto"/>
        <w:tabs>
          <w:tab w:leader="none" w:pos="648"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amount payable to you pursuant to this Agreement will be paid to you by the legal entity that is a member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Group and that is classified by the Company Group as your employer (the “</w:t>
      </w:r>
      <w:r>
        <w:rPr>
          <w:rFonts w:ascii="Times New Roman" w:cs="Times New Roman" w:eastAsia="Times New Roman" w:hAnsi="Times New Roman"/>
          <w:sz w:val="20"/>
          <w:szCs w:val="20"/>
          <w:i w:val="1"/>
          <w:iCs w:val="1"/>
          <w:color w:val="auto"/>
        </w:rPr>
        <w:t>Employer</w:t>
      </w:r>
      <w:r>
        <w:rPr>
          <w:rFonts w:ascii="Times New Roman" w:cs="Times New Roman" w:eastAsia="Times New Roman" w:hAnsi="Times New Roman"/>
          <w:sz w:val="20"/>
          <w:szCs w:val="20"/>
          <w:color w:val="auto"/>
        </w:rPr>
        <w:t>”) (or the Company, if applicable) as soon as practicable after the end of the Performance Period but no later than March 15 of the calendar year following the fiscal year in which the Performance Period ends (the “</w:t>
      </w:r>
      <w:r>
        <w:rPr>
          <w:rFonts w:ascii="Times New Roman" w:cs="Times New Roman" w:eastAsia="Times New Roman" w:hAnsi="Times New Roman"/>
          <w:sz w:val="20"/>
          <w:szCs w:val="20"/>
          <w:i w:val="1"/>
          <w:iCs w:val="1"/>
          <w:color w:val="auto"/>
        </w:rPr>
        <w:t>Payment Date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648"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SEPARATION FROM SERVICE/CHANGE IN CONTROL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following provisions will apply in the event of your Separation from Service (within the meaning of Section 409A (your “</w:t>
      </w:r>
      <w:r>
        <w:rPr>
          <w:rFonts w:ascii="Times New Roman" w:cs="Times New Roman" w:eastAsia="Times New Roman" w:hAnsi="Times New Roman"/>
          <w:sz w:val="20"/>
          <w:szCs w:val="20"/>
          <w:i w:val="1"/>
          <w:iCs w:val="1"/>
          <w:color w:val="auto"/>
        </w:rPr>
        <w:t>Separation from Service</w:t>
      </w:r>
      <w:r>
        <w:rPr>
          <w:rFonts w:ascii="Times New Roman" w:cs="Times New Roman" w:eastAsia="Times New Roman" w:hAnsi="Times New Roman"/>
          <w:sz w:val="20"/>
          <w:szCs w:val="20"/>
          <w:color w:val="auto"/>
        </w:rPr>
        <w:t>”)) from the Company and all Affiliates (the “</w:t>
      </w:r>
      <w:r>
        <w:rPr>
          <w:rFonts w:ascii="Times New Roman" w:cs="Times New Roman" w:eastAsia="Times New Roman" w:hAnsi="Times New Roman"/>
          <w:sz w:val="20"/>
          <w:szCs w:val="20"/>
          <w:i w:val="1"/>
          <w:iCs w:val="1"/>
          <w:color w:val="auto"/>
        </w:rPr>
        <w:t>Company Group</w:t>
      </w:r>
      <w:r>
        <w:rPr>
          <w:rFonts w:ascii="Times New Roman" w:cs="Times New Roman" w:eastAsia="Times New Roman" w:hAnsi="Times New Roman"/>
          <w:sz w:val="20"/>
          <w:szCs w:val="20"/>
          <w:color w:val="auto"/>
        </w:rPr>
        <w:t>”), on or before the last day of the Performance Period.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Separation from Service Generally</w:t>
      </w:r>
      <w:r>
        <w:rPr>
          <w:rFonts w:ascii="Times New Roman" w:cs="Times New Roman" w:eastAsia="Times New Roman" w:hAnsi="Times New Roman"/>
          <w:sz w:val="20"/>
          <w:szCs w:val="20"/>
          <w:color w:val="auto"/>
        </w:rPr>
        <w:t>. Except as otherwise expressly provided to the contrary in this Section 4, in the event of your Separation from Service on or before the end of the Performance Period, all of your rights in this Agreement, including all rights to the Annual Incentive Award, will lapse and be completely forfeited without consideration on the date your employment terminates.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If a “</w:t>
      </w: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(as defined in the Plan) of the Company occurs on or before the last day of the Performance Period, you do not incur a Separation from Service prior to that time, and the successor company in the Change in Control does not otherwise assume or substitute for the award granted hereby, then no later than ten (10) business days after the closing date of the Change in Control of the Company, the Company or its successor will pay to you an amount in cash equal to the product of (A) the Target Annual Incentive that would be paid to you under this Agreement</w:t>
      </w:r>
    </w:p>
    <w:p>
      <w:pPr>
        <w:spacing w:after="0" w:line="2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Corporate - Annual Incentive Award</w:t>
      </w:r>
    </w:p>
    <w:p>
      <w:pPr>
        <w:sectPr>
          <w:pgSz w:w="11900" w:h="16838" w:orient="portrait"/>
          <w:cols w:equalWidth="0" w:num="1">
            <w:col w:w="11240"/>
          </w:cols>
          <w:pgMar w:left="320" w:top="1170" w:right="339" w:bottom="1440" w:gutter="0" w:footer="0" w:header="0"/>
        </w:sectPr>
      </w:pPr>
    </w:p>
    <w:bookmarkStart w:id="94" w:name="page95"/>
    <w:bookmarkEnd w:id="94"/>
    <w:p>
      <w:pPr>
        <w:jc w:val="both"/>
        <w:spacing w:after="0" w:line="245" w:lineRule="auto"/>
        <w:rPr>
          <w:sz w:val="20"/>
          <w:szCs w:val="20"/>
          <w:color w:val="auto"/>
        </w:rPr>
      </w:pPr>
      <w:r>
        <w:rPr>
          <w:rFonts w:ascii="Times New Roman" w:cs="Times New Roman" w:eastAsia="Times New Roman" w:hAnsi="Times New Roman"/>
          <w:sz w:val="20"/>
          <w:szCs w:val="20"/>
          <w:color w:val="auto"/>
        </w:rPr>
        <w:t>and (B) a fraction, the numerator of which is the number of days in the current fiscal year through the closing date of the Change in Control and the denominator of which is 365. Notwithstanding the foregoing, if a Change in Control constitutes a payment event with respect to the deferral of compensation and payment hereunder is subject to Section 409A, then the transaction or event with respect to such payment must also constitute a “</w:t>
      </w:r>
      <w:r>
        <w:rPr>
          <w:rFonts w:ascii="Times New Roman" w:cs="Times New Roman" w:eastAsia="Times New Roman" w:hAnsi="Times New Roman"/>
          <w:sz w:val="20"/>
          <w:szCs w:val="20"/>
          <w:i w:val="1"/>
          <w:iCs w:val="1"/>
          <w:color w:val="auto"/>
        </w:rPr>
        <w:t>change in control event</w:t>
      </w:r>
      <w:r>
        <w:rPr>
          <w:rFonts w:ascii="Times New Roman" w:cs="Times New Roman" w:eastAsia="Times New Roman" w:hAnsi="Times New Roman"/>
          <w:sz w:val="20"/>
          <w:szCs w:val="20"/>
          <w:color w:val="auto"/>
        </w:rPr>
        <w:t>,” as defined in Treasury Regulation §1.409A-3(i)(5) to the extent required by Section 409A, and if it does not, and the payment does not meet any other exemption under Section 409A, then payment shall be made when it otherwise would have been made, notwithstanding the Change in Control.</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this award is assumed or substituted for in connection with a Change in Control, and if you incur an involuntary termination by the Company or its successor without Cause, or you voluntarily terminate employment for Good Reason, in each case following the effective date of a Change in Control of the Company and while the Performance Period associated with this Award is still in effect (or if the Performance Period is complete but the Award has not yet been paid), then this award shall vest in full (based on the Target Annual Incentive amount) upon such termination. For purposes of this Award, the following terms are defined as follows:</w:t>
      </w:r>
    </w:p>
    <w:p>
      <w:pPr>
        <w:spacing w:after="0" w:line="7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“Cause” </w:t>
      </w:r>
      <w:r>
        <w:rPr>
          <w:rFonts w:ascii="Times New Roman" w:cs="Times New Roman" w:eastAsia="Times New Roman" w:hAnsi="Times New Roman"/>
          <w:sz w:val="20"/>
          <w:szCs w:val="20"/>
          <w:color w:val="auto"/>
        </w:rPr>
        <w:t>means any action or inaction by you that constitutes (a) gross negligence or willful misconduct in connection with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duties or in the course of your employment with the Company; (b) any act of fraud, embezzlement or theft in connection with your duties or in the course of employment with the Company; (c) intentional wrongful damage to property of the Company; (d) a substantial failure by you to perform your duties after notice to you and a reasonable opportunity to cure; (e) your material breach of restrictive covenants contained in any Company policy or any agreement between you and the Company; or (f) your intentional wrongful disclosure of secret processes or confidential information of the Company.</w:t>
      </w:r>
    </w:p>
    <w:p>
      <w:pPr>
        <w:spacing w:after="0" w:line="206"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“Good Reason” </w:t>
      </w:r>
      <w:r>
        <w:rPr>
          <w:rFonts w:ascii="Times New Roman" w:cs="Times New Roman" w:eastAsia="Times New Roman" w:hAnsi="Times New Roman"/>
          <w:sz w:val="20"/>
          <w:szCs w:val="20"/>
          <w:color w:val="auto"/>
        </w:rPr>
        <w:t>means, to the extent any such action has been taken without your written consent, the occurrence of any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events: (a) the Company or its successor assigns to you any duties materially inconsistent with your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your annual base salary or target annual bonus as in effect immediately before the occurrence of the Change in Control, other than as part of a reduction of less than ten percent (10%) that is applicable to all executives of the Company or its successor; or (d) the Company or its successor relocates your principal office more than fifty (50) miles from your principal office at the time of the Change in Control, provided that such relocation results in an increase to your daily commute time. A termination for Good Reason also requires that you give the Company written notice of the Good Reason facts and circumstances within sixty (60) days of after becoming aware (or should have become aware) of the applicable facts and circumstances, the Company has an opportunity to cure such circumstances within thirty (30) days after receipt of notice, and you must terminate employment within thirty (30) days after expiration of the Company’s opportunity to cure.</w:t>
      </w:r>
    </w:p>
    <w:p>
      <w:pPr>
        <w:spacing w:after="0" w:line="7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In the event of your Separation from Service due to your Disability on or before the last day of the Performance Period, you will be entitled to receive, on the Payment Date, a cash amount equal to the product of (1) and (2) where (1) is the amount you would have received under this Agreement if you had not incurred a Separation from Service before the end of the Performance Period and</w:t>
      </w:r>
    </w:p>
    <w:p>
      <w:pPr>
        <w:ind w:firstLine="8"/>
        <w:spacing w:after="0" w:line="246" w:lineRule="auto"/>
        <w:tabs>
          <w:tab w:leader="none" w:pos="30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fraction, the numerator of which is the number of days from the beginning of the Performance Period through the date of your Separation from Service and the denominator of which is the number of days in the Performance Period.</w:t>
      </w:r>
    </w:p>
    <w:p>
      <w:pPr>
        <w:spacing w:after="0" w:line="2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Corporate - Annual Incentive Award</w:t>
      </w:r>
    </w:p>
    <w:p>
      <w:pPr>
        <w:sectPr>
          <w:pgSz w:w="11900" w:h="16838" w:orient="portrait"/>
          <w:cols w:equalWidth="0" w:num="1">
            <w:col w:w="11240"/>
          </w:cols>
          <w:pgMar w:left="320" w:top="1170" w:right="339" w:bottom="1440" w:gutter="0" w:footer="0" w:header="0"/>
        </w:sectPr>
      </w:pPr>
    </w:p>
    <w:bookmarkStart w:id="95" w:name="page96"/>
    <w:bookmarkEnd w:id="95"/>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In the event of your Separation from Service due to your death on or before the last day of the Performance Period, your estate will be entitled to receive, on the Payment Date, a cash amount equal to the product of (1) and (2) where (1) is the amount you would have received under this Agreement if you had not incurred a Separation from Service before the end of the Performance Period and (2) is a fraction, the numerator of which is the number of days from the beginning of the Performance Period through the date of your Separation from Service and the denominator of which is the number of days in the Performance Period.</w:t>
      </w:r>
    </w:p>
    <w:p>
      <w:pPr>
        <w:spacing w:after="0" w:line="185" w:lineRule="exact"/>
        <w:rPr>
          <w:sz w:val="20"/>
          <w:szCs w:val="20"/>
          <w:color w:val="auto"/>
        </w:rPr>
      </w:pPr>
    </w:p>
    <w:p>
      <w:pPr>
        <w:jc w:val="both"/>
        <w:ind w:left="20" w:firstLine="648"/>
        <w:spacing w:after="0" w:line="247"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In the event of your Separation from Service due to your Retirement on or before the last day of the Performance Period, you will be entitled to receive a cash amount, on the Payment Date, equal to the product of (1) and (2) where (1) is the amount you would have received under this Agreement if you had not incurred a Separation from Service before the end of the Performance Period and</w:t>
      </w:r>
    </w:p>
    <w:p>
      <w:pPr>
        <w:jc w:val="both"/>
        <w:ind w:left="20" w:hanging="6"/>
        <w:spacing w:after="0" w:line="241" w:lineRule="auto"/>
        <w:tabs>
          <w:tab w:leader="none" w:pos="32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fraction, the numerator of which is the number of days from the beginning of the Performance Period through the date of your Separation from Service and the denominator of which is the number of days in the Performance Period. For purposes of this Section 4.5 “</w:t>
      </w:r>
      <w:r>
        <w:rPr>
          <w:rFonts w:ascii="Times New Roman" w:cs="Times New Roman" w:eastAsia="Times New Roman" w:hAnsi="Times New Roman"/>
          <w:sz w:val="20"/>
          <w:szCs w:val="20"/>
          <w:i w:val="1"/>
          <w:iCs w:val="1"/>
          <w:color w:val="auto"/>
        </w:rPr>
        <w:t>Retirement</w:t>
      </w:r>
      <w:r>
        <w:rPr>
          <w:rFonts w:ascii="Times New Roman" w:cs="Times New Roman" w:eastAsia="Times New Roman" w:hAnsi="Times New Roman"/>
          <w:sz w:val="20"/>
          <w:szCs w:val="20"/>
          <w:color w:val="auto"/>
        </w:rPr>
        <w:t>” means your voluntary Separation from Service on or after the date on which (a) you are age 65 or (b) you are age 55 and have five years of service with the Company Group.</w:t>
      </w:r>
    </w:p>
    <w:p>
      <w:pPr>
        <w:spacing w:after="0" w:line="211" w:lineRule="exact"/>
        <w:rPr>
          <w:rFonts w:ascii="Times New Roman" w:cs="Times New Roman" w:eastAsia="Times New Roman" w:hAnsi="Times New Roman"/>
          <w:sz w:val="20"/>
          <w:szCs w:val="20"/>
          <w:color w:val="auto"/>
        </w:rPr>
      </w:pPr>
    </w:p>
    <w:p>
      <w:pPr>
        <w:jc w:val="both"/>
        <w:ind w:firstLine="8"/>
        <w:spacing w:after="0" w:line="245" w:lineRule="auto"/>
        <w:tabs>
          <w:tab w:leader="none" w:pos="64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To the extent that the receipt of this Agreement or payment pursuant to this Agreement results in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wages or other compensation to you for any income, employment or other tax purposes with respect to which the Company or Employer, as applicable, has a withholding obligation, you shall deliver to the Company or Employer at the time of such receipt or payment, as the case may be, such amount of money as the Company or Employer may require to meet its obligation under applicable tax laws or regulations, and, if you fail to do so, the Company or Employer is authorized to withhold from any payment under this Agreement or from any cash or stock remuneration or other payment then or thereafter payable to you by the Company Group any tax required to be withheld by reason of such taxable income, wages or compensation.</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64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rights under this Agreement and to any Annual Incentive Award that may be payable to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may not be sold, assigned, pledged, exchanged, hypothecated or otherwise transferred, encumbered or disposed of (other than by will or the applicable laws of descent and distribution). Any such attempted sale, assignment, pledge, exchange, hypothecation, transfer, encumbrance or disposition in violation of this Agreement shall be void and the Company Group shall not be bound thereby.</w:t>
      </w:r>
    </w:p>
    <w:p>
      <w:pPr>
        <w:spacing w:after="0" w:line="180"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64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CAPITAL ADJUSTMENTS AND REORGANIZATIONS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existence of the Annual Incentive Award shall not affect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way the right or power of the Company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64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 AN EMPLOYMENT AGREEMENT</w:t>
      </w:r>
      <w:r>
        <w:rPr>
          <w:rFonts w:ascii="Times New Roman" w:cs="Times New Roman" w:eastAsia="Times New Roman" w:hAnsi="Times New Roman"/>
          <w:sz w:val="20"/>
          <w:szCs w:val="20"/>
          <w:color w:val="auto"/>
        </w:rPr>
        <w:t>. This Agreement is not an employment agreement, and no provision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64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LIMIT OF LIABILITY</w:t>
      </w:r>
      <w:r>
        <w:rPr>
          <w:rFonts w:ascii="Times New Roman" w:cs="Times New Roman" w:eastAsia="Times New Roman" w:hAnsi="Times New Roman"/>
          <w:sz w:val="20"/>
          <w:szCs w:val="20"/>
          <w:color w:val="auto"/>
        </w:rPr>
        <w:t>. Under no circumstances will the Company or an Affiliate be liable for any indirect, incidental,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consequential or special damages (including lost profits) of any form incurred by any person, whether or not foreseeable and regardless of the form of the act in which such a claim may be brought, with respect to the Plan.</w:t>
      </w:r>
    </w:p>
    <w:p>
      <w:pPr>
        <w:spacing w:after="0" w:line="1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7"/>
          <w:szCs w:val="17"/>
          <w:i w:val="1"/>
          <w:iCs w:val="1"/>
          <w:color w:val="auto"/>
        </w:rPr>
        <w:t>Corporate - Annual Incentive Award</w:t>
      </w:r>
    </w:p>
    <w:p>
      <w:pPr>
        <w:sectPr>
          <w:pgSz w:w="11900" w:h="16838" w:orient="portrait"/>
          <w:cols w:equalWidth="0" w:num="1">
            <w:col w:w="11240"/>
          </w:cols>
          <w:pgMar w:left="320" w:top="1170" w:right="339" w:bottom="1440" w:gutter="0" w:footer="0" w:header="0"/>
        </w:sectPr>
      </w:pPr>
    </w:p>
    <w:bookmarkStart w:id="96" w:name="page97"/>
    <w:bookmarkEnd w:id="96"/>
    <w:p>
      <w:pPr>
        <w:jc w:val="both"/>
        <w:ind w:firstLine="8"/>
        <w:spacing w:after="0" w:line="243" w:lineRule="auto"/>
        <w:tabs>
          <w:tab w:leader="none" w:pos="639"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REIMBURSEMENT OF EXECUTIVE COMPENSATION IN RESTATEMENT SITUATIONS.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and as determined by the Board in its judgment, the Company may require reimbursement of a portion of any payment to you under this Agreement when (a) the award payment was predicated upon the achievement of certain financial results that were subsequently the subject of a material restatement and (b) a lower payment would have been made to you based upon the restated financial results. In each such instance, the Company will, to the extent practicable, seek to recover the amount by which your cash payment for the relevant period exceeded the lower payment that would have been made based on the restated financial results. If there are multiple performance metrics and one is more readily calculable to determine whether a lower payment should have been made, then the same ratio or percentage applicable for the readily calculable metric shall be applied to the other metric(s) so that the entire bonus amount is recovered on a pro-rata basis to the event. No reimbursement shall be required if such material restatement was caused by or resulted from any change in accounting policy or rules.</w:t>
      </w:r>
    </w:p>
    <w:p>
      <w:pPr>
        <w:spacing w:after="0" w:line="182" w:lineRule="exact"/>
        <w:rPr>
          <w:rFonts w:ascii="Times New Roman" w:cs="Times New Roman" w:eastAsia="Times New Roman" w:hAnsi="Times New Roman"/>
          <w:sz w:val="20"/>
          <w:szCs w:val="20"/>
          <w:b w:val="1"/>
          <w:bCs w:val="1"/>
          <w:color w:val="auto"/>
        </w:rPr>
      </w:pPr>
    </w:p>
    <w:p>
      <w:pPr>
        <w:jc w:val="both"/>
        <w:ind w:firstLine="8"/>
        <w:spacing w:after="0" w:line="244" w:lineRule="auto"/>
        <w:tabs>
          <w:tab w:leader="none" w:pos="628"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AGREEMENT TO REPAYMENT OF PERFORMANCE BASED INCENTIVE COMPENSATION WHEN PAYMENTS ARE REQUIRED UNDER FEDERAL LAW OR THE RULES OF AN EXCHANGE</w:t>
      </w:r>
      <w:r>
        <w:rPr>
          <w:rFonts w:ascii="Times New Roman" w:cs="Times New Roman" w:eastAsia="Times New Roman" w:hAnsi="Times New Roman"/>
          <w:sz w:val="20"/>
          <w:szCs w:val="20"/>
          <w:color w:val="auto"/>
        </w:rPr>
        <w:t>. You acknowledge that the Company is a publicly-traded entity subject to the laws and regulations of the United States Securities and Exchange Commission, as well as the requirements of the New York Stock Exchange. You further acknowledge that the Company’s approved form agreements for performance-based incentive compensation granted to you contain certain “clawback” terms and provisions. You agree to the terms and conditions of any policy adopted by the Company to comply with, or any decision of the Company to adhere to, any requirement or policy of the New York Stock Exchange (or any other exchange on which the securities of the Company are listed) pursuant to Section 10D of the Securities Exchange Act of 1934 (the “</w:t>
      </w:r>
      <w:r>
        <w:rPr>
          <w:rFonts w:ascii="Times New Roman" w:cs="Times New Roman" w:eastAsia="Times New Roman" w:hAnsi="Times New Roman"/>
          <w:sz w:val="20"/>
          <w:szCs w:val="20"/>
          <w:i w:val="1"/>
          <w:iCs w:val="1"/>
          <w:color w:val="auto"/>
        </w:rPr>
        <w:t>Policy</w:t>
      </w:r>
      <w:r>
        <w:rPr>
          <w:rFonts w:ascii="Times New Roman" w:cs="Times New Roman" w:eastAsia="Times New Roman" w:hAnsi="Times New Roman"/>
          <w:sz w:val="20"/>
          <w:szCs w:val="20"/>
          <w:color w:val="auto"/>
        </w:rPr>
        <w:t>”) from this point forward for any grants made previously or in the future. Section 10D provides for the recovery of incentive-based compensation that has been erroneously granted, earned, vested or paid because of one or more errors that are material in the financial statements of the Company. To the extent such Policy requires the repayment or recovery of incentive-based compensation granted to, or earned or received by you, or in which you vested, whether granted, vested, earned or paid pursuant to any past or future award agreements or any other plan of incentive-based compensation maintained in the past or adopted in the future by the Company, you agree to the forfeiture, recovery or repayment of such amounts to the extent required by such Policy.</w:t>
      </w:r>
    </w:p>
    <w:p>
      <w:pPr>
        <w:spacing w:after="0" w:line="186"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639"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EMPLOYER LIABLE FOR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the Committee may determine otherwise in connection with a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the Employer (or the Company, as applicable) is liable for the payment of any amounts that become due under this Agreement.</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43" w:lineRule="auto"/>
        <w:tabs>
          <w:tab w:leader="none" w:pos="639"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 OF THE INTERNAL REVENUE CODE</w:t>
      </w:r>
      <w:r>
        <w:rPr>
          <w:rFonts w:ascii="Times New Roman" w:cs="Times New Roman" w:eastAsia="Times New Roman" w:hAnsi="Times New Roman"/>
          <w:sz w:val="20"/>
          <w:szCs w:val="20"/>
          <w:color w:val="auto"/>
        </w:rPr>
        <w:t>. This Agreement and all payments made hereunder are intended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meet the short-term deferral exception described under section 1.409A-1(b)(4) of the applicable Treasury regulations, or otherwise comply with, Section 409A, and this Agreement shall be interpreted so as to effect that intent. By accepting this Award, you acknowledge and agree that (a) you are not relying upon any written or oral statement or oral statement or representation of the Company, its Affiliates, or any of their respective employees, directors, officers, attorneys or agents (collectively,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Company Parties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regarding the tax effects associated with execution of this Agreement and the payment made pursuant to the Plan, and (b) in deciding to enter into this Agreement, you are relying on your own judgment and the judgment of the professionals of your choice with whom you have consulted. By accepting this Award, you thereby release, acquit and forever discharge the Company Parties from all actions, causes of actions, suits, debts, obligations, liabilities, claims, damages, losses, costs and expenses of any nature whatsoever, known or unknown, on account of, arising out of, or in any way related to the tax effects associated with the Award and this Agreement.</w:t>
      </w:r>
    </w:p>
    <w:p>
      <w:pPr>
        <w:spacing w:after="0" w:line="182"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639"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DELAYED PAYMENT IN CERTAIN CIRCUMSTANCES</w:t>
      </w:r>
      <w:r>
        <w:rPr>
          <w:rFonts w:ascii="Times New Roman" w:cs="Times New Roman" w:eastAsia="Times New Roman" w:hAnsi="Times New Roman"/>
          <w:sz w:val="20"/>
          <w:szCs w:val="20"/>
          <w:b w:val="1"/>
          <w:bCs w:val="1"/>
          <w:color w:val="auto"/>
        </w:rPr>
        <w:t>. Notwithstanding any other provision of this Agreement, if you are a “</w:t>
      </w:r>
      <w:r>
        <w:rPr>
          <w:rFonts w:ascii="Times New Roman" w:cs="Times New Roman" w:eastAsia="Times New Roman" w:hAnsi="Times New Roman"/>
          <w:sz w:val="20"/>
          <w:szCs w:val="20"/>
          <w:b w:val="1"/>
          <w:bCs w:val="1"/>
          <w:i w:val="1"/>
          <w:iCs w:val="1"/>
          <w:color w:val="auto"/>
        </w:rPr>
        <w:t>specified employee</w:t>
      </w:r>
      <w:r>
        <w:rPr>
          <w:rFonts w:ascii="Times New Roman" w:cs="Times New Roman" w:eastAsia="Times New Roman" w:hAnsi="Times New Roman"/>
          <w:sz w:val="20"/>
          <w:szCs w:val="20"/>
          <w:b w:val="1"/>
          <w:bCs w:val="1"/>
          <w:color w:val="auto"/>
        </w:rPr>
        <w:t>” (within the meaning of Section 409A) and the Company determines that a payment hereunder is not Permitted to be paid on the date</w:t>
      </w:r>
    </w:p>
    <w:p>
      <w:pPr>
        <w:spacing w:after="0" w:line="1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Corporate - Annual Incentive Award</w:t>
      </w:r>
    </w:p>
    <w:p>
      <w:pPr>
        <w:sectPr>
          <w:pgSz w:w="11900" w:h="16838" w:orient="portrait"/>
          <w:cols w:equalWidth="0" w:num="1">
            <w:col w:w="11240"/>
          </w:cols>
          <w:pgMar w:left="320" w:top="1166"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specified without the imposition of additional taxes, interest or penalties under Section 409A, then no payments shall be made to you pursuant to this Award due to a separation from service for any reason before the earlier of the date that is six months and a day after the date on which you incur such separation from service or five business days following the date of your death.</w:t>
      </w:r>
    </w:p>
    <w:p>
      <w:pPr>
        <w:spacing w:after="0" w:line="169" w:lineRule="exact"/>
        <w:rPr>
          <w:sz w:val="20"/>
          <w:szCs w:val="20"/>
          <w:color w:val="auto"/>
        </w:rPr>
      </w:pPr>
    </w:p>
    <w:p>
      <w:pPr>
        <w:jc w:val="both"/>
        <w:ind w:firstLine="8"/>
        <w:spacing w:after="0" w:line="250" w:lineRule="auto"/>
        <w:tabs>
          <w:tab w:leader="none" w:pos="639"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This Agreement is awarded pursuant to and is subject to all of the provisions of the Plan,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amendments to the Plan, if any. In the event of a conflict between this Agreement and the Plan provisions, the Plan provisions will control. The term “</w:t>
      </w:r>
      <w:r>
        <w:rPr>
          <w:rFonts w:ascii="Times New Roman" w:cs="Times New Roman" w:eastAsia="Times New Roman" w:hAnsi="Times New Roman"/>
          <w:sz w:val="20"/>
          <w:szCs w:val="20"/>
          <w:i w:val="1"/>
          <w:iCs w:val="1"/>
          <w:color w:val="auto"/>
        </w:rPr>
        <w:t>you</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your</w:t>
      </w:r>
      <w:r>
        <w:rPr>
          <w:rFonts w:ascii="Times New Roman" w:cs="Times New Roman" w:eastAsia="Times New Roman" w:hAnsi="Times New Roman"/>
          <w:sz w:val="20"/>
          <w:szCs w:val="20"/>
          <w:color w:val="auto"/>
        </w:rPr>
        <w:t>” refer to the Grantee named in this Agreement. Capitalized terms that are not defined herein shall have the meanings ascribed to such terms in the Plan. This Agreement shall be binding on all successors and assigns of the Company.</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accepting the Annual Incentive Award set forth in this Agreement you accept and agree to be bound by all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599440</wp:posOffset>
            </wp:positionV>
            <wp:extent cx="7537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Corporate - Annual Incentive Award</w:t>
      </w:r>
    </w:p>
    <w:p>
      <w:pPr>
        <w:sectPr>
          <w:pgSz w:w="11900" w:h="16838" w:orient="portrait"/>
          <w:cols w:equalWidth="0" w:num="1">
            <w:col w:w="11240"/>
          </w:cols>
          <w:pgMar w:left="320" w:top="1166" w:right="339" w:bottom="1440" w:gutter="0" w:footer="0" w:header="0"/>
        </w:sectPr>
      </w:pPr>
    </w:p>
    <w:bookmarkStart w:id="98" w:name="page99"/>
    <w:bookmarkEnd w:id="98"/>
    <w:p>
      <w:pPr>
        <w:ind w:left="1010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LOCATION OF INCORPORATION</w:t>
      </w:r>
    </w:p>
    <w:p>
      <w:pPr>
        <w:spacing w:after="0" w:line="34" w:lineRule="exact"/>
        <w:rPr>
          <w:sz w:val="20"/>
          <w:szCs w:val="20"/>
          <w:color w:val="auto"/>
        </w:rPr>
      </w:pPr>
    </w:p>
    <w:p>
      <w:pPr>
        <w:sectPr>
          <w:pgSz w:w="11900" w:h="16838" w:orient="portrait"/>
          <w:cols w:equalWidth="0" w:num="2">
            <w:col w:w="7120" w:space="720"/>
            <w:col w:w="338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Quanex North American Fenestration,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Quanex North American Cabinet Components,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Homeshield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Washington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IG Systems,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Europe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(UK)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Flamstead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Liniar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Woodcraft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Acquisition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Primewood,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Dakota</w:t>
      </w:r>
    </w:p>
    <w:p>
      <w:pPr>
        <w:sectPr>
          <w:pgSz w:w="11900" w:h="16838" w:orient="portrait"/>
          <w:cols w:equalWidth="0" w:num="2">
            <w:col w:w="7120" w:space="720"/>
            <w:col w:w="3380"/>
          </w:cols>
          <w:pgMar w:left="340" w:top="887" w:right="33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December 11, 2020, with respect to the consolidated financial statements and internal control over financial reporting included in the Annual Report of Quanex Building Products Corporation on Form 10-K for the year ended October 31, 2020. We hereby consent to the incorporation by reference of said reports in the Registration Statements of Quanex Building Products Corporation on Forms S-8 (File No. 333-150392, File No. 333-173245, File No. 333-194812, File No. 333-217118 and File N. 333-237032).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ectPr>
          <w:pgSz w:w="11900" w:h="16838" w:orient="portrait"/>
          <w:cols w:equalWidth="0" w:num="1">
            <w:col w:w="11240"/>
          </w:cols>
          <w:pgMar w:left="320" w:top="94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17" w:lineRule="exact"/>
        <w:rPr>
          <w:sz w:val="20"/>
          <w:szCs w:val="20"/>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869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GEORGE L. WILSON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17" w:lineRule="exact"/>
        <w:rPr>
          <w:sz w:val="20"/>
          <w:szCs w:val="20"/>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M. Zuehlke</w:t>
      </w:r>
    </w:p>
    <w:p>
      <w:pPr>
        <w:ind w:left="20"/>
        <w:spacing w:after="0" w:line="203"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 (Principal</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George L. Wilson,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22" w:lineRule="exact"/>
        <w:rPr>
          <w:sz w:val="20"/>
          <w:szCs w:val="20"/>
          <w:color w:val="auto"/>
        </w:rPr>
      </w:pPr>
    </w:p>
    <w:p>
      <w:pPr>
        <w:jc w:val="both"/>
        <w:ind w:left="660" w:hanging="328"/>
        <w:spacing w:after="0" w:line="266"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October 31, 2020 as filed with the Securities and Exchange Commission on the date hereof (the Report), fully complies with the requirements of Section 13(a) or 15(d), as applicable,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11, 2020</w:t>
            </w:r>
          </w:p>
        </w:tc>
        <w:tc>
          <w:tcPr>
            <w:tcW w:w="5440" w:type="dxa"/>
            <w:vAlign w:val="bottom"/>
          </w:tcPr>
          <w:p>
            <w:pPr>
              <w:spacing w:after="0"/>
              <w:rPr>
                <w:sz w:val="20"/>
                <w:szCs w:val="20"/>
                <w:color w:val="auto"/>
              </w:rPr>
            </w:pPr>
          </w:p>
        </w:tc>
      </w:tr>
      <w:tr>
        <w:trPr>
          <w:trHeight w:val="445"/>
        </w:trPr>
        <w:tc>
          <w:tcPr>
            <w:tcW w:w="5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r>
      <w:tr>
        <w:trPr>
          <w:trHeight w:val="203"/>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GEORGE L. WILSON</w:t>
            </w:r>
          </w:p>
        </w:tc>
        <w:tc>
          <w:tcPr>
            <w:tcW w:w="360" w:type="dxa"/>
            <w:vAlign w:val="bottom"/>
          </w:tcPr>
          <w:p>
            <w:pPr>
              <w:spacing w:after="0"/>
              <w:rPr>
                <w:sz w:val="17"/>
                <w:szCs w:val="17"/>
                <w:color w:val="auto"/>
              </w:rPr>
            </w:pPr>
          </w:p>
        </w:tc>
        <w:tc>
          <w:tcPr>
            <w:tcW w:w="5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 M. ZUEHLKE</w:t>
            </w:r>
          </w:p>
        </w:tc>
      </w:tr>
      <w:tr>
        <w:trPr>
          <w:trHeight w:val="236"/>
        </w:trPr>
        <w:tc>
          <w:tcPr>
            <w:tcW w:w="5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President—Chief Financial Officer and Treasurer</w:t>
            </w:r>
          </w:p>
        </w:tc>
      </w:tr>
    </w:tbl>
    <w:p>
      <w:pPr>
        <w:spacing w:after="0" w:line="144"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Letter"/>
      <w:start w:val="3"/>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3"/>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decimal"/>
      <w:start w:val="1"/>
    </w:lvl>
    <w:lvl w:ilvl="1">
      <w:lvlJc w:val="left"/>
      <w:lvlText w:val="(%2)"/>
      <w:numFmt w:val="decimal"/>
      <w:start w:val="2"/>
    </w:lvl>
  </w:abstractNum>
  <w:abstractNum w:abstractNumId="26">
    <w:nsid w:val="3A95F874"/>
    <w:multiLevelType w:val="hybridMultilevel"/>
    <w:lvl w:ilvl="0">
      <w:lvlJc w:val="left"/>
      <w:lvlText w:val="%1."/>
      <w:numFmt w:val="decimal"/>
      <w:start w:val="5"/>
    </w:lvl>
    <w:lvl w:ilvl="1">
      <w:lvlJc w:val="left"/>
      <w:lvlText w:val="%2"/>
      <w:numFmt w:val="decimal"/>
      <w:start w:val="1"/>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decimal"/>
      <w:start w:val="15"/>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2" Type="http://schemas.openxmlformats.org/officeDocument/2006/relationships/image" Target="media/image102.png"/><Relationship Id="rId137" Type="http://schemas.openxmlformats.org/officeDocument/2006/relationships/image" Target="media/image103.png"/><Relationship Id="rId151"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09" Type="http://schemas.openxmlformats.org/officeDocument/2006/relationships/hyperlink" Target="http://www.sec.gov/Archives/edgar/data/1423221/000095012311008220/c11749exv2w1.htm" TargetMode="External"/><Relationship Id="rId110" Type="http://schemas.openxmlformats.org/officeDocument/2006/relationships/hyperlink" Target="http://www.sec.gov/Archives/edgar/data/1423221/000119312514042001/d673720dex21.htm" TargetMode="External"/><Relationship Id="rId111" Type="http://schemas.openxmlformats.org/officeDocument/2006/relationships/hyperlink" Target="http://www.sec.gov/Archives/edgar/data/1423221/000119312514133069/d705907dex101.htm" TargetMode="External"/><Relationship Id="rId112" Type="http://schemas.openxmlformats.org/officeDocument/2006/relationships/hyperlink" Target="http://www.sec.gov/Archives/edgar/data/1423221/000119312515223912/d942344dex21.htm" TargetMode="External"/><Relationship Id="rId113" Type="http://schemas.openxmlformats.org/officeDocument/2006/relationships/hyperlink" Target="http://www.sec.gov/Archives/edgar/data/1423221/000119312515307548/d61044dex21.htm" TargetMode="External"/><Relationship Id="rId114" Type="http://schemas.openxmlformats.org/officeDocument/2006/relationships/hyperlink" Target="http://www.sec.gov/Archives/edgar/data/1423221/000119312516495257/d156158dex31.htm" TargetMode="External"/><Relationship Id="rId115" Type="http://schemas.openxmlformats.org/officeDocument/2006/relationships/hyperlink" Target="http://www.sec.gov/Archives/edgar/data/1423221/000142322120000005/nx01312020ex32.htm" TargetMode="External"/><Relationship Id="rId116" Type="http://schemas.openxmlformats.org/officeDocument/2006/relationships/hyperlink" Target="http://www.sec.gov/Archives/edgar/data/1423221/000095012908000988/h52992a1exv4w1.htm" TargetMode="External"/><Relationship Id="rId117" Type="http://schemas.openxmlformats.org/officeDocument/2006/relationships/hyperlink" Target="http://www.sec.gov/Archives/edgar/data/1423221/000119312518302063/d637291dex101.htm" TargetMode="External"/><Relationship Id="rId118" Type="http://schemas.openxmlformats.org/officeDocument/2006/relationships/hyperlink" Target="http://www.sec.gov/Archives/edgar/data/1423221/000142322120000016/exhibit43.htm" TargetMode="External"/><Relationship Id="rId119" Type="http://schemas.openxmlformats.org/officeDocument/2006/relationships/hyperlink" Target="http://www.sec.gov/Archives/edgar/data/1423221/000119312514077357/d687962d8k.htm" TargetMode="External"/><Relationship Id="rId120" Type="http://schemas.openxmlformats.org/officeDocument/2006/relationships/hyperlink" Target="http://www.sec.gov/Archives/edgar/data/1423221/000142322114000003/a102qbpdeferredcompplan.htm" TargetMode="External"/><Relationship Id="rId121" Type="http://schemas.openxmlformats.org/officeDocument/2006/relationships/hyperlink" Target="http://www.sec.gov/Archives/edgar/data/1423221/000095013408004851/h52992a4exv10w8.htm" TargetMode="External"/><Relationship Id="rId123" Type="http://schemas.openxmlformats.org/officeDocument/2006/relationships/hyperlink" Target="http://www.sec.gov/Archives/edgar/data/1423221/000095013408004851/h52992a4exv10w9.htm" TargetMode="External"/><Relationship Id="rId124" Type="http://schemas.openxmlformats.org/officeDocument/2006/relationships/hyperlink" Target="http://www.sec.gov/Archives/edgar/data/1423221/000110465920027879/tm2011414d1_ex10-1.htm" TargetMode="External"/><Relationship Id="rId125" Type="http://schemas.openxmlformats.org/officeDocument/2006/relationships/hyperlink" Target="http://www.sec.gov/Archives/edgar/data/1423221/000136231008004916/c75000exv10w1.htm" TargetMode="External"/><Relationship Id="rId126" Type="http://schemas.openxmlformats.org/officeDocument/2006/relationships/hyperlink" Target="http://www.sec.gov/Archives/edgar/data/1423221/000136231008004916/c75000exv10w2.htm" TargetMode="External"/><Relationship Id="rId127" Type="http://schemas.openxmlformats.org/officeDocument/2006/relationships/hyperlink" Target="http://www.sec.gov/Archives/edgar/data/1423221/000119312513285928/d566041dex101.htm" TargetMode="External"/><Relationship Id="rId128" Type="http://schemas.openxmlformats.org/officeDocument/2006/relationships/hyperlink" Target="http://www.sec.gov/Archives/edgar/data/1423221/000119312513285928/d566041dex102.htm" TargetMode="External"/><Relationship Id="rId129" Type="http://schemas.openxmlformats.org/officeDocument/2006/relationships/hyperlink" Target="http://www.sec.gov/Archives/edgar/data/1423221/000119312514167680/d716408dex101.htm" TargetMode="External"/><Relationship Id="rId130" Type="http://schemas.openxmlformats.org/officeDocument/2006/relationships/hyperlink" Target="http://www.sec.gov/Archives/edgar/data/1423221/000119312514167680/d716408dex102.htm" TargetMode="External"/><Relationship Id="rId131" Type="http://schemas.openxmlformats.org/officeDocument/2006/relationships/hyperlink" Target="http://www.sec.gov/Archives/edgar/data/1423221/000119312514167680/d716408dex103.htm" TargetMode="External"/><Relationship Id="rId132" Type="http://schemas.openxmlformats.org/officeDocument/2006/relationships/hyperlink" Target="http://www.sec.gov/Archives/edgar/data/1423221/000119312514167680/d716408dex104.htm" TargetMode="External"/><Relationship Id="rId133" Type="http://schemas.openxmlformats.org/officeDocument/2006/relationships/hyperlink" Target="http://www.sec.gov/Archives/edgar/data/1423221/000119312514167680/d716408dex106.htm" TargetMode="External"/><Relationship Id="rId134" Type="http://schemas.openxmlformats.org/officeDocument/2006/relationships/hyperlink" Target="http://www.sec.gov/Archives/edgar/data/1423221/000119312514167680/d716408dex107.htm" TargetMode="External"/><Relationship Id="rId135" Type="http://schemas.openxmlformats.org/officeDocument/2006/relationships/hyperlink" Target="http://www.sec.gov/Archives/edgar/data/1423221/000119312514167680/d716408dex1010.htm" TargetMode="External"/><Relationship Id="rId136" Type="http://schemas.openxmlformats.org/officeDocument/2006/relationships/hyperlink" Target="http://www.sec.gov/Archives/edgar/data/1423221/000119312514167680/d716408dex1011.htm" TargetMode="External"/><Relationship Id="rId138" Type="http://schemas.openxmlformats.org/officeDocument/2006/relationships/hyperlink" Target="http://www.sec.gov/Archives/edgar/data/1423221/000119312514167680/d716408dex1012.htm" TargetMode="External"/><Relationship Id="rId139" Type="http://schemas.openxmlformats.org/officeDocument/2006/relationships/hyperlink" Target="http://www.sec.gov/Archives/edgar/data/1423221/000119312515396048/d40657dex102.htm" TargetMode="External"/><Relationship Id="rId140" Type="http://schemas.openxmlformats.org/officeDocument/2006/relationships/hyperlink" Target="http://www.sec.gov/Archives/edgar/data/1423221/000119312515396048/d40657dex103.htm" TargetMode="External"/><Relationship Id="rId141" Type="http://schemas.openxmlformats.org/officeDocument/2006/relationships/hyperlink" Target="http://www.sec.gov/Archives/edgar/data/1423221/000119312515396048/d40657dex107.htm" TargetMode="External"/><Relationship Id="rId142" Type="http://schemas.openxmlformats.org/officeDocument/2006/relationships/hyperlink" Target="http://www.sec.gov/Archives/edgar/data/1423221/000110465919059039/tm1921707d1_ex10-1.htm" TargetMode="External"/><Relationship Id="rId143" Type="http://schemas.openxmlformats.org/officeDocument/2006/relationships/hyperlink" Target="http://www.sec.gov/Archives/edgar/data/1423221/000142322116000026/nxexhibit1044.htm" TargetMode="External"/><Relationship Id="rId144" Type="http://schemas.openxmlformats.org/officeDocument/2006/relationships/hyperlink" Target="http://www.sec.gov/Archives/edgar/data/1423221/000119312516693844/d233962dex101.htm" TargetMode="External"/><Relationship Id="rId145" Type="http://schemas.openxmlformats.org/officeDocument/2006/relationships/hyperlink" Target="http://www.sec.gov/Archives/edgar/data/1423221/000119312517024657/d333747ddef14a.htm" TargetMode="External"/><Relationship Id="rId146" Type="http://schemas.openxmlformats.org/officeDocument/2006/relationships/hyperlink" Target="http://www.sec.gov/Archives/edgar/data/1423221/000119312517238506/d417234dex101.htm" TargetMode="External"/><Relationship Id="rId147" Type="http://schemas.openxmlformats.org/officeDocument/2006/relationships/hyperlink" Target="http://www.sec.gov/Archives/edgar/data/1423221/000142322117000018/nx-exhibit1050201710xk.htm" TargetMode="External"/><Relationship Id="rId148" Type="http://schemas.openxmlformats.org/officeDocument/2006/relationships/hyperlink" Target="http://www.sec.gov/Archives/edgar/data/1423221/000142322117000018/nx-exhibit1051201710xk.htm" TargetMode="External"/><Relationship Id="rId149" Type="http://schemas.openxmlformats.org/officeDocument/2006/relationships/hyperlink" Target="http://www.sec.gov/Archives/edgar/data/1423221/000119312518297766/d635579dex101.htm" TargetMode="External"/><Relationship Id="rId150" Type="http://schemas.openxmlformats.org/officeDocument/2006/relationships/hyperlink" Target="http://www.sec.gov/Archives/edgar/data/1423221/000110465919059039/tm1921707d1_ex10-2.htm" TargetMode="External"/><Relationship Id="rId152" Type="http://schemas.openxmlformats.org/officeDocument/2006/relationships/hyperlink" Target="http://www.sec.gov/Archives/edgar/data/1423221/000110465919059039/tm1921707d1_ex10-4.htm" TargetMode="External"/><Relationship Id="rId153" Type="http://schemas.openxmlformats.org/officeDocument/2006/relationships/hyperlink" Target="http://www.sec.gov/Archives/edgar/data/1423221/000110465920027879/tm2011414d1_ex10-2.htm" TargetMode="External"/><Relationship Id="rId154" Type="http://schemas.openxmlformats.org/officeDocument/2006/relationships/hyperlink" Target="http://www.sec.gov/Archives/edgar/data/1423221/000142322120000005/nx01312020ex101.htm" TargetMode="External"/><Relationship Id="rId155" Type="http://schemas.openxmlformats.org/officeDocument/2006/relationships/hyperlink" Target="http://www.sec.gov/Archives/edgar/data/1423221/000142322120000010/nx04302020ex101.htm" TargetMode="External"/><Relationship Id="rId156" Type="http://schemas.openxmlformats.org/officeDocument/2006/relationships/hyperlink" Target="http://www.sec.gov/Archives/edgar/data/1423221/000142322120000010/nx04302020ex102.htm" TargetMode="External"/><Relationship Id="rId157" Type="http://schemas.openxmlformats.org/officeDocument/2006/relationships/hyperlink" Target="http://www.sec.gov/Archives/edgar/data/1423221/000142322120000010/nx04302020ex103.htm" TargetMode="External"/><Relationship Id="rId158" Type="http://schemas.openxmlformats.org/officeDocument/2006/relationships/hyperlink" Target="http://www.sec.gov/Archives/edgar/data/1423221/000142322120000010/nx04302020ex104.htm" TargetMode="External"/><Relationship Id="rId159" Type="http://schemas.openxmlformats.org/officeDocument/2006/relationships/hyperlink" Target="http://www.sec.gov/Archives/edgar/data/1423221/000142322120000010/nx04302020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2020-12-11T15:08:32Z</dcterms:created>
  <dcterms:modified xsi:type="dcterms:W3CDTF">2020-12-11T15:08:32Z</dcterms:modified>
</cp:coreProperties>
</file>