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July 31, 2026 </w:t>
      </w:r>
    </w:p>
    <w:p>
      <w:pPr>
        <w:pStyle w:val="TextBody"/>
        <w:bidi w:val="0"/>
        <w:spacing w:lineRule="auto" w:line="288" w:before="0" w:after="0"/>
        <w:jc w:val="center"/>
        <w:rPr/>
      </w:pPr>
      <w:r>
        <w:rPr>
          <w:rFonts w:ascii="Times New Roman;serif" w:hAnsi="Times New Roman;serif"/>
          <w:b/>
          <w:color w:val="000000"/>
          <w:sz w:val="20"/>
        </w:rPr>
        <w:t>OR</w:t>
      </w: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1-33913 </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36"/>
        </w:rPr>
        <w:t>QUANEX BUILDING PRODUCTS CORPORATION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w:t>
      </w: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2"/>
        <w:gridCol w:w="432"/>
        <w:gridCol w:w="620"/>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26-1561397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945 Bunker Hill Road, Suite 900, Houston, Texas 77024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(713) 961-4600 </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1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84"/>
        <w:gridCol w:w="484"/>
        <w:gridCol w:w="48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6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940"/>
        <w:gridCol w:w="685"/>
        <w:gridCol w:w="625"/>
        <w:gridCol w:w="147"/>
        <w:gridCol w:w="147"/>
        <w:gridCol w:w="147"/>
        <w:gridCol w:w="1079"/>
        <w:gridCol w:w="1079"/>
        <w:gridCol w:w="1083"/>
        <w:gridCol w:w="147"/>
        <w:gridCol w:w="147"/>
        <w:gridCol w:w="147"/>
        <w:gridCol w:w="1040"/>
        <w:gridCol w:w="1040"/>
        <w:gridCol w:w="1046"/>
        <w:gridCol w:w="109"/>
        <w:gridCol w:w="109"/>
        <w:gridCol w:w="109"/>
        <w:gridCol w:w="109"/>
        <w:gridCol w:w="109"/>
        <w:gridCol w:w="161"/>
      </w:tblGrid>
      <w:tr>
        <w:trPr/>
        <w:tc>
          <w:tcPr>
            <w:tcW w:w="9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  </w:t>
            </w:r>
            <w:r>
              <w:rPr>
                <w:rFonts w:ascii="Times New Roman;serif" w:hAnsi="Times New Roman;serif"/>
                <w:b w:val="false"/>
                <w:color w:val="000000"/>
                <w:sz w:val="20"/>
              </w:rPr>
              <w:t>(Do not check if a smaller reporting company)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949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Securities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The number of shares outstanding of the registrant's Common S</w:t>
      </w:r>
      <w:r>
        <w:rPr>
          <w:rFonts w:ascii="Times New Roman;serif" w:hAnsi="Times New Roman;serif"/>
          <w:b w:val="false"/>
          <w:color w:val="000000"/>
          <w:sz w:val="20"/>
          <w:shd w:fill="FFFFFF" w:val="clear"/>
        </w:rPr>
        <w:t>tock as of August 28, 2026 w</w:t>
      </w:r>
      <w:r>
        <w:rPr>
          <w:rFonts w:ascii="Times New Roman;serif" w:hAnsi="Times New Roman;serif"/>
          <w:b w:val="false"/>
          <w:color w:val="000000"/>
          <w:sz w:val="20"/>
        </w:rPr>
        <w:t>as 45,826,208.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44"/>
        <w:gridCol w:w="250"/>
        <w:gridCol w:w="255"/>
        <w:gridCol w:w="2992"/>
        <w:gridCol w:w="2992"/>
        <w:gridCol w:w="2997"/>
        <w:gridCol w:w="109"/>
        <w:gridCol w:w="109"/>
        <w:gridCol w:w="157"/>
      </w:tblGrid>
      <w:tr>
        <w:trPr/>
        <w:tc>
          <w:tcPr>
            <w:tcW w:w="34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0">
              <w:r>
                <w:rPr>
                  <w:rStyle w:val="InternetLink"/>
                  <w:rFonts w:ascii="Times New Roman;serif" w:hAnsi="Times New Roman;serif"/>
                  <w:b w:val="false"/>
                  <w:strike w:val="false"/>
                  <w:dstrike w:val="false"/>
                  <w:color w:val="0000FF"/>
                  <w:sz w:val="20"/>
                  <w:u w:val="none"/>
                  <w:effect w:val="none"/>
                </w:rPr>
                <w:t>FINANCIAL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0">
              <w:r>
                <w:rPr>
                  <w:rStyle w:val="InternetLink"/>
                  <w:rFonts w:ascii="Times New Roman;serif" w:hAnsi="Times New Roman;serif"/>
                  <w:b w:val="false"/>
                  <w:color w:val="0000FF"/>
                  <w:sz w:val="20"/>
                  <w:u w:val="single"/>
                </w:rPr>
                <w:t>1</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 1:</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3">
              <w:r>
                <w:rPr>
                  <w:rStyle w:val="InternetLink"/>
                  <w:rFonts w:ascii="Times New Roman;serif" w:hAnsi="Times New Roman;serif"/>
                  <w:b/>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3">
              <w:r>
                <w:rPr>
                  <w:rStyle w:val="InternetLink"/>
                  <w:rFonts w:ascii="Times New Roman;serif" w:hAnsi="Times New Roman;serif"/>
                  <w:b w:val="false"/>
                  <w:color w:val="0000FF"/>
                  <w:sz w:val="20"/>
                  <w:u w:val="single"/>
                </w:rPr>
                <w:t>1</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6">
              <w:r>
                <w:rPr>
                  <w:rStyle w:val="InternetLink"/>
                  <w:rFonts w:ascii="Times New Roman;serif" w:hAnsi="Times New Roman;serif"/>
                  <w:b w:val="false"/>
                  <w:color w:val="000080"/>
                  <w:sz w:val="20"/>
                  <w:u w:val="single"/>
                </w:rPr>
                <w:t>Condensed Consolidated Balance Sheets –</w:t>
              </w:r>
            </w:hyperlink>
            <w:r>
              <w:rPr>
                <w:rFonts w:ascii="Times New Roman;serif" w:hAnsi="Times New Roman;serif"/>
                <w:b w:val="false"/>
                <w:color w:val="0E32E1"/>
                <w:sz w:val="20"/>
                <w:u w:val="single"/>
              </w:rPr>
              <w:t xml:space="preserve"> July 31, 2026 and October 31,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6">
              <w:r>
                <w:rPr>
                  <w:rStyle w:val="InternetLink"/>
                  <w:rFonts w:ascii="Times New Roman;serif" w:hAnsi="Times New Roman;serif"/>
                  <w:b w:val="false"/>
                  <w:color w:val="0E32E1"/>
                  <w:sz w:val="20"/>
                  <w:u w:val="single"/>
                </w:rPr>
                <w:t>1</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9">
              <w:r>
                <w:rPr>
                  <w:rStyle w:val="InternetLink"/>
                  <w:rFonts w:ascii="Times New Roman;serif" w:hAnsi="Times New Roman;serif"/>
                  <w:b w:val="false"/>
                  <w:color w:val="000080"/>
                  <w:sz w:val="20"/>
                  <w:u w:val="single"/>
                </w:rPr>
                <w:t xml:space="preserve">Condensed Consolidated Statements of Income (Loss) – Three and </w:t>
              </w:r>
            </w:hyperlink>
            <w:hyperlink w:anchor="idf6b3d21203444648a4a7b1932c8b5be_19">
              <w:r>
                <w:rPr>
                  <w:rStyle w:val="InternetLink"/>
                  <w:rFonts w:ascii="Times New Roman;serif" w:hAnsi="Times New Roman;serif"/>
                  <w:b w:val="false"/>
                  <w:color w:val="000080"/>
                  <w:sz w:val="20"/>
                  <w:u w:val="single"/>
                </w:rPr>
                <w:t>Nine</w:t>
              </w:r>
            </w:hyperlink>
            <w:hyperlink w:anchor="idf6b3d21203444648a4a7b1932c8b5be_19">
              <w:r>
                <w:rPr>
                  <w:rStyle w:val="InternetLink"/>
                  <w:rFonts w:ascii="Times New Roman;serif" w:hAnsi="Times New Roman;serif"/>
                  <w:b w:val="false"/>
                  <w:color w:val="000080"/>
                  <w:sz w:val="20"/>
                  <w:u w:val="single"/>
                </w:rPr>
                <w:t xml:space="preserve"> Months Ended </w:t>
              </w:r>
            </w:hyperlink>
            <w:hyperlink w:anchor="idf6b3d21203444648a4a7b1932c8b5be_19">
              <w:r>
                <w:rPr>
                  <w:rStyle w:val="InternetLink"/>
                  <w:rFonts w:ascii="Times New Roman;serif" w:hAnsi="Times New Roman;serif"/>
                  <w:b w:val="false"/>
                  <w:color w:val="000080"/>
                  <w:sz w:val="20"/>
                  <w:u w:val="single"/>
                </w:rPr>
                <w:t>July 31</w:t>
              </w:r>
            </w:hyperlink>
            <w:hyperlink w:anchor="idf6b3d21203444648a4a7b1932c8b5be_19">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9">
              <w:r>
                <w:rPr>
                  <w:rStyle w:val="InternetLink"/>
                  <w:rFonts w:ascii="Times New Roman;serif" w:hAnsi="Times New Roman;serif"/>
                  <w:b w:val="false"/>
                  <w:color w:val="0000FF"/>
                  <w:sz w:val="20"/>
                  <w:u w:val="single"/>
                </w:rPr>
                <w:t>2</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22">
              <w:r>
                <w:rPr>
                  <w:rStyle w:val="InternetLink"/>
                  <w:rFonts w:ascii="Times New Roman;serif" w:hAnsi="Times New Roman;serif"/>
                  <w:b w:val="false"/>
                  <w:color w:val="000080"/>
                  <w:sz w:val="20"/>
                  <w:u w:val="single"/>
                </w:rPr>
                <w:t xml:space="preserve">Condensed Consolidated Statements of Comprehensive </w:t>
              </w:r>
            </w:hyperlink>
            <w:hyperlink w:anchor="idf6b3d21203444648a4a7b1932c8b5be_22">
              <w:r>
                <w:rPr>
                  <w:rStyle w:val="InternetLink"/>
                  <w:rFonts w:ascii="Times New Roman;serif" w:hAnsi="Times New Roman;serif"/>
                  <w:b w:val="false"/>
                  <w:color w:val="000080"/>
                  <w:sz w:val="20"/>
                  <w:u w:val="single"/>
                </w:rPr>
                <w:t>Income</w:t>
              </w:r>
            </w:hyperlink>
            <w:hyperlink w:anchor="idf6b3d21203444648a4a7b1932c8b5be_22">
              <w:r>
                <w:rPr>
                  <w:rStyle w:val="InternetLink"/>
                  <w:rFonts w:ascii="Times New Roman;serif" w:hAnsi="Times New Roman;serif"/>
                  <w:b w:val="false"/>
                  <w:color w:val="000080"/>
                  <w:sz w:val="20"/>
                  <w:u w:val="single"/>
                </w:rPr>
                <w:t xml:space="preserve"> (Loss)</w:t>
              </w:r>
            </w:hyperlink>
            <w:hyperlink w:anchor="idf6b3d21203444648a4a7b1932c8b5be_22">
              <w:r>
                <w:rPr>
                  <w:rStyle w:val="InternetLink"/>
                  <w:rFonts w:ascii="Times New Roman;serif" w:hAnsi="Times New Roman;serif"/>
                  <w:b w:val="false"/>
                  <w:color w:val="000080"/>
                  <w:sz w:val="20"/>
                  <w:u w:val="single"/>
                </w:rPr>
                <w:t xml:space="preserve"> </w:t>
              </w:r>
            </w:hyperlink>
            <w:hyperlink w:anchor="idf6b3d21203444648a4a7b1932c8b5be_16">
              <w:r>
                <w:rPr>
                  <w:rStyle w:val="InternetLink"/>
                  <w:color w:val="0E32E1"/>
                  <w:u w:val="single"/>
                </w:rPr>
                <w:t>–</w:t>
              </w:r>
            </w:hyperlink>
            <w:hyperlink w:anchor="idf6b3d21203444648a4a7b1932c8b5be_22">
              <w:r>
                <w:rPr>
                  <w:rStyle w:val="InternetLink"/>
                  <w:color w:val="0000FF"/>
                  <w:u w:val="single"/>
                </w:rPr>
                <w:t xml:space="preserve"> </w:t>
              </w:r>
            </w:hyperlink>
            <w:hyperlink w:anchor="idf6b3d21203444648a4a7b1932c8b5be_22">
              <w:r>
                <w:rPr>
                  <w:rStyle w:val="InternetLink"/>
                  <w:rFonts w:ascii="Times New Roman;serif" w:hAnsi="Times New Roman;serif"/>
                  <w:b w:val="false"/>
                  <w:color w:val="0000FF"/>
                  <w:sz w:val="20"/>
                  <w:u w:val="single"/>
                </w:rPr>
                <w:t xml:space="preserve">Three and </w:t>
              </w:r>
            </w:hyperlink>
            <w:hyperlink w:anchor="idf6b3d21203444648a4a7b1932c8b5be_22">
              <w:r>
                <w:rPr>
                  <w:rStyle w:val="InternetLink"/>
                  <w:rFonts w:ascii="Times New Roman;serif" w:hAnsi="Times New Roman;serif"/>
                  <w:b w:val="false"/>
                  <w:color w:val="000080"/>
                  <w:sz w:val="20"/>
                  <w:u w:val="single"/>
                </w:rPr>
                <w:t>Nine</w:t>
              </w:r>
            </w:hyperlink>
            <w:hyperlink w:anchor="idf6b3d21203444648a4a7b1932c8b5be_22">
              <w:r>
                <w:rPr>
                  <w:rStyle w:val="InternetLink"/>
                  <w:rFonts w:ascii="Times New Roman;serif" w:hAnsi="Times New Roman;serif"/>
                  <w:b w:val="false"/>
                  <w:color w:val="000080"/>
                  <w:sz w:val="20"/>
                  <w:u w:val="single"/>
                </w:rPr>
                <w:t xml:space="preserve"> Months Ended </w:t>
              </w:r>
            </w:hyperlink>
            <w:hyperlink w:anchor="idf6b3d21203444648a4a7b1932c8b5be_22">
              <w:r>
                <w:rPr>
                  <w:rStyle w:val="InternetLink"/>
                  <w:rFonts w:ascii="Times New Roman;serif" w:hAnsi="Times New Roman;serif"/>
                  <w:b w:val="false"/>
                  <w:color w:val="000080"/>
                  <w:sz w:val="20"/>
                  <w:u w:val="single"/>
                </w:rPr>
                <w:t>July 31</w:t>
              </w:r>
            </w:hyperlink>
            <w:hyperlink w:anchor="idf6b3d21203444648a4a7b1932c8b5be_22">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22">
              <w:r>
                <w:rPr>
                  <w:rStyle w:val="InternetLink"/>
                  <w:rFonts w:ascii="Times New Roman;serif" w:hAnsi="Times New Roman;serif"/>
                  <w:b w:val="false"/>
                  <w:color w:val="0000FF"/>
                  <w:sz w:val="20"/>
                  <w:u w:val="single"/>
                </w:rPr>
                <w:t>3</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25">
              <w:r>
                <w:rPr>
                  <w:rStyle w:val="InternetLink"/>
                  <w:rFonts w:ascii="Times New Roman;serif" w:hAnsi="Times New Roman;serif"/>
                  <w:b w:val="false"/>
                  <w:color w:val="000080"/>
                  <w:sz w:val="20"/>
                  <w:u w:val="single"/>
                </w:rPr>
                <w:t xml:space="preserve">Condensed Consolidated Statements of Cash Flows – </w:t>
              </w:r>
            </w:hyperlink>
            <w:hyperlink w:anchor="idf6b3d21203444648a4a7b1932c8b5be_25">
              <w:r>
                <w:rPr>
                  <w:rStyle w:val="InternetLink"/>
                  <w:rFonts w:ascii="Times New Roman;serif" w:hAnsi="Times New Roman;serif"/>
                  <w:b w:val="false"/>
                  <w:color w:val="000080"/>
                  <w:sz w:val="20"/>
                  <w:u w:val="single"/>
                </w:rPr>
                <w:t>Nine</w:t>
              </w:r>
            </w:hyperlink>
            <w:hyperlink w:anchor="idf6b3d21203444648a4a7b1932c8b5be_25">
              <w:r>
                <w:rPr>
                  <w:rStyle w:val="InternetLink"/>
                  <w:rFonts w:ascii="Times New Roman;serif" w:hAnsi="Times New Roman;serif"/>
                  <w:b w:val="false"/>
                  <w:color w:val="000080"/>
                  <w:sz w:val="20"/>
                  <w:u w:val="single"/>
                </w:rPr>
                <w:t xml:space="preserve"> </w:t>
              </w:r>
            </w:hyperlink>
            <w:hyperlink w:anchor="idf6b3d21203444648a4a7b1932c8b5be_25">
              <w:r>
                <w:rPr>
                  <w:rStyle w:val="InternetLink"/>
                  <w:rFonts w:ascii="Times New Roman;serif" w:hAnsi="Times New Roman;serif"/>
                  <w:b w:val="false"/>
                  <w:color w:val="000080"/>
                  <w:sz w:val="20"/>
                  <w:u w:val="single"/>
                </w:rPr>
                <w:t xml:space="preserve">Months Ended </w:t>
              </w:r>
            </w:hyperlink>
            <w:hyperlink w:anchor="idf6b3d21203444648a4a7b1932c8b5be_25">
              <w:r>
                <w:rPr>
                  <w:rStyle w:val="InternetLink"/>
                  <w:rFonts w:ascii="Times New Roman;serif" w:hAnsi="Times New Roman;serif"/>
                  <w:b w:val="false"/>
                  <w:color w:val="000080"/>
                  <w:sz w:val="20"/>
                  <w:u w:val="single"/>
                </w:rPr>
                <w:t>July 31</w:t>
              </w:r>
            </w:hyperlink>
            <w:hyperlink w:anchor="idf6b3d21203444648a4a7b1932c8b5be_25">
              <w:r>
                <w:rPr>
                  <w:rStyle w:val="InternetLink"/>
                  <w:rFonts w:ascii="Times New Roman;serif" w:hAnsi="Times New Roman;serif"/>
                  <w:b w:val="false"/>
                  <w:color w:val="000080"/>
                  <w:sz w:val="20"/>
                  <w:u w:val="single"/>
                </w:rPr>
                <w:t>,</w:t>
              </w:r>
            </w:hyperlink>
            <w:r>
              <w:rPr>
                <w:rFonts w:ascii="Times New Roman;serif" w:hAnsi="Times New Roman;serif"/>
                <w:b w:val="false"/>
                <w:color w:val="0000FF"/>
                <w:sz w:val="20"/>
                <w:u w:val="single"/>
              </w:rPr>
              <w:t xml:space="preserve"> 2026 and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25">
              <w:r>
                <w:rPr>
                  <w:rStyle w:val="InternetLink"/>
                  <w:rFonts w:ascii="Times New Roman;serif" w:hAnsi="Times New Roman;serif"/>
                  <w:b w:val="false"/>
                  <w:color w:val="0000FF"/>
                  <w:sz w:val="20"/>
                  <w:u w:val="single"/>
                </w:rPr>
                <w:t>4</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28">
              <w:r>
                <w:rPr>
                  <w:rStyle w:val="InternetLink"/>
                  <w:rFonts w:ascii="Times New Roman;serif" w:hAnsi="Times New Roman;serif"/>
                  <w:b w:val="false"/>
                  <w:color w:val="000080"/>
                  <w:sz w:val="20"/>
                  <w:u w:val="single"/>
                </w:rPr>
                <w:t xml:space="preserve">Condensed Consolidated Statement of Stockholders’ Equity – </w:t>
              </w:r>
            </w:hyperlink>
            <w:r>
              <w:rPr>
                <w:rFonts w:ascii="Times New Roman;serif" w:hAnsi="Times New Roman;serif"/>
                <w:b w:val="false"/>
                <w:color w:val="0000FF"/>
                <w:sz w:val="20"/>
                <w:u w:val="single"/>
              </w:rPr>
              <w:t>Three and Nine Months Ended July 31, 2026 and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28">
              <w:r>
                <w:rPr>
                  <w:rStyle w:val="InternetLink"/>
                  <w:rFonts w:ascii="Times New Roman;serif" w:hAnsi="Times New Roman;serif"/>
                  <w:b w:val="false"/>
                  <w:color w:val="0000FF"/>
                  <w:sz w:val="20"/>
                  <w:u w:val="single"/>
                </w:rPr>
                <w:t>5</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34">
              <w:r>
                <w:rPr>
                  <w:rStyle w:val="InternetLink"/>
                  <w:rFonts w:ascii="Times New Roman;serif" w:hAnsi="Times New Roman;serif"/>
                  <w:b w:val="false"/>
                  <w:color w:val="0000FF"/>
                  <w:sz w:val="20"/>
                  <w:u w:val="single"/>
                </w:rPr>
                <w:t>Notes to Unaudited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34">
              <w:r>
                <w:rPr>
                  <w:rStyle w:val="InternetLink"/>
                  <w:rFonts w:ascii="Times New Roman;serif" w:hAnsi="Times New Roman;serif"/>
                  <w:b w:val="false"/>
                  <w:color w:val="0000FF"/>
                  <w:sz w:val="20"/>
                  <w:u w:val="single"/>
                </w:rPr>
                <w:t>7</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 2:</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09">
              <w:r>
                <w:rPr>
                  <w:rStyle w:val="InternetLink"/>
                  <w:rFonts w:ascii="Times New Roman;serif" w:hAnsi="Times New Roman;serif"/>
                  <w:b/>
                  <w:strike w:val="false"/>
                  <w:dstrike w:val="false"/>
                  <w:color w:val="0000FF"/>
                  <w:sz w:val="20"/>
                  <w:u w:val="none"/>
                  <w:effect w:val="non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09">
              <w:r>
                <w:rPr>
                  <w:rStyle w:val="InternetLink"/>
                  <w:rFonts w:ascii="Times New Roman;serif" w:hAnsi="Times New Roman;serif"/>
                  <w:b w:val="false"/>
                  <w:color w:val="0000FF"/>
                  <w:sz w:val="20"/>
                  <w:u w:val="single"/>
                </w:rPr>
                <w:t>28</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 3:</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27">
              <w:r>
                <w:rPr>
                  <w:rStyle w:val="InternetLink"/>
                  <w:rFonts w:ascii="Times New Roman;serif" w:hAnsi="Times New Roman;serif"/>
                  <w:b/>
                  <w:strike w:val="false"/>
                  <w:dstrike w:val="false"/>
                  <w:color w:val="0000FF"/>
                  <w:sz w:val="20"/>
                  <w:u w:val="none"/>
                  <w:effect w:val="non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27">
              <w:r>
                <w:rPr>
                  <w:rStyle w:val="InternetLink"/>
                  <w:rFonts w:ascii="Times New Roman;serif" w:hAnsi="Times New Roman;serif"/>
                  <w:b w:val="false"/>
                  <w:color w:val="0000FF"/>
                  <w:sz w:val="20"/>
                  <w:u w:val="single"/>
                </w:rPr>
                <w:t>37</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 4:</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30">
              <w:r>
                <w:rPr>
                  <w:rStyle w:val="InternetLink"/>
                  <w:rFonts w:ascii="Times New Roman;serif" w:hAnsi="Times New Roman;serif"/>
                  <w:b/>
                  <w:strike w:val="false"/>
                  <w:dstrike w:val="false"/>
                  <w:color w:val="0000FF"/>
                  <w:sz w:val="20"/>
                  <w:u w:val="none"/>
                  <w:effect w:val="non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30">
              <w:r>
                <w:rPr>
                  <w:rStyle w:val="InternetLink"/>
                  <w:rFonts w:ascii="Times New Roman;serif" w:hAnsi="Times New Roman;serif"/>
                  <w:b w:val="false"/>
                  <w:color w:val="0000FF"/>
                  <w:sz w:val="20"/>
                  <w:u w:val="single"/>
                </w:rPr>
                <w:t>38</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33">
              <w:r>
                <w:rPr>
                  <w:rStyle w:val="InternetLink"/>
                  <w:rFonts w:ascii="Times New Roman;serif" w:hAnsi="Times New Roman;serif"/>
                  <w:b w:val="false"/>
                  <w:strike w:val="false"/>
                  <w:dstrike w:val="false"/>
                  <w:color w:val="0000FF"/>
                  <w:sz w:val="20"/>
                  <w:u w:val="none"/>
                  <w:effect w:val="non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33">
              <w:r>
                <w:rPr>
                  <w:rStyle w:val="InternetLink"/>
                  <w:rFonts w:ascii="Times New Roman;serif" w:hAnsi="Times New Roman;serif"/>
                  <w:b w:val="false"/>
                  <w:color w:val="0000FF"/>
                  <w:sz w:val="20"/>
                  <w:u w:val="single"/>
                </w:rPr>
                <w:t>39</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 1A:</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36">
              <w:r>
                <w:rPr>
                  <w:rStyle w:val="InternetLink"/>
                  <w:rFonts w:ascii="Times New Roman;serif" w:hAnsi="Times New Roman;serif"/>
                  <w:b/>
                  <w:strike w:val="false"/>
                  <w:dstrike w:val="false"/>
                  <w:color w:val="0000FF"/>
                  <w:sz w:val="20"/>
                  <w:u w:val="none"/>
                  <w:effect w:val="non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36">
              <w:r>
                <w:rPr>
                  <w:rStyle w:val="InternetLink"/>
                  <w:rFonts w:ascii="Times New Roman;serif" w:hAnsi="Times New Roman;serif"/>
                  <w:b w:val="false"/>
                  <w:color w:val="0000FF"/>
                  <w:sz w:val="20"/>
                  <w:u w:val="single"/>
                </w:rPr>
                <w:t>39</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 2:</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39">
              <w:r>
                <w:rPr>
                  <w:rStyle w:val="InternetLink"/>
                  <w:rFonts w:ascii="Times New Roman;serif" w:hAnsi="Times New Roman;serif"/>
                  <w:b/>
                  <w:strike w:val="false"/>
                  <w:dstrike w:val="false"/>
                  <w:color w:val="0000FF"/>
                  <w:sz w:val="20"/>
                  <w:u w:val="none"/>
                  <w:effect w:val="non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39">
              <w:r>
                <w:rPr>
                  <w:rStyle w:val="InternetLink"/>
                  <w:rFonts w:ascii="Times New Roman;serif" w:hAnsi="Times New Roman;serif"/>
                  <w:b w:val="false"/>
                  <w:color w:val="0000FF"/>
                  <w:sz w:val="20"/>
                  <w:u w:val="single"/>
                </w:rPr>
                <w:t>39</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 5:</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42">
              <w:r>
                <w:rPr>
                  <w:rStyle w:val="InternetLink"/>
                  <w:rFonts w:ascii="Times New Roman;serif" w:hAnsi="Times New Roman;serif"/>
                  <w:b/>
                  <w:strike w:val="false"/>
                  <w:dstrike w:val="false"/>
                  <w:color w:val="0000FF"/>
                  <w:sz w:val="20"/>
                  <w:u w:val="none"/>
                  <w:effect w:val="non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42">
              <w:r>
                <w:rPr>
                  <w:rStyle w:val="InternetLink"/>
                  <w:rFonts w:ascii="Times New Roman;serif" w:hAnsi="Times New Roman;serif"/>
                  <w:b w:val="false"/>
                  <w:color w:val="0000FF"/>
                  <w:sz w:val="20"/>
                  <w:u w:val="single"/>
                </w:rPr>
                <w:t>40</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Item 6:</w:t>
            </w:r>
          </w:p>
        </w:tc>
        <w:tc>
          <w:tcPr>
            <w:tcW w:w="8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b3d21203444648a4a7b1932c8b5be_145">
              <w:r>
                <w:rPr>
                  <w:rStyle w:val="InternetLink"/>
                  <w:rFonts w:ascii="Times New Roman;serif" w:hAnsi="Times New Roman;serif"/>
                  <w:b/>
                  <w:strike w:val="false"/>
                  <w:dstrike w:val="false"/>
                  <w:color w:val="0000FF"/>
                  <w:sz w:val="20"/>
                  <w:u w:val="none"/>
                  <w:effect w:val="non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6b3d21203444648a4a7b1932c8b5be_145">
              <w:r>
                <w:rPr>
                  <w:rStyle w:val="InternetLink"/>
                  <w:rFonts w:ascii="Times New Roman;serif" w:hAnsi="Times New Roman;serif"/>
                  <w:b w:val="false"/>
                  <w:color w:val="0000FF"/>
                  <w:sz w:val="20"/>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920"/>
        <w:gridCol w:w="2172"/>
        <w:gridCol w:w="2148"/>
        <w:gridCol w:w="211"/>
        <w:gridCol w:w="976"/>
        <w:gridCol w:w="109"/>
        <w:gridCol w:w="109"/>
        <w:gridCol w:w="109"/>
        <w:gridCol w:w="109"/>
        <w:gridCol w:w="211"/>
        <w:gridCol w:w="976"/>
        <w:gridCol w:w="155"/>
      </w:tblGrid>
      <w:tr>
        <w:trPr/>
        <w:tc>
          <w:tcPr>
            <w:tcW w:w="2920"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w:t>
              <w:br/>
              <w:t>2025</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w:t>
              <w:br/>
              <w:t>amounts)</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$2,618 and $2,039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$455,986 and $414,809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1,968,233 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shares authorized 1,000,000; issued and outstanding - none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shares authorized 125,000,000; issued 51,159,137 and 51,211,469, respectively; outstanding 45,823,208 and 45,674,726,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Treasury stock at cost, 5,335,929 and 5,536,743 shares,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1,968,233 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86"/>
        <w:gridCol w:w="1308"/>
        <w:gridCol w:w="1332"/>
        <w:gridCol w:w="211"/>
        <w:gridCol w:w="826"/>
        <w:gridCol w:w="109"/>
        <w:gridCol w:w="109"/>
        <w:gridCol w:w="109"/>
        <w:gridCol w:w="109"/>
        <w:gridCol w:w="211"/>
        <w:gridCol w:w="893"/>
        <w:gridCol w:w="109"/>
        <w:gridCol w:w="109"/>
        <w:gridCol w:w="109"/>
        <w:gridCol w:w="109"/>
        <w:gridCol w:w="211"/>
        <w:gridCol w:w="976"/>
        <w:gridCol w:w="109"/>
        <w:gridCol w:w="109"/>
        <w:gridCol w:w="109"/>
        <w:gridCol w:w="109"/>
        <w:gridCol w:w="211"/>
        <w:gridCol w:w="976"/>
        <w:gridCol w:w="156"/>
      </w:tblGrid>
      <w:tr>
        <w:trPr/>
        <w:tc>
          <w:tcPr>
            <w:tcW w:w="15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(236,892)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05" w:type="dxa"/>
        <w:jc w:val="center"/>
        <w:tblInd w:w="0" w:type="dxa"/>
        <w:tblLayout w:type="fixed"/>
        <w:tblCellMar>
          <w:top w:w="28" w:type="dxa"/>
          <w:left w:w="28" w:type="dxa"/>
          <w:bottom w:w="28" w:type="dxa"/>
          <w:right w:w="28" w:type="dxa"/>
        </w:tblCellMar>
      </w:tblPr>
      <w:tblGrid>
        <w:gridCol w:w="1505"/>
        <w:gridCol w:w="1319"/>
        <w:gridCol w:w="1331"/>
        <w:gridCol w:w="211"/>
        <w:gridCol w:w="721"/>
        <w:gridCol w:w="109"/>
        <w:gridCol w:w="109"/>
        <w:gridCol w:w="109"/>
        <w:gridCol w:w="109"/>
        <w:gridCol w:w="211"/>
        <w:gridCol w:w="901"/>
        <w:gridCol w:w="109"/>
        <w:gridCol w:w="109"/>
        <w:gridCol w:w="109"/>
        <w:gridCol w:w="109"/>
        <w:gridCol w:w="211"/>
        <w:gridCol w:w="721"/>
        <w:gridCol w:w="109"/>
        <w:gridCol w:w="109"/>
        <w:gridCol w:w="109"/>
        <w:gridCol w:w="109"/>
        <w:gridCol w:w="211"/>
        <w:gridCol w:w="901"/>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comprehensive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hedge,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(254,450)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189" w:type="dxa"/>
        <w:jc w:val="center"/>
        <w:tblInd w:w="0" w:type="dxa"/>
        <w:tblLayout w:type="fixed"/>
        <w:tblCellMar>
          <w:top w:w="28" w:type="dxa"/>
          <w:left w:w="28" w:type="dxa"/>
          <w:bottom w:w="28" w:type="dxa"/>
          <w:right w:w="28" w:type="dxa"/>
        </w:tblCellMar>
      </w:tblPr>
      <w:tblGrid>
        <w:gridCol w:w="2375"/>
        <w:gridCol w:w="2083"/>
        <w:gridCol w:w="2097"/>
        <w:gridCol w:w="211"/>
        <w:gridCol w:w="721"/>
        <w:gridCol w:w="109"/>
        <w:gridCol w:w="109"/>
        <w:gridCol w:w="109"/>
        <w:gridCol w:w="109"/>
        <w:gridCol w:w="211"/>
        <w:gridCol w:w="901"/>
        <w:gridCol w:w="154"/>
      </w:tblGrid>
      <w:tr>
        <w:trPr/>
        <w:tc>
          <w:tcPr>
            <w:tcW w:w="237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cash used for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capital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credit facilities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credit facility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other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30"/>
        <w:gridCol w:w="448"/>
        <w:gridCol w:w="451"/>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57"/>
        <w:gridCol w:w="902"/>
        <w:gridCol w:w="135"/>
        <w:gridCol w:w="109"/>
        <w:gridCol w:w="109"/>
        <w:gridCol w:w="109"/>
        <w:gridCol w:w="211"/>
        <w:gridCol w:w="854"/>
        <w:gridCol w:w="109"/>
        <w:gridCol w:w="109"/>
        <w:gridCol w:w="109"/>
        <w:gridCol w:w="109"/>
        <w:gridCol w:w="211"/>
        <w:gridCol w:w="826"/>
        <w:gridCol w:w="158"/>
      </w:tblGrid>
      <w:tr>
        <w:trPr/>
        <w:tc>
          <w:tcPr>
            <w:tcW w:w="93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Nine Months Ended July 31, 2026</w:t>
            </w:r>
          </w:p>
        </w:tc>
        <w:tc>
          <w:tcPr>
            <w:tcW w:w="7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no per share amounts shown except in verbiage)</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October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($0.08 per share)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activity:</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granted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($0.08 per share)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activity:</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granted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 adjustment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($0.08 per share)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activity:</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31,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00"/>
        <w:gridCol w:w="398"/>
        <w:gridCol w:w="402"/>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54"/>
        <w:gridCol w:w="890"/>
        <w:gridCol w:w="133"/>
        <w:gridCol w:w="109"/>
        <w:gridCol w:w="109"/>
        <w:gridCol w:w="109"/>
        <w:gridCol w:w="211"/>
        <w:gridCol w:w="851"/>
        <w:gridCol w:w="109"/>
        <w:gridCol w:w="109"/>
        <w:gridCol w:w="109"/>
        <w:gridCol w:w="109"/>
        <w:gridCol w:w="211"/>
        <w:gridCol w:w="976"/>
        <w:gridCol w:w="157"/>
      </w:tblGrid>
      <w:tr>
        <w:trPr/>
        <w:tc>
          <w:tcPr>
            <w:tcW w:w="90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Nine Months Ended July 31, 2025</w:t>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no per share amounts shown except in verbiage)</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October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($0.08 per share)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activity:</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stock-based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granted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restricted stock units vested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972,116 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($0.08 per share)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activity:</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granted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1,001,663 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dividends ($0.08 per share)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activity:</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granted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717,391 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Nature of Operations, Basis of Presentation and Significant Accounting Policies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Quanex Building Products Corporation is a leading manufacturer and component supplier to original equipment manufacturers (OEMs) in the building products industry, including window, door, solar, refrigeration, custom mixing, building access, and cabinetry markets. We have organized our business into three reportable business segments: (1) Hardware Solutions, which manufactures window and door hardware and screens; (2) Extruded Solutions, which manufactures insulating glass spacers, vinyl window and door profiles, seals, and weatherstripping; and (3) Custom Solutions, which manufactures wood, mixing, and building access solutions. For additional discussion of our reportable business segments, see Note 13, “Segment Information.” We leverage efficient production and distribution processes and engineering expertise to provide our customers with specialized products for their specific hardware, extrusion, and custom applications. We believe these capabilities enhance our ability to provide value to our customers. We serve a primary customer base in North America and the United Kingdom (U.K.), and also serve customers in international markets through our operating locations in the U.K., Germany, Mexico, Canada, and Italy, as well as through sales and marketing efforts in other countries.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2024, we completed the acquisition of Tyman plc (“Tyman”), a company incorporated in England and Wales (“Tyman Acquisition”). Tyman’s results are allocated to our Hardware Solutions, Extruded Solutions, and Custom Solutions segments in accordance with the nature of operations. For additional discussion of our reportable business segments, see Note 13, “Segment Information.”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Unless the context indicates otherwise, references to “Quanex,” the “Company,” “we,” “us,” and “our” refer to the consolidated business operations of Quanex Building Products Corporation and its subsidiaries.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interim unaudited condensed consolidated financial statements include the accounts of Quanex Building Products Corporation. All intercompany accounts and transactions have been eliminated in consolidation. These unaudited financial statements have been prepared by us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2025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2025.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Revenue from Contracts with Customers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We recognize revenue that reflects the consideration we expect to receive for product sales upon transfer to customers. Revenue from product sales is recognized at a point in time when the product is transferred to the customer, in accordance with the shipping terms, which is generally upon shipment.</w:t>
      </w:r>
      <w:r>
        <w:rPr>
          <w:color w:val="000000"/>
        </w:rPr>
        <w:t xml:space="preserve"> </w:t>
      </w:r>
      <w:r>
        <w:rPr>
          <w:rFonts w:ascii="Times New Roman;serif" w:hAnsi="Times New Roman;serif"/>
          <w:b w:val="false"/>
          <w:color w:val="000000"/>
          <w:sz w:val="20"/>
        </w:rPr>
        <w:t>We estimate a provision for sales returns and warranty allowances to account for product returns related to general returns and product nonconformance.</w:t>
      </w:r>
      <w:r>
        <w:rPr>
          <w:color w:val="000000"/>
        </w:rPr>
        <w:t xml:space="preserve"> </w:t>
      </w:r>
      <w:r>
        <w:rPr>
          <w:rFonts w:ascii="Times New Roman;serif" w:hAnsi="Times New Roman;serif"/>
          <w:b w:val="false"/>
          <w:color w:val="000000"/>
          <w:sz w:val="20"/>
        </w:rPr>
        <w:t>We account for a contract when a customer provides us with a firm purchase order that identifies the products to be provided, the payment terms for those products, and when collectability of the consideration due is reasonably assured.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generally expense incremental costs of obtaining a contract when incurred because the amortization period would be less than one year. Additionally, we do not disclose the value of unsatisfied performance obligations as our contract terms are less than one year.</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Pricing and sales incentives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Pricing is established at or prior to the time of sale with our customers and we record sales at the agreed-upon net selling price, reflective of current and prospective discounts.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Shipping and handling costs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account for shipping and handling services as fulfillment services. Shipping and handling costs incurred by us for the delivery of goods to customers are considered a cost to fulfill the contract and are included in cost of sales in the accompanying condensed consolidated statements of (loss) income.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which is typically not significant, is recorded when we have remaining unsatisfied performance obligations for which we have received consideration.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manufacture and distribute a diverse portfolio of products for OEMs operating in hardware, extrusion, and custom markets worldwide. Our broad geographic reach exposes us to diverse economic conditions, which can impact demand, currency fluctuations, and supply chain dynamics.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product sales for the three and nine months ended July 31, 2026 and 2025, into groupings by segment which we believe depicts how the nature, amount, timing and uncertainty of our revenues and cash flows are affected by economic factors. For further details regarding our results by segment, refer to Note 13, “Segment Information.”</w:t>
      </w:r>
    </w:p>
    <w:p>
      <w:pPr>
        <w:pStyle w:val="TextBody"/>
        <w:bidi w:val="0"/>
        <w:spacing w:before="12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tbl>
      <w:tblPr>
        <w:tblW w:w="8789" w:type="dxa"/>
        <w:jc w:val="center"/>
        <w:tblInd w:w="0" w:type="dxa"/>
        <w:tblLayout w:type="fixed"/>
        <w:tblCellMar>
          <w:top w:w="28" w:type="dxa"/>
          <w:left w:w="28" w:type="dxa"/>
          <w:bottom w:w="28" w:type="dxa"/>
          <w:right w:w="28" w:type="dxa"/>
        </w:tblCellMar>
      </w:tblPr>
      <w:tblGrid>
        <w:gridCol w:w="1043"/>
        <w:gridCol w:w="915"/>
        <w:gridCol w:w="92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Hardware Solutions: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Window and door hardware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Screens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Extruded Solutions: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Window profiles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Seals and gaskets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Flashing Tape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Window and door hardware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 Solutions: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Mixing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Unallocated Corporate &amp; Other: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Cash Equivalents and Restricted Cash</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 xml:space="preserve">Cash equivalents include all highly liquid investments with an original maturity of three months or less. Such securities with an original maturity which exceeds three months are deemed to </w:t>
      </w:r>
      <w:r>
        <w:rPr>
          <w:rFonts w:ascii="Times New Roman;serif" w:hAnsi="Times New Roman;serif"/>
          <w:b w:val="false"/>
          <w:color w:val="000000"/>
          <w:sz w:val="20"/>
        </w:rPr>
        <w:t>be short-term investments. Restricted cash represents cash held by our foreign subsidiary that is subject to foreign exchange and capital control regulations that may restrict the timing and manner of remittance of funds outside the country. We maintain cash, cash equivalents and restricted cash at several financial institutions, which at times may not be federally insured or may exceed federally insured limits. We have not experienced any losses in such accounts and believe we are not exposed to any significant credit risks on such accounts.</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We have establishe</w:t>
      </w:r>
      <w:r>
        <w:rPr>
          <w:rFonts w:ascii="Times New Roman;serif" w:hAnsi="Times New Roman;serif"/>
          <w:b w:val="false"/>
          <w:color w:val="000000"/>
          <w:sz w:val="20"/>
        </w:rPr>
        <w:t>d an allowance for credit losses to estimate the risk of loss associated with our accounts receivable balances. Our policy for determining the allowance is based on factors that affect collectability, including historical trends of write-offs, recoveries and credit losses, and the credit quality of our customers. We believe our allowance is adequate to absorb known or probable lo</w:t>
      </w:r>
      <w:r>
        <w:rPr>
          <w:rFonts w:ascii="Times New Roman;serif" w:hAnsi="Times New Roman;serif"/>
          <w:b w:val="false"/>
          <w:color w:val="000000"/>
          <w:sz w:val="20"/>
          <w:shd w:fill="FFFFFF" w:val="clear"/>
        </w:rPr>
        <w:t xml:space="preserve">sses as of July 31, 2026. Different assumptions or changes in economic circumstances could result in changes to the allowance.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Related Party Transactions</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N</w:t>
      </w:r>
      <w:r>
        <w:rPr>
          <w:rFonts w:ascii="Times New Roman;serif" w:hAnsi="Times New Roman;serif"/>
          <w:b w:val="false"/>
          <w:color w:val="000000"/>
          <w:sz w:val="20"/>
        </w:rPr>
        <w:t>et sales to</w:t>
      </w:r>
      <w:r>
        <w:rPr>
          <w:color w:val="000000"/>
          <w:shd w:fill="FFFFFF" w:val="clear"/>
        </w:rPr>
        <w:t xml:space="preserve"> </w:t>
      </w:r>
      <w:r>
        <w:rPr>
          <w:rFonts w:ascii="Times New Roman;serif" w:hAnsi="Times New Roman;serif"/>
          <w:b w:val="false"/>
          <w:color w:val="000000"/>
          <w:sz w:val="20"/>
          <w:shd w:fill="FFFFFF" w:val="clear"/>
        </w:rPr>
        <w:t xml:space="preserve">customers which are related parties with one of our non-employee directors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months ended July 31, 2026</w:t>
      </w:r>
      <w:r>
        <w:rPr>
          <w:color w:val="000000"/>
        </w:rPr>
        <w:t xml:space="preserve"> </w:t>
      </w:r>
      <w:r>
        <w:rPr>
          <w:rFonts w:ascii="Times New Roman;serif" w:hAnsi="Times New Roman;serif"/>
          <w:b w:val="false"/>
          <w:color w:val="000000"/>
          <w:sz w:val="20"/>
        </w:rPr>
        <w:t>were $0.4 million and $1.2 million, respectively, and $0.4 million and $1.4 million, respectively, for comparable prior year periods. Purchases from a supplier which is a related party with one of our non-employee directors for the three and nine months ended July 31, 2026 was zero and $0.3 million, respectively, a</w:t>
      </w:r>
      <w:r>
        <w:rPr>
          <w:rFonts w:ascii="Times New Roman;serif" w:hAnsi="Times New Roman;serif"/>
          <w:b w:val="false"/>
          <w:color w:val="000000"/>
          <w:sz w:val="20"/>
          <w:shd w:fill="FFFFFF" w:val="clear"/>
        </w:rPr>
        <w:t xml:space="preserve">nd zero and $0.1 million for the comparable prior year </w:t>
      </w:r>
      <w:r>
        <w:rPr>
          <w:rFonts w:ascii="Times New Roman;serif" w:hAnsi="Times New Roman;serif"/>
          <w:b w:val="false"/>
          <w:color w:val="000000"/>
          <w:sz w:val="20"/>
        </w:rPr>
        <w:t>periods</w:t>
      </w:r>
      <w:r>
        <w:rPr>
          <w:rFonts w:ascii="Times New Roman;serif" w:hAnsi="Times New Roman;serif"/>
          <w:b w:val="false"/>
          <w:color w:val="000000"/>
          <w:sz w:val="20"/>
          <w:shd w:fill="FFFFFF" w:val="clear"/>
        </w:rPr>
        <w:t xml:space="preserve">. We performed a review of these transactions, of which no single transaction or series of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both"/>
        <w:rPr/>
      </w:pPr>
      <w:r>
        <w:rPr>
          <w:rFonts w:ascii="Times New Roman;serif" w:hAnsi="Times New Roman;serif"/>
          <w:b w:val="false"/>
          <w:color w:val="000000"/>
          <w:sz w:val="20"/>
          <w:shd w:fill="FFFFFF" w:val="clear"/>
        </w:rPr>
        <w:t>transactions exceeded $120,000 in amount, and determined that these transactions were enacted indepen</w:t>
      </w:r>
      <w:r>
        <w:rPr>
          <w:rFonts w:ascii="Times New Roman;serif" w:hAnsi="Times New Roman;serif"/>
          <w:b w:val="false"/>
          <w:color w:val="000000"/>
          <w:sz w:val="20"/>
        </w:rPr>
        <w:t>dently. We are not aware of any other related party transactions with any of our current non-employee directors or officers outside of their normal business functions or expected contractual duties.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During fiscal 2025, we </w:t>
      </w:r>
      <w:r>
        <w:rPr>
          <w:rFonts w:ascii="Times New Roman;serif" w:hAnsi="Times New Roman;serif"/>
          <w:b w:val="false"/>
          <w:color w:val="000000"/>
          <w:sz w:val="20"/>
          <w:shd w:fill="FFFFFF" w:val="clear"/>
        </w:rPr>
        <w:t>restructured</w:t>
      </w:r>
      <w:r>
        <w:rPr>
          <w:color w:val="000000"/>
        </w:rPr>
        <w:t xml:space="preserve"> </w:t>
      </w:r>
      <w:r>
        <w:rPr>
          <w:rFonts w:ascii="Times New Roman;serif" w:hAnsi="Times New Roman;serif"/>
          <w:b w:val="false"/>
          <w:color w:val="000000"/>
          <w:sz w:val="20"/>
        </w:rPr>
        <w:t xml:space="preserve">our reportable segments to integrate the acquisition of Tyman plc with our legacy Quanex operations. This </w:t>
      </w:r>
      <w:r>
        <w:rPr>
          <w:rFonts w:ascii="Times New Roman;serif" w:hAnsi="Times New Roman;serif"/>
          <w:b w:val="false"/>
          <w:color w:val="000000"/>
          <w:sz w:val="20"/>
          <w:shd w:fill="FFFFFF" w:val="clear"/>
        </w:rPr>
        <w:t>restructuring</w:t>
      </w:r>
      <w:r>
        <w:rPr>
          <w:color w:val="000000"/>
        </w:rPr>
        <w:t xml:space="preserve"> </w:t>
      </w:r>
      <w:r>
        <w:rPr>
          <w:rFonts w:ascii="Times New Roman;serif" w:hAnsi="Times New Roman;serif"/>
          <w:b w:val="false"/>
          <w:color w:val="000000"/>
          <w:sz w:val="20"/>
        </w:rPr>
        <w:t>aligned our business into three reportable segments: Hardware Solutions, Extruded Solutions, and Custom Solutions, which is how our Chief Operating Decision Maker (“CODM”) assesses the performance of our business, makes key operating decisions and allocates resources. For additional discussion of our reportable business segments, see Note 13, “Segment Information.”</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We incurred no restructuring charges related to the reorganization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July 31, 2026</w:t>
      </w:r>
      <w:r>
        <w:rPr>
          <w:rFonts w:ascii="Times New Roman;serif" w:hAnsi="Times New Roman;serif"/>
          <w:b w:val="false"/>
          <w:color w:val="000000"/>
          <w:sz w:val="20"/>
          <w:shd w:fill="FFFFFF" w:val="clear"/>
        </w:rPr>
        <w:t>, compared to</w:t>
      </w:r>
      <w:r>
        <w:rPr>
          <w:color w:val="000000"/>
        </w:rPr>
        <w:t xml:space="preserve"> </w:t>
      </w:r>
      <w:r>
        <w:rPr>
          <w:rFonts w:ascii="Times New Roman;serif" w:hAnsi="Times New Roman;serif"/>
          <w:b w:val="false"/>
          <w:color w:val="000000"/>
          <w:sz w:val="20"/>
        </w:rPr>
        <w:t xml:space="preserve">$1.4 million and $10.2 million, respectively, </w:t>
      </w:r>
      <w:r>
        <w:rPr>
          <w:rFonts w:ascii="Times New Roman;serif" w:hAnsi="Times New Roman;serif"/>
          <w:b w:val="false"/>
          <w:color w:val="000000"/>
          <w:sz w:val="20"/>
          <w:shd w:fill="FFFFFF" w:val="clear"/>
        </w:rPr>
        <w:t xml:space="preserve">for the comparable prior year </w:t>
      </w:r>
      <w:r>
        <w:rPr>
          <w:rFonts w:ascii="Times New Roman;serif" w:hAnsi="Times New Roman;serif"/>
          <w:b w:val="false"/>
          <w:color w:val="000000"/>
          <w:sz w:val="20"/>
        </w:rPr>
        <w:t>periods. R</w:t>
      </w:r>
      <w:r>
        <w:rPr>
          <w:rFonts w:ascii="Times New Roman;serif" w:hAnsi="Times New Roman;serif"/>
          <w:b w:val="false"/>
          <w:color w:val="000000"/>
          <w:sz w:val="20"/>
          <w:shd w:fill="FFFFFF" w:val="clear"/>
        </w:rPr>
        <w:t>estructuring charges included workforce alignment costs, primarily severance and employee-related expenses, of</w:t>
      </w:r>
      <w:r>
        <w:rPr>
          <w:color w:val="000000"/>
        </w:rPr>
        <w:t xml:space="preserve"> </w:t>
      </w:r>
      <w:r>
        <w:rPr>
          <w:rFonts w:ascii="Times New Roman;serif" w:hAnsi="Times New Roman;serif"/>
          <w:b w:val="false"/>
          <w:color w:val="000000"/>
          <w:sz w:val="20"/>
        </w:rPr>
        <w:t xml:space="preserve">$1.4 million and $6.3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 months ended July 31, 2025, respectively.</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s of July 31, 2026, all workforce alignment costs have been paid. Additionally, we recognized $3.9 million during the nine months ended July 31, 2025 related to the disposal of software which no longer supports our b</w:t>
      </w:r>
      <w:r>
        <w:rPr>
          <w:rFonts w:ascii="Times New Roman;serif" w:hAnsi="Times New Roman;serif"/>
          <w:b w:val="false"/>
          <w:color w:val="000000"/>
          <w:sz w:val="20"/>
          <w:shd w:fill="FFFFFF" w:val="clear"/>
        </w:rPr>
        <w:t xml:space="preserve">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Inventories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at July 31, 2026 and October 31, 2025 (in thousands):</w:t>
      </w:r>
    </w:p>
    <w:tbl>
      <w:tblPr>
        <w:tblW w:w="5679" w:type="dxa"/>
        <w:jc w:val="center"/>
        <w:tblInd w:w="0" w:type="dxa"/>
        <w:tblLayout w:type="fixed"/>
        <w:tblCellMar>
          <w:top w:w="28" w:type="dxa"/>
          <w:left w:w="28" w:type="dxa"/>
          <w:bottom w:w="28" w:type="dxa"/>
          <w:right w:w="28" w:type="dxa"/>
        </w:tblCellMar>
      </w:tblPr>
      <w:tblGrid>
        <w:gridCol w:w="1092"/>
        <w:gridCol w:w="958"/>
        <w:gridCol w:w="965"/>
        <w:gridCol w:w="211"/>
        <w:gridCol w:w="826"/>
        <w:gridCol w:w="109"/>
        <w:gridCol w:w="109"/>
        <w:gridCol w:w="109"/>
        <w:gridCol w:w="109"/>
        <w:gridCol w:w="211"/>
        <w:gridCol w:w="82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w:t>
              <w:b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and 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Property, Plant and Equipment</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 as of July 31, 2026 and October 31, 2025 (in thousands):</w:t>
      </w:r>
    </w:p>
    <w:tbl>
      <w:tblPr>
        <w:tblW w:w="5888" w:type="dxa"/>
        <w:jc w:val="left"/>
        <w:tblInd w:w="0" w:type="dxa"/>
        <w:tblLayout w:type="fixed"/>
        <w:tblCellMar>
          <w:top w:w="28" w:type="dxa"/>
          <w:left w:w="28" w:type="dxa"/>
          <w:bottom w:w="28" w:type="dxa"/>
          <w:right w:w="28" w:type="dxa"/>
        </w:tblCellMar>
      </w:tblPr>
      <w:tblGrid>
        <w:gridCol w:w="1167"/>
        <w:gridCol w:w="1026"/>
        <w:gridCol w:w="1031"/>
        <w:gridCol w:w="211"/>
        <w:gridCol w:w="826"/>
        <w:gridCol w:w="109"/>
        <w:gridCol w:w="109"/>
        <w:gridCol w:w="109"/>
        <w:gridCol w:w="109"/>
        <w:gridCol w:w="211"/>
        <w:gridCol w:w="82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w:t>
              <w:b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building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including amortization of finance leases, for the three and nine months ended July 31, 2026 was $14.3 million and $43.7 million, respectively, and $21.6 million and $48.2 million for the comparable prior year periods. Prior year included a one-time depreciation charge of $7.3 million to reflect the application on useful lives on an asset-by-asset basis.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record any impairment charges related to property, plant and equipment or intangible assets for the periods ended July 31, 2026 and October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4. Goodwill and Intangible Assets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change in the carrying amount of goodwill for the nine months ended July 31, 2026 was as follows (in thousands):</w:t>
      </w:r>
    </w:p>
    <w:tbl>
      <w:tblPr>
        <w:tblW w:w="5189" w:type="dxa"/>
        <w:jc w:val="center"/>
        <w:tblInd w:w="0" w:type="dxa"/>
        <w:tblLayout w:type="fixed"/>
        <w:tblCellMar>
          <w:top w:w="28" w:type="dxa"/>
          <w:left w:w="28" w:type="dxa"/>
          <w:bottom w:w="28" w:type="dxa"/>
          <w:right w:w="28" w:type="dxa"/>
        </w:tblCellMar>
      </w:tblPr>
      <w:tblGrid>
        <w:gridCol w:w="1315"/>
        <w:gridCol w:w="1154"/>
        <w:gridCol w:w="1161"/>
        <w:gridCol w:w="276"/>
        <w:gridCol w:w="1082"/>
        <w:gridCol w:w="201"/>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as of November 1, 2025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271,346 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the end of the period</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July 31, 2026, we have ten reporting units, seven of which comprise our current goodwill balance. These ten reporting units are aggregated into our three reportable segments. See Note 13, “Segment Information” for a summary of the change in the carrying amount of goodwill by segment.</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Identifiable Intangible Assets</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 consisted of the following as of July 31, 2026 and October 31, 2025 (in thousands):</w:t>
      </w:r>
    </w:p>
    <w:tbl>
      <w:tblPr>
        <w:tblW w:w="8297" w:type="dxa"/>
        <w:jc w:val="left"/>
        <w:tblInd w:w="0" w:type="dxa"/>
        <w:tblLayout w:type="fixed"/>
        <w:tblCellMar>
          <w:top w:w="28" w:type="dxa"/>
          <w:left w:w="28" w:type="dxa"/>
          <w:bottom w:w="28" w:type="dxa"/>
          <w:right w:w="28" w:type="dxa"/>
        </w:tblCellMar>
      </w:tblPr>
      <w:tblGrid>
        <w:gridCol w:w="901"/>
        <w:gridCol w:w="793"/>
        <w:gridCol w:w="795"/>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 technology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776,510 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773,200 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We had amortization e</w:t>
      </w:r>
      <w:r>
        <w:rPr>
          <w:rFonts w:ascii="Times New Roman;serif" w:hAnsi="Times New Roman;serif"/>
          <w:b w:val="false"/>
          <w:color w:val="000000"/>
          <w:sz w:val="20"/>
        </w:rPr>
        <w:t xml:space="preserve">xpense related to intangible assets for the three and nine months ended July 31, 2026 of $9.8 million and $29.3 million, respectively, compared to $12.3 million and $29.4 million for the comparable prior year periods, respectively. </w:t>
      </w:r>
      <w:r>
        <w:rPr>
          <w:rFonts w:ascii="Times New Roman;serif" w:hAnsi="Times New Roman;serif"/>
          <w:b w:val="false"/>
          <w:color w:val="000000"/>
          <w:sz w:val="20"/>
          <w:shd w:fill="FFFFFF" w:val="clear"/>
        </w:rPr>
        <w:t xml:space="preserve">Amortization expense for the </w:t>
      </w:r>
      <w:r>
        <w:rPr>
          <w:rFonts w:ascii="Times New Roman;serif" w:hAnsi="Times New Roman;serif"/>
          <w:b w:val="false"/>
          <w:color w:val="000000"/>
          <w:sz w:val="20"/>
        </w:rPr>
        <w:t xml:space="preserve">nine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July 31, 2025 included a</w:t>
      </w:r>
      <w:r>
        <w:rPr>
          <w:color w:val="000000"/>
          <w:shd w:fill="FFFFFF" w:val="clear"/>
        </w:rPr>
        <w:t xml:space="preserve"> </w:t>
      </w:r>
      <w:r>
        <w:rPr>
          <w:rFonts w:ascii="Times New Roman;serif" w:hAnsi="Times New Roman;serif"/>
          <w:b w:val="false"/>
          <w:color w:val="000000"/>
          <w:sz w:val="20"/>
          <w:shd w:fill="FFFFFF" w:val="clear"/>
        </w:rPr>
        <w:t>one-time adjustment of</w:t>
      </w:r>
      <w:r>
        <w:rPr>
          <w:color w:val="000000"/>
        </w:rPr>
        <w:t xml:space="preserve"> </w:t>
      </w:r>
      <w:r>
        <w:rPr>
          <w:rFonts w:ascii="Times New Roman;serif" w:hAnsi="Times New Roman;serif"/>
          <w:b w:val="false"/>
          <w:color w:val="000000"/>
          <w:sz w:val="20"/>
        </w:rPr>
        <w:t>$3.5 million.</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Estimated remaining amortization expense, assuming current intangible balances and no new acquisitions, for future</w:t>
      </w:r>
      <w:r>
        <w:rPr>
          <w:color w:val="000000"/>
        </w:rPr>
        <w:t xml:space="preserve"> </w:t>
      </w:r>
      <w:r>
        <w:rPr>
          <w:rFonts w:ascii="Times New Roman;serif" w:hAnsi="Times New Roman;serif"/>
          <w:b w:val="false"/>
          <w:color w:val="000000"/>
          <w:sz w:val="20"/>
        </w:rPr>
        <w:t xml:space="preserve">fiscal years as of </w:t>
      </w:r>
      <w:r>
        <w:rPr>
          <w:rFonts w:ascii="Times New Roman;serif" w:hAnsi="Times New Roman;serif"/>
          <w:b w:val="false"/>
          <w:color w:val="000000"/>
          <w:sz w:val="20"/>
          <w:shd w:fill="FFFFFF" w:val="clear"/>
        </w:rPr>
        <w:t>July 31, 2026</w:t>
      </w:r>
      <w:r>
        <w:rPr>
          <w:color w:val="000000"/>
        </w:rPr>
        <w:t xml:space="preserve"> </w:t>
      </w:r>
      <w:r>
        <w:rPr>
          <w:rFonts w:ascii="Times New Roman;serif" w:hAnsi="Times New Roman;serif"/>
          <w:b w:val="false"/>
          <w:color w:val="000000"/>
          <w:sz w:val="20"/>
        </w:rPr>
        <w:t>(in thousands):</w:t>
      </w:r>
    </w:p>
    <w:tbl>
      <w:tblPr>
        <w:tblW w:w="4380" w:type="dxa"/>
        <w:jc w:val="center"/>
        <w:tblInd w:w="0" w:type="dxa"/>
        <w:tblLayout w:type="fixed"/>
        <w:tblCellMar>
          <w:top w:w="28" w:type="dxa"/>
          <w:left w:w="28" w:type="dxa"/>
          <w:bottom w:w="28" w:type="dxa"/>
          <w:right w:w="28" w:type="dxa"/>
        </w:tblCellMar>
      </w:tblPr>
      <w:tblGrid>
        <w:gridCol w:w="950"/>
        <w:gridCol w:w="835"/>
        <w:gridCol w:w="840"/>
        <w:gridCol w:w="311"/>
        <w:gridCol w:w="1217"/>
        <w:gridCol w:w="227"/>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Amortization Expense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three months)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373,345 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522,218 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Debt and Finance Lease Obligations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at July 31, 2026 and October 31, 2025 (in thousands):</w:t>
      </w:r>
    </w:p>
    <w:tbl>
      <w:tblPr>
        <w:tblW w:w="6173" w:type="dxa"/>
        <w:jc w:val="center"/>
        <w:tblInd w:w="0" w:type="dxa"/>
        <w:tblLayout w:type="fixed"/>
        <w:tblCellMar>
          <w:top w:w="28" w:type="dxa"/>
          <w:left w:w="28" w:type="dxa"/>
          <w:bottom w:w="28" w:type="dxa"/>
          <w:right w:w="28" w:type="dxa"/>
        </w:tblCellMar>
      </w:tblPr>
      <w:tblGrid>
        <w:gridCol w:w="1272"/>
        <w:gridCol w:w="1116"/>
        <w:gridCol w:w="1121"/>
        <w:gridCol w:w="211"/>
        <w:gridCol w:w="826"/>
        <w:gridCol w:w="109"/>
        <w:gridCol w:w="109"/>
        <w:gridCol w:w="109"/>
        <w:gridCol w:w="109"/>
        <w:gridCol w:w="211"/>
        <w:gridCol w:w="82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w:t>
              <w:b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Revolving Credit Facility and Term A Facility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Credit Agreement (i) increased the senior secured revolving credit facility to an aggregate principal amount of $475 million (the “Revolving Credit Facility”) and (ii) provides for a senior secured term loan A facility in an aggregate principal amount of $500 million (the “Term A Facility” and together with the Revolving Credit Facility, the “Facilities”). The Revolving Credit Facility includes alternative currency, letter of credit, and swing-line sub-facilities of $100 million, $30 million, and $15 million, respectively. We capitalized $13.8 million of deferred financing fees related to the Amended Credit Agreement. The maturity date of the Facilities is five years after the acquisition effective date, maturing on August 1, 2029.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applicable margin percentages are based on the Consolidated Net Leverage Ratio outlined in the following table:</w:t>
      </w:r>
    </w:p>
    <w:tbl>
      <w:tblPr>
        <w:tblW w:w="10205" w:type="dxa"/>
        <w:jc w:val="left"/>
        <w:tblInd w:w="0" w:type="dxa"/>
        <w:tblLayout w:type="fixed"/>
        <w:tblCellMar>
          <w:top w:w="28" w:type="dxa"/>
          <w:left w:w="28" w:type="dxa"/>
          <w:bottom w:w="28" w:type="dxa"/>
          <w:right w:w="28" w:type="dxa"/>
        </w:tblCellMar>
      </w:tblPr>
      <w:tblGrid>
        <w:gridCol w:w="311"/>
        <w:gridCol w:w="273"/>
        <w:gridCol w:w="275"/>
        <w:gridCol w:w="109"/>
        <w:gridCol w:w="109"/>
        <w:gridCol w:w="109"/>
        <w:gridCol w:w="1025"/>
        <w:gridCol w:w="1025"/>
        <w:gridCol w:w="1027"/>
        <w:gridCol w:w="109"/>
        <w:gridCol w:w="109"/>
        <w:gridCol w:w="109"/>
        <w:gridCol w:w="398"/>
        <w:gridCol w:w="398"/>
        <w:gridCol w:w="400"/>
        <w:gridCol w:w="109"/>
        <w:gridCol w:w="109"/>
        <w:gridCol w:w="109"/>
        <w:gridCol w:w="857"/>
        <w:gridCol w:w="857"/>
        <w:gridCol w:w="862"/>
        <w:gridCol w:w="109"/>
        <w:gridCol w:w="109"/>
        <w:gridCol w:w="109"/>
        <w:gridCol w:w="109"/>
        <w:gridCol w:w="109"/>
        <w:gridCol w:w="281"/>
        <w:gridCol w:w="281"/>
        <w:gridCol w:w="409"/>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Pricing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Net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Commitment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SOFR Loans, Eurocurrency Rate Loans and RFR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Rate Loans</w:t>
            </w:r>
          </w:p>
        </w:tc>
      </w:tr>
      <w:tr>
        <w:trPr/>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1.50 to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1.50 to 1.00, but less than or equal to 2.25 to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2.25 to 1.00, but less than or equal to 3.00 to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3.00 to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event of default, outstanding borrowings accrue interest at the Default Rate, as defined, whereby the obligations will bear interest at a per annum rate equal to 2% above the total per annum rate otherwise applicable.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Facilities provide for incremental revolving credit commitments for a minimum principal amount of $10.0 million, up to an aggregate amount of the greater of (1) $310.0 million and (2) 100% of Consolidated EBITDA, subject to the lender's discretion to elect or decline the incremental increase. We can also borrow up to the lesser of $15.0 million or the revolving credit commitment, as defined, under a Swingline feature of the Credit Agreement. </w:t>
      </w:r>
    </w:p>
    <w:p>
      <w:pPr>
        <w:pStyle w:val="TextBody"/>
        <w:bidi w:val="0"/>
        <w:spacing w:lineRule="auto" w:line="288" w:before="16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Facilities contain: (1) a Consolidated Interest Coverage Ratio requirement whereby we must not permit the Consolidated Interest Coverage Ratio, as defined, to be less than 3.00 to 1.00, and (2) a Consolidated Net Leverage Ratio requirement whereby we must not permit the Consolidated Net Leverage Ratio, as defined, to be greater than 3.25 to 1.00.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In addition to maintaining these financial covenants, </w:t>
      </w:r>
      <w:r>
        <w:rPr>
          <w:rFonts w:ascii="Times New Roman;serif" w:hAnsi="Times New Roman;serif"/>
          <w:b w:val="false"/>
          <w:color w:val="000000"/>
          <w:sz w:val="20"/>
          <w:shd w:fill="FFFFFF" w:val="clear"/>
        </w:rPr>
        <w:t>the Facilities</w:t>
      </w:r>
      <w:r>
        <w:rPr>
          <w:color w:val="000000"/>
        </w:rPr>
        <w:t xml:space="preserve"> </w:t>
      </w:r>
      <w:r>
        <w:rPr>
          <w:rFonts w:ascii="Times New Roman;serif" w:hAnsi="Times New Roman;serif"/>
          <w:b w:val="false"/>
          <w:color w:val="000000"/>
          <w:sz w:val="20"/>
        </w:rPr>
        <w:t xml:space="preserve">also limit our ability to enter into certain business transactions, such as to incur indebtedness or liens, to acquire businesses or dispose of material assets, make restricted payments, pay dividends (limited to $35.0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were used as collateral for the Credit Agreement. </w:t>
      </w:r>
    </w:p>
    <w:p>
      <w:pPr>
        <w:pStyle w:val="TextBody"/>
        <w:bidi w:val="0"/>
        <w:spacing w:lineRule="auto" w:line="288" w:before="160" w:after="180"/>
        <w:ind w:left="0" w:right="0" w:firstLine="450"/>
        <w:jc w:val="both"/>
        <w:rPr/>
      </w:pPr>
      <w:r>
        <w:rPr>
          <w:rFonts w:ascii="Times New Roman;serif" w:hAnsi="Times New Roman;serif"/>
          <w:b w:val="false"/>
          <w:color w:val="000000"/>
          <w:sz w:val="20"/>
          <w:shd w:fill="FFFFFF" w:val="clear"/>
        </w:rPr>
        <w:t>As of July 31, 2026</w:t>
      </w:r>
      <w:r>
        <w:rPr>
          <w:rFonts w:ascii="Times New Roman;serif" w:hAnsi="Times New Roman;serif"/>
          <w:b w:val="false"/>
          <w:color w:val="000000"/>
          <w:sz w:val="20"/>
        </w:rPr>
        <w:t>, we had $618.5 million borrowings outstanding under the Facilities, $5.5 million of outstanding letters of credit, and $53.7 million outstanding primarily under finance leases and other debt. We had $301.0 million available for use</w:t>
      </w:r>
      <w:r>
        <w:rPr>
          <w:color w:val="000000"/>
          <w:shd w:fill="FFFFFF" w:val="clear"/>
        </w:rPr>
        <w:t xml:space="preserve"> </w:t>
      </w:r>
      <w:r>
        <w:rPr>
          <w:rFonts w:ascii="Times New Roman;serif" w:hAnsi="Times New Roman;serif"/>
          <w:b w:val="false"/>
          <w:color w:val="000000"/>
          <w:sz w:val="20"/>
          <w:shd w:fill="FFFFFF" w:val="clear"/>
        </w:rPr>
        <w:t>under the Revolving Credit Facility at July 31, 2026. The borrowings outstanding as of July 31, 2026 under the Facilities accrue inter</w:t>
      </w:r>
      <w:r>
        <w:rPr>
          <w:rFonts w:ascii="Times New Roman;serif" w:hAnsi="Times New Roman;serif"/>
          <w:b w:val="false"/>
          <w:color w:val="000000"/>
          <w:sz w:val="20"/>
        </w:rPr>
        <w:t>est at 6.33% per annum, and our weighted-average borrowing rate for borrowings outstanding during the nine months ended July 31, 2026 and 2025 was 6.30% and 6.81%, respectively. We were in compliance with our debt covenants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Retirement Plans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Defined Contribution Plan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sponsor a defined contribution plan into which we and our employees make contributions. We match 100% of employee deferrals up to 5% of eligible annual compensation for all employees under the plan. We do not offer our common stock as a direct investment option under these plans. For the </w:t>
      </w:r>
      <w:r>
        <w:rPr>
          <w:rFonts w:ascii="Times New Roman;serif" w:hAnsi="Times New Roman;serif"/>
          <w:b w:val="false"/>
          <w:color w:val="000000"/>
          <w:sz w:val="20"/>
          <w:shd w:fill="FFFFFF" w:val="clear"/>
        </w:rPr>
        <w:t>nine months ended July 31, 2026 and 2025</w:t>
      </w:r>
      <w:r>
        <w:rPr>
          <w:rFonts w:ascii="Times New Roman;serif" w:hAnsi="Times New Roman;serif"/>
          <w:b w:val="false"/>
          <w:color w:val="000000"/>
          <w:sz w:val="20"/>
        </w:rPr>
        <w:t>, we contributed approxi</w:t>
      </w:r>
      <w:r>
        <w:rPr>
          <w:rFonts w:ascii="Times New Roman;serif" w:hAnsi="Times New Roman;serif"/>
          <w:b w:val="false"/>
          <w:color w:val="000000"/>
          <w:sz w:val="20"/>
          <w:shd w:fill="FFFFFF" w:val="clear"/>
        </w:rPr>
        <w:t>mately $9.0 million and $7.5 million f</w:t>
      </w:r>
      <w:r>
        <w:rPr>
          <w:rFonts w:ascii="Times New Roman;serif" w:hAnsi="Times New Roman;serif"/>
          <w:b w:val="false"/>
          <w:color w:val="000000"/>
          <w:sz w:val="20"/>
        </w:rPr>
        <w:t xml:space="preserve">or this plan, respectively.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Other Plans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maintain a non-qualified deferred compensation plan covering members of the Board of Directors and certain </w:t>
      </w:r>
      <w:r>
        <w:rPr>
          <w:rFonts w:ascii="Times New Roman;serif" w:hAnsi="Times New Roman;serif"/>
          <w:b w:val="false"/>
          <w:color w:val="000000"/>
          <w:sz w:val="20"/>
          <w:shd w:fill="FFFFFF" w:val="clear"/>
        </w:rPr>
        <w:t xml:space="preserve">key employees. As of July 31, 2026 and October 31, 2025, the liability associated with the deferred compensation plan was approximately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and $4.1 million, respectively. We record the current portion of liabilities associated with these plans under the caption “Accrued liabilities,” and the long-term portion under the caption “Other liabilities” in the accompanying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7. Income Taxes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or expense of uncertain tax positions, tax benefits on equity compensation, and increases or decreases in valuation allowances on deferred tax assets. Our effective tax rates from continuing operations for the nine months ended July 31, 2026 and 2025 were 31.5% and 2.5%, respectively. The difference between our estimated annual effective income tax rate and the U.S. federal statutory rate of 21% principally results from U.S. state taxes, a non-U.S. tax rate differential and other permanent differences.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the 2026 effective tax rate compared to the prior year was primarily driven by $3.2 million of discrete items including equity-based compensation award activity, state deferred tax remeasurement from legal entity reorganization activities, changes in reserves for uncertain tax positions, as well as the absence of the impairment which occurred in the prior year. The primary discrete item affecting the 2025 effective rate was the benefit of $10.8 million related to the goodwill impairment which was not recognized for tax purposes.</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evaluate the likelihood of realization of our deferred tax assets by considering both positive and negative evidence. We maintain a valuation allowance for certain state net operating losses which totaled $0.8 million as of July 31, 2026 and October 31, 2025, respectively. We also maintain a valuation allowance for capital losses which totaled $3.6 million as of July 31, 2026 and October 31, 2025, respectively.</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was enacted. The Act included several business tax provisions that impacted the Company, including a reclass of our income tax payable and deferred tax liability related to the timing differences on fixed assets depreciation.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Contingencies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Remediation and Environmental Compliance Costs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2026.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and additional claims may be raised in the future that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Company bearing legal fees and/or judgment costs, if any.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19, 2025, a purported shareholder class action lawsuit against the Company and two of its officers was filed in federal court in the Southern District of Texas, titled Zanol v. Quanex Building Products Corporation et al., Case No. 4:25-cv-04453. During the quarter ended January 31, 2026, Roofers’ Pension Fund was appointed lead plaintiff (together with Zanol, “Plaintiffs”) and the case was re</w:t>
        <w:noBreakHyphen/>
        <w:t>styled as In re Quanex Building Products Corporation Securities Litigation. On March 24, 2026, Plaintiffs filed an amended complaint (the “Zanol Amended Complaint”) that alleges certain violations of federal securities laws related to public disclosures made by the Company in connection with the 2024 acquisition of Tyman plc and 2025 disclosures principally related to our window and door operations in Mexico. On April 24, 2026, a derivative lawsuit titled Torres v. Wilson, et al., Case No. 4:26-cv-03321 was filed in the Southern District of Texas (the “Torres Lawsuit”) against the officers named in the Zanol Amended Complaint and certain members of the Company’s board of directors. The allegations of the Torres Lawsuit are based on the same allegations made in the Zanol Amended Complaint. The Company has filed a motion to dismiss the Zanol Amended Complaint. In July 2026, the Court stayed the Torres Lawsuit, pending the outcome of the Company’s motion to dismiss the Zanol Amended Complaint. While the ultimate outcome of any legal matter cannot be predicted with certainty, the Company strongly believes that the Zanol Amended Complaint and Torres Lawsuit are without merit, intends to vigorously defend itself and its officers against the allegations, and maintains insurance coverage for such matters. At present, the Company cannot reasonably estimate a range of loss, if any, for these actions based on their early stage and the information available to the Company, and accordingly, the Company has not accrued any liability associated with these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9. Derivatives and Hedging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interest rate risk associated with its variable-rate borrowings. During the third quarter of 2026, the Company entered into a pay-fixed, receive-floating interest rate swap agreement, based on one-month Term SOFR, to manage the variability in cash flows associated with interest payments on $175.0 million of our outstanding variable-rate borrowings. The interest rate swap matures on August 1, 2029.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 swap has been designated as a cash flow hedge under ASC 815, Derivatives and Hedging (“ASC 815”). Changes in the fair value of the swap are recorded in other comprehensive income (“OCI”) and are reclassified into interest expense in the same period in which the hedged interest payments affect earnings and cash settlements occur. Refer to Note 10 – Fair Value Measurements of Assets and Liabilities for additional information on determining the fair value of the interest rate swap.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effect of the Company’s cash flow hedge on OCI: </w:t>
      </w:r>
    </w:p>
    <w:p>
      <w:pPr>
        <w:pStyle w:val="TextBody"/>
        <w:bidi w:val="0"/>
        <w:spacing w:before="0" w:after="0"/>
        <w:jc w:val="left"/>
        <w:rPr/>
      </w:pPr>
      <w:r>
        <w:rPr/>
      </w:r>
    </w:p>
    <w:tbl>
      <w:tblPr>
        <w:tblW w:w="8651" w:type="dxa"/>
        <w:jc w:val="left"/>
        <w:tblInd w:w="0" w:type="dxa"/>
        <w:tblLayout w:type="fixed"/>
        <w:tblCellMar>
          <w:top w:w="28" w:type="dxa"/>
          <w:left w:w="28" w:type="dxa"/>
          <w:bottom w:w="28" w:type="dxa"/>
          <w:right w:w="28" w:type="dxa"/>
        </w:tblCellMar>
      </w:tblPr>
      <w:tblGrid>
        <w:gridCol w:w="1869"/>
        <w:gridCol w:w="1640"/>
        <w:gridCol w:w="1650"/>
        <w:gridCol w:w="431"/>
        <w:gridCol w:w="952"/>
        <w:gridCol w:w="222"/>
        <w:gridCol w:w="109"/>
        <w:gridCol w:w="109"/>
        <w:gridCol w:w="109"/>
        <w:gridCol w:w="396"/>
        <w:gridCol w:w="875"/>
        <w:gridCol w:w="289"/>
      </w:tblGrid>
      <w:tr>
        <w:trPr/>
        <w:tc>
          <w:tcPr>
            <w:tcW w:w="186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OCI balance related to cash flow hedge</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recognized in OCI, net of tax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 reclassified from OCI into interest expense, net of tax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OCI balance related to cash flow hedge</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no derivative instruments designated as hedging instruments as of October 31, 2025.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the Company estimates an immaterial gain amount related to the interest rate swap will be reclassified to interest expense from OCI during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Fair Value Measurement of Assets and Liabilities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Level 1 - Unadjusted quoted prices in active markets that are accessible at the measurement date for identical, unrestricted assets or liabilities.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Level 3 - Inputs that are both significant to the fair value measurement and unobservable.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Measured at Fair Value on a Recurring Basis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Carrying amounts reported on the balance sheet for cash, cash equivalents, accounts receivable and accounts payable approximate fair value due to the short-term maturity of these instruments. Our outstanding debt is variable rate debt that re-prices frequently. As a result, the fair value of our debt instrument approximates carrying value at July 31, 2026, and October 31, 2025 (Level 2 measurement).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As of July 31, 2026, we had no outstanding forward foreign exchange contracts to hedge our exposure to foreign currency fluctuations, as contracts entered into earlier in the fiscal year matured and settled during the period. During the nine months ended July 31, 2026, we used forward foreign exchange contracts to hedge our foreign currency exposures against the Mexican Peso (“MXN”) to the U.S. Dollar (“USD”). During the nine months ended July 31, 2025, we used forward foreign exchange contracts to hedge our foreign currency exposures against USD to the Great British Pound (“GBP”) and MXN to USD. Hedge accounting is not applied to our forward exchange contracts. Our forward foreign exchange contracts are adjusted to fair value by recording gains and losses to “Other, net,” in the accompanying consolidated statement of income (loss), and we record the related asset or liability to “Other Assets” or “Current Liabilities” in the accompanying consolidated balance sheets. We recognized a gain of zero and $0.3 million related to our forward foreign exchange contracts during the three and nine months ended July 31, 2026, respectively, and a loss of $0.5 million and a gain of $0.3 million </w:t>
      </w:r>
      <w:r>
        <w:rPr>
          <w:rFonts w:ascii="Times New Roman;serif" w:hAnsi="Times New Roman;serif"/>
          <w:b w:val="false"/>
          <w:color w:val="000000"/>
          <w:sz w:val="20"/>
          <w:shd w:fill="FFFFFF" w:val="clear"/>
        </w:rPr>
        <w:t>for the comparable prior year periods, respectively.</w:t>
      </w:r>
      <w:r>
        <w:rPr>
          <w:color w:val="000000"/>
        </w:rPr>
        <w:t xml:space="preserve"> </w:t>
      </w:r>
      <w:r>
        <w:rPr>
          <w:rFonts w:ascii="Times New Roman;serif" w:hAnsi="Times New Roman;serif"/>
          <w:b w:val="false"/>
          <w:color w:val="000000"/>
          <w:sz w:val="20"/>
        </w:rPr>
        <w:t xml:space="preserve">The value of forward foreign exchange contracts fluctuates based on exchange rate fluctuations for currencies stated in the foreign exchange contracts (Level 2 measurements).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fiscal 2026, we entered into an interest rate swap agreement to manage the variability in cash flows associated with interest payments on $175.0 million of our outstanding variable-rate borrowings. See Note 9, “Derivatives and Hedging,” for additional information. The interest rate swap agreement is measured at fair value on a recurring basis using valuation models that incorporate observable market inputs, including applicable forward interest-rate curves and market-based discount rates. Accordingly, the interest rate swap agreement is classified as Level 2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financial instruments measured at fair value on a recurring basis as of the following periods: </w:t>
      </w:r>
    </w:p>
    <w:tbl>
      <w:tblPr>
        <w:tblW w:w="6128" w:type="dxa"/>
        <w:jc w:val="left"/>
        <w:tblInd w:w="0" w:type="dxa"/>
        <w:tblLayout w:type="fixed"/>
        <w:tblCellMar>
          <w:top w:w="28" w:type="dxa"/>
          <w:left w:w="28" w:type="dxa"/>
          <w:bottom w:w="28" w:type="dxa"/>
          <w:right w:w="28" w:type="dxa"/>
        </w:tblCellMar>
      </w:tblPr>
      <w:tblGrid>
        <w:gridCol w:w="1169"/>
        <w:gridCol w:w="1030"/>
        <w:gridCol w:w="1040"/>
        <w:gridCol w:w="294"/>
        <w:gridCol w:w="649"/>
        <w:gridCol w:w="151"/>
        <w:gridCol w:w="109"/>
        <w:gridCol w:w="109"/>
        <w:gridCol w:w="109"/>
        <w:gridCol w:w="211"/>
        <w:gridCol w:w="406"/>
        <w:gridCol w:w="851"/>
      </w:tblGrid>
      <w:tr>
        <w:trPr/>
        <w:tc>
          <w:tcPr>
            <w:tcW w:w="116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Assets: </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(1)</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measured at fair value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w:t>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measured at fair value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other assets in the condensed consolidated balance sheet as of July 31, 2026. The Company had no interest rate swap asset as of October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Company had no interest rate swap liability as of July 31, 2026 or October 31, 2025. Interest rate swap liabilities, if any, would be included in other liabilities in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number of shares of common stock authorized for grant under the 2020 Plan is 3,139,895 as approved by the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during the year.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awards are granted to key employees and officers annually, and typically cliff vest over a three-year period or a three-year graded vesting schedule with service and continued employment as the only vesting criteria. The recipient of the restricted stock award is entitled to all of the rights of a shareholder, except that the awards are nontransferable during the vesting period and dividends are not paid until the vesting. The fair value of the restricted stock award is established on the grant date and then expensed over the vesting period. Shares are generally issued from treasury stock at the time of grant.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non-vested restricted stock award activity during the nine months ended July 31, 2026 is presented below:</w:t>
      </w:r>
    </w:p>
    <w:tbl>
      <w:tblPr>
        <w:tblW w:w="7480" w:type="dxa"/>
        <w:jc w:val="center"/>
        <w:tblInd w:w="0" w:type="dxa"/>
        <w:tblLayout w:type="fixed"/>
        <w:tblCellMar>
          <w:top w:w="28" w:type="dxa"/>
          <w:left w:w="28" w:type="dxa"/>
          <w:bottom w:w="28" w:type="dxa"/>
          <w:right w:w="28" w:type="dxa"/>
        </w:tblCellMar>
      </w:tblPr>
      <w:tblGrid>
        <w:gridCol w:w="979"/>
        <w:gridCol w:w="858"/>
        <w:gridCol w:w="863"/>
        <w:gridCol w:w="629"/>
        <w:gridCol w:w="629"/>
        <w:gridCol w:w="631"/>
        <w:gridCol w:w="109"/>
        <w:gridCol w:w="109"/>
        <w:gridCol w:w="109"/>
        <w:gridCol w:w="551"/>
        <w:gridCol w:w="1609"/>
        <w:gridCol w:w="40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 Value per Share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October 31, 2025</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257,982 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300,600 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(23,780)</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(97,616)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24.12 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July 31, 2026</w:t>
            </w:r>
          </w:p>
        </w:tc>
        <w:tc>
          <w:tcPr>
            <w:tcW w:w="12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437,186 </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both"/>
        <w:rPr/>
      </w:pPr>
      <w:r>
        <w:rPr>
          <w:rFonts w:ascii="Times New Roman;serif" w:hAnsi="Times New Roman;serif"/>
          <w:b w:val="false"/>
          <w:color w:val="000000"/>
          <w:sz w:val="20"/>
        </w:rPr>
        <w:t>The total grant-date fair value of restricted stock awards that vested during each of the nine months ended July 31, 2026 and 2025</w:t>
      </w:r>
      <w:r>
        <w:rPr>
          <w:color w:val="000000"/>
          <w:shd w:fill="FFFFFF" w:val="clear"/>
        </w:rPr>
        <w:t xml:space="preserve"> </w:t>
      </w:r>
      <w:r>
        <w:rPr>
          <w:rFonts w:ascii="Times New Roman;serif" w:hAnsi="Times New Roman;serif"/>
          <w:b w:val="false"/>
          <w:color w:val="000000"/>
          <w:sz w:val="20"/>
        </w:rPr>
        <w:t xml:space="preserve">was $2.4 million and $1.9 million, respectively. As of July 31, 2026, total unrecognized compensation cost related to unamortized restricted stock awards was $4.3 million. We expect to recognize this expense over the remaining weighted average vesting period of 1.8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Options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Stock options typically vested ratably over a three-year period with service and continued employment as the vesting conditions. Our stock options may be exercised up to a maximum of ten years from the date of grant. The fair value of the stock options is determined on the grant date and expensed over the vesting period.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a Black-Scholes pricing model to estimate the fair value of stock options. The following table summarizes our stock option activity for the nine months ended July 31, 2026:</w:t>
      </w:r>
    </w:p>
    <w:tbl>
      <w:tblPr>
        <w:tblW w:w="9277" w:type="dxa"/>
        <w:jc w:val="center"/>
        <w:tblInd w:w="0" w:type="dxa"/>
        <w:tblLayout w:type="fixed"/>
        <w:tblCellMar>
          <w:top w:w="28" w:type="dxa"/>
          <w:left w:w="28" w:type="dxa"/>
          <w:bottom w:w="28" w:type="dxa"/>
          <w:right w:w="28" w:type="dxa"/>
        </w:tblCellMar>
      </w:tblPr>
      <w:tblGrid>
        <w:gridCol w:w="1005"/>
        <w:gridCol w:w="882"/>
        <w:gridCol w:w="887"/>
        <w:gridCol w:w="398"/>
        <w:gridCol w:w="398"/>
        <w:gridCol w:w="376"/>
        <w:gridCol w:w="109"/>
        <w:gridCol w:w="109"/>
        <w:gridCol w:w="109"/>
        <w:gridCol w:w="331"/>
        <w:gridCol w:w="968"/>
        <w:gridCol w:w="172"/>
        <w:gridCol w:w="109"/>
        <w:gridCol w:w="109"/>
        <w:gridCol w:w="109"/>
        <w:gridCol w:w="604"/>
        <w:gridCol w:w="604"/>
        <w:gridCol w:w="606"/>
        <w:gridCol w:w="109"/>
        <w:gridCol w:w="109"/>
        <w:gridCol w:w="109"/>
        <w:gridCol w:w="291"/>
        <w:gridCol w:w="560"/>
        <w:gridCol w:w="214"/>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 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 (000s)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October 31, 2025</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July 31, 2026</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at July 31, 2026</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36,550 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July 31, 2026</w:t>
            </w:r>
          </w:p>
        </w:tc>
        <w:tc>
          <w:tcPr>
            <w:tcW w:w="7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36,550 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both"/>
        <w:rPr/>
      </w:pPr>
      <w:r>
        <w:rPr>
          <w:rFonts w:ascii="Times New Roman;serif" w:hAnsi="Times New Roman;serif"/>
          <w:b w:val="false"/>
          <w:color w:val="000000"/>
          <w:sz w:val="20"/>
        </w:rPr>
        <w:t>Intrinsic va</w:t>
      </w:r>
      <w:r>
        <w:rPr>
          <w:rFonts w:ascii="Times New Roman;serif" w:hAnsi="Times New Roman;serif"/>
          <w:b w:val="false"/>
          <w:color w:val="000000"/>
          <w:sz w:val="20"/>
          <w:shd w:fill="FFFFFF" w:val="clear"/>
        </w:rPr>
        <w:t xml:space="preserve">lue is the amount by which the market price of the common stock on the date of exercise exceeds the exercise price of the stock option. There were no stock options exercised during the nine months ended July 31, 2026. The total intrinsic value of stock options exercised during the nine months ended </w:t>
      </w:r>
      <w:r>
        <w:rPr>
          <w:rFonts w:ascii="Times New Roman;serif" w:hAnsi="Times New Roman;serif"/>
          <w:b w:val="false"/>
          <w:color w:val="000000"/>
          <w:sz w:val="20"/>
        </w:rPr>
        <w:t>July 31, 2025 was</w:t>
      </w:r>
      <w:r>
        <w:rPr>
          <w:color w:val="000000"/>
          <w:shd w:fill="FFFFFF" w:val="clear"/>
        </w:rPr>
        <w:t xml:space="preserve"> </w:t>
      </w:r>
      <w:r>
        <w:rPr>
          <w:rFonts w:ascii="Times New Roman;serif" w:hAnsi="Times New Roman;serif"/>
          <w:b w:val="false"/>
          <w:color w:val="000000"/>
          <w:sz w:val="20"/>
          <w:shd w:fill="FFFFFF" w:val="clear"/>
        </w:rPr>
        <w:t xml:space="preserve">$0.1 million. </w:t>
      </w:r>
    </w:p>
    <w:p>
      <w:pPr>
        <w:pStyle w:val="TextBody"/>
        <w:bidi w:val="0"/>
        <w:spacing w:lineRule="auto" w:line="288" w:before="1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Restricted Stock Units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are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During the nine months ended July 31, 2026 and</w:t>
      </w:r>
      <w:r>
        <w:rPr>
          <w:color w:val="000000"/>
          <w:shd w:fill="FFFFFF" w:val="clear"/>
        </w:rPr>
        <w:t xml:space="preserve"> </w:t>
      </w:r>
      <w:r>
        <w:rPr>
          <w:rFonts w:ascii="Times New Roman;serif" w:hAnsi="Times New Roman;serif"/>
          <w:b w:val="false"/>
          <w:color w:val="000000"/>
          <w:sz w:val="20"/>
          <w:shd w:fill="FFFFFF" w:val="clear"/>
        </w:rPr>
        <w:t xml:space="preserve">2025, non-employee directors received 64,360 and 28,240 restricted stock units, respectively, at a weighted-average grant date fair value of $14.92 per share and $29.02 per share, respectively. During the nine months ended July 31, 2026, we paid </w:t>
      </w:r>
      <w:r>
        <w:rPr>
          <w:rFonts w:ascii="Times New Roman;serif" w:hAnsi="Times New Roman;serif"/>
          <w:b w:val="false"/>
          <w:color w:val="000000"/>
          <w:sz w:val="20"/>
        </w:rPr>
        <w:t>$1.2 million</w:t>
      </w:r>
      <w:r>
        <w:rPr>
          <w:color w:val="000000"/>
          <w:shd w:fill="FFFFFF" w:val="clear"/>
        </w:rPr>
        <w:t xml:space="preserve"> </w:t>
      </w:r>
      <w:r>
        <w:rPr>
          <w:rFonts w:ascii="Times New Roman;serif" w:hAnsi="Times New Roman;serif"/>
          <w:b w:val="false"/>
          <w:color w:val="000000"/>
          <w:sz w:val="20"/>
          <w:shd w:fill="FFFFFF" w:val="clear"/>
        </w:rPr>
        <w:t>to settle vested restricted stock units awarded to non-employee directors.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non-vested restricted stock unit activity awarded to key employees and officers during the nine months ended July 31, 2026 is presented below:</w:t>
      </w:r>
    </w:p>
    <w:tbl>
      <w:tblPr>
        <w:tblW w:w="4672" w:type="dxa"/>
        <w:jc w:val="left"/>
        <w:tblInd w:w="0" w:type="dxa"/>
        <w:tblLayout w:type="fixed"/>
        <w:tblCellMar>
          <w:top w:w="28" w:type="dxa"/>
          <w:left w:w="28" w:type="dxa"/>
          <w:bottom w:w="28" w:type="dxa"/>
          <w:right w:w="28" w:type="dxa"/>
        </w:tblCellMar>
      </w:tblPr>
      <w:tblGrid>
        <w:gridCol w:w="979"/>
        <w:gridCol w:w="858"/>
        <w:gridCol w:w="863"/>
        <w:gridCol w:w="569"/>
        <w:gridCol w:w="569"/>
        <w:gridCol w:w="571"/>
        <w:gridCol w:w="109"/>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October 31, 2025</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51,772 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July 31, 2026</w:t>
            </w:r>
          </w:p>
        </w:tc>
        <w:tc>
          <w:tcPr>
            <w:tcW w:w="11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33,901 </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July 31, 2026, we paid $0.3 million to settle vested restricted stock units awarded to key employees and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Share Awards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shares are awarded to key employees and officers annually. The performance share awards granted in December 2023 vest with return on net assets (RONA) as the vesting condition. The performance share awards granted in December 2024, March 2025 and December 2025 vest with adjusted earnings per share performance as the vesting condition and RONA as a performance modifier. The performance share awards pay out 100% in cash.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December 2023 awarded performance shares may ultimately vest and 0% to 250% of the December 2024 and December 2025 performance shares may ultimately vest.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performance share grants and the grant date fair value for each performance metric:</w:t>
      </w:r>
    </w:p>
    <w:tbl>
      <w:tblPr>
        <w:tblW w:w="6979" w:type="dxa"/>
        <w:jc w:val="left"/>
        <w:tblInd w:w="0" w:type="dxa"/>
        <w:tblLayout w:type="fixed"/>
        <w:tblCellMar>
          <w:top w:w="28" w:type="dxa"/>
          <w:left w:w="28" w:type="dxa"/>
          <w:bottom w:w="28" w:type="dxa"/>
          <w:right w:w="28" w:type="dxa"/>
        </w:tblCellMar>
      </w:tblPr>
      <w:tblGrid>
        <w:gridCol w:w="575"/>
        <w:gridCol w:w="506"/>
        <w:gridCol w:w="509"/>
        <w:gridCol w:w="109"/>
        <w:gridCol w:w="109"/>
        <w:gridCol w:w="109"/>
        <w:gridCol w:w="429"/>
        <w:gridCol w:w="429"/>
        <w:gridCol w:w="431"/>
        <w:gridCol w:w="109"/>
        <w:gridCol w:w="109"/>
        <w:gridCol w:w="109"/>
        <w:gridCol w:w="399"/>
        <w:gridCol w:w="1165"/>
        <w:gridCol w:w="206"/>
        <w:gridCol w:w="109"/>
        <w:gridCol w:w="109"/>
        <w:gridCol w:w="109"/>
        <w:gridCol w:w="395"/>
        <w:gridCol w:w="395"/>
        <w:gridCol w:w="559"/>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Awarded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Forfeited</w:t>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 xml:space="preserve">nine months ended </w:t>
      </w:r>
      <w:r>
        <w:rPr>
          <w:rFonts w:ascii="Times New Roman;serif" w:hAnsi="Times New Roman;serif"/>
          <w:b w:val="false"/>
          <w:color w:val="000000"/>
          <w:sz w:val="20"/>
        </w:rPr>
        <w:t>July 31, 2026</w:t>
      </w:r>
      <w:r>
        <w:rPr>
          <w:rFonts w:ascii="Times New Roman;serif" w:hAnsi="Times New Roman;serif"/>
          <w:b w:val="false"/>
          <w:color w:val="000000"/>
          <w:sz w:val="20"/>
          <w:shd w:fill="FFFFFF" w:val="clear"/>
        </w:rPr>
        <w:t>, no shares vested pursuant to the December 2022 grant.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Performance share awards are payable in cash based upon the number of performance shares ultimately earned, and are therefore not considered outstanding shares.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Restricted Stock Units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restricted stock units are awarded to key employees and officers annually.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 </w:t>
      </w:r>
    </w:p>
    <w:tbl>
      <w:tblPr>
        <w:tblW w:w="9023" w:type="dxa"/>
        <w:jc w:val="center"/>
        <w:tblInd w:w="0" w:type="dxa"/>
        <w:tblLayout w:type="fixed"/>
        <w:tblCellMar>
          <w:top w:w="28" w:type="dxa"/>
          <w:left w:w="28" w:type="dxa"/>
          <w:bottom w:w="28" w:type="dxa"/>
          <w:right w:w="28" w:type="dxa"/>
        </w:tblCellMar>
      </w:tblPr>
      <w:tblGrid>
        <w:gridCol w:w="462"/>
        <w:gridCol w:w="406"/>
        <w:gridCol w:w="407"/>
        <w:gridCol w:w="109"/>
        <w:gridCol w:w="109"/>
        <w:gridCol w:w="109"/>
        <w:gridCol w:w="1522"/>
        <w:gridCol w:w="1522"/>
        <w:gridCol w:w="1530"/>
        <w:gridCol w:w="109"/>
        <w:gridCol w:w="109"/>
        <w:gridCol w:w="109"/>
        <w:gridCol w:w="738"/>
        <w:gridCol w:w="738"/>
        <w:gridCol w:w="104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 Criteria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Award Vested</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A-TSR greater than or equal to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A-TSR less than 50% and greater than or equal to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A-TSR less than 20% and greater than or equal to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A-TSR less than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performance restricted stock unit grants and the grant date fair value for the A-TSR performance metric:</w:t>
      </w:r>
    </w:p>
    <w:tbl>
      <w:tblPr>
        <w:tblW w:w="6979" w:type="dxa"/>
        <w:jc w:val="left"/>
        <w:tblInd w:w="0" w:type="dxa"/>
        <w:tblLayout w:type="fixed"/>
        <w:tblCellMar>
          <w:top w:w="28" w:type="dxa"/>
          <w:left w:w="28" w:type="dxa"/>
          <w:bottom w:w="28" w:type="dxa"/>
          <w:right w:w="28" w:type="dxa"/>
        </w:tblCellMar>
      </w:tblPr>
      <w:tblGrid>
        <w:gridCol w:w="575"/>
        <w:gridCol w:w="506"/>
        <w:gridCol w:w="509"/>
        <w:gridCol w:w="109"/>
        <w:gridCol w:w="109"/>
        <w:gridCol w:w="109"/>
        <w:gridCol w:w="429"/>
        <w:gridCol w:w="429"/>
        <w:gridCol w:w="431"/>
        <w:gridCol w:w="109"/>
        <w:gridCol w:w="109"/>
        <w:gridCol w:w="109"/>
        <w:gridCol w:w="399"/>
        <w:gridCol w:w="1165"/>
        <w:gridCol w:w="206"/>
        <w:gridCol w:w="109"/>
        <w:gridCol w:w="109"/>
        <w:gridCol w:w="109"/>
        <w:gridCol w:w="395"/>
        <w:gridCol w:w="395"/>
        <w:gridCol w:w="559"/>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Awarded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Forfeited</w:t>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The performance restricted stock units are not considered outstanding shares, do not have voting rights, and are exclud</w:t>
      </w:r>
      <w:r>
        <w:rPr>
          <w:rFonts w:ascii="Times New Roman;serif" w:hAnsi="Times New Roman;serif"/>
          <w:b w:val="false"/>
          <w:color w:val="000000"/>
          <w:sz w:val="20"/>
        </w:rPr>
        <w:t>ed from diluted weighted-average shares used to calculate earnings per share until the performance criteria is probable to result in the issuance of contingent shares. As of July 31, 2026, w</w:t>
      </w:r>
      <w:r>
        <w:rPr>
          <w:rFonts w:ascii="Times New Roman;serif" w:hAnsi="Times New Roman;serif"/>
          <w:b w:val="false"/>
          <w:color w:val="000000"/>
          <w:sz w:val="20"/>
          <w:shd w:fill="FFFFFF" w:val="clear"/>
        </w:rPr>
        <w:t xml:space="preserve">e have deemed </w:t>
      </w:r>
      <w:r>
        <w:rPr>
          <w:rFonts w:ascii="Times New Roman;serif" w:hAnsi="Times New Roman;serif"/>
          <w:b w:val="false"/>
          <w:color w:val="000000"/>
          <w:sz w:val="20"/>
        </w:rPr>
        <w:t>8,645</w:t>
      </w:r>
      <w:r>
        <w:rPr>
          <w:color w:val="000000"/>
          <w:shd w:fill="FFFFFF" w:val="clear"/>
        </w:rPr>
        <w:t xml:space="preserve"> </w:t>
      </w:r>
      <w:r>
        <w:rPr>
          <w:rFonts w:ascii="Times New Roman;serif" w:hAnsi="Times New Roman;serif"/>
          <w:b w:val="false"/>
          <w:color w:val="000000"/>
          <w:sz w:val="20"/>
          <w:shd w:fill="FFFFFF" w:val="clear"/>
        </w:rPr>
        <w:t>shares related to the December 2023 grant of performance restricted stock units as probable to vest. The actual number of performance restricted stock units that ultimately vest may differ based on actual performance and market condition outcomes through the end of the applicable performance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amounts expensed as selling, general and administrative expense related to restricted stock awards, stock options, restricted stock units, performance share awards and performance restricted stock units for the three and nine months ended July 31, 2026 and 2025 (in thousands):</w:t>
      </w:r>
    </w:p>
    <w:tbl>
      <w:tblPr>
        <w:tblW w:w="7537" w:type="dxa"/>
        <w:jc w:val="left"/>
        <w:tblInd w:w="0" w:type="dxa"/>
        <w:tblLayout w:type="fixed"/>
        <w:tblCellMar>
          <w:top w:w="28" w:type="dxa"/>
          <w:left w:w="28" w:type="dxa"/>
          <w:bottom w:w="28" w:type="dxa"/>
          <w:right w:w="28" w:type="dxa"/>
        </w:tblCellMar>
      </w:tblPr>
      <w:tblGrid>
        <w:gridCol w:w="1031"/>
        <w:gridCol w:w="907"/>
        <w:gridCol w:w="912"/>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221"/>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awards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restricted stock units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Treasury Shares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account for treasury stock purchases under the cost method, recording acquired shares at their total purchase price. Shares are generally issued from treasury stock at the time of grant of restricted stock awards, upon the exercise of stock options, and upon the vesting of performance restricted stock units. Upon reissuance of treasury shares, we record proceeds in excess of cost as an increase in additional paid-in capital. If proceeds are less than costs, the shortfall first reduces paid-in-capital associated with prior issuances, with the remainder recorded as a charge to retained earnings. During the nine months ended July 31, 2026, there were no charges to retained earnings related to treasury stock.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treasury stock activity during the nine months ended July 31, 2026:</w:t>
      </w:r>
    </w:p>
    <w:tbl>
      <w:tblPr>
        <w:tblW w:w="5284" w:type="dxa"/>
        <w:jc w:val="center"/>
        <w:tblInd w:w="0" w:type="dxa"/>
        <w:tblLayout w:type="fixed"/>
        <w:tblCellMar>
          <w:top w:w="28" w:type="dxa"/>
          <w:left w:w="28" w:type="dxa"/>
          <w:bottom w:w="28" w:type="dxa"/>
          <w:right w:w="28" w:type="dxa"/>
        </w:tblCellMar>
      </w:tblPr>
      <w:tblGrid>
        <w:gridCol w:w="1326"/>
        <w:gridCol w:w="1163"/>
        <w:gridCol w:w="1171"/>
        <w:gridCol w:w="488"/>
        <w:gridCol w:w="488"/>
        <w:gridCol w:w="648"/>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as of November 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5,536,743 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(300,600)</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repurchases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99,786 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31, 2026</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5,335,929 </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Other, net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included under the caption “Other, net” on the condensed consolidated statements of (loss) income, consisted of the following for the three and nine months ended July 31, 2026 and 2025 (in thousands):</w:t>
      </w:r>
    </w:p>
    <w:tbl>
      <w:tblPr>
        <w:tblW w:w="8160" w:type="dxa"/>
        <w:jc w:val="center"/>
        <w:tblInd w:w="0" w:type="dxa"/>
        <w:tblLayout w:type="fixed"/>
        <w:tblCellMar>
          <w:top w:w="28" w:type="dxa"/>
          <w:left w:w="28" w:type="dxa"/>
          <w:bottom w:w="28" w:type="dxa"/>
          <w:right w:w="28" w:type="dxa"/>
        </w:tblCellMar>
      </w:tblPr>
      <w:tblGrid>
        <w:gridCol w:w="1310"/>
        <w:gridCol w:w="1151"/>
        <w:gridCol w:w="1154"/>
        <w:gridCol w:w="211"/>
        <w:gridCol w:w="541"/>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transaction (losses) gains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 (losses) gains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third quarter of 2025, we presented four reportable business segments in accordance with ASC Topic 280-10-50, “Segment Reporting” (ASC 280):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and conservatories, and the European insulating glass business manufacturing insulating glass spacers; (3) NA Cabinet Components, comprising our cabinet door and components segment; and (4) Tyman, which was acquired on August 1, 2024, comprising a leading international supplier of engineered fenestration components and access solutions to the construction industry.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During the third quarter of 2025, we </w:t>
      </w:r>
      <w:r>
        <w:rPr>
          <w:rFonts w:ascii="Times New Roman;serif" w:hAnsi="Times New Roman;serif"/>
          <w:b w:val="false"/>
          <w:color w:val="000000"/>
          <w:sz w:val="20"/>
          <w:shd w:fill="FFFFFF" w:val="clear"/>
        </w:rPr>
        <w:t>restructured</w:t>
      </w:r>
      <w:r>
        <w:rPr>
          <w:color w:val="000000"/>
        </w:rPr>
        <w:t xml:space="preserve"> </w:t>
      </w:r>
      <w:r>
        <w:rPr>
          <w:rFonts w:ascii="Times New Roman;serif" w:hAnsi="Times New Roman;serif"/>
          <w:b w:val="false"/>
          <w:color w:val="000000"/>
          <w:sz w:val="20"/>
        </w:rPr>
        <w:t>our reportable segments due to changes in our organizational structure and how our CODM makes key operating decisions, allocates resources and assesses the performance of our business. As a result, we now report in three reportable segments, based on the nature of products offered: Hardware Solutions, which provides window and door hardware and screens; Extruded Solutions, which supplies insulating glass spacers, vinyl window and door profiles, seals, and weatherstripping; and Custom Solutions, which provides wood, mixing, and building access solutions. We continue to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inter-segment eliminations, and executive incentive compensation and medical expense fluctuations relative to planned costs as determined during our annual planning process. Other general and administrative costs associated with the corporate office are allocated to the reportable segments, based upon each segment’s relative operating activity. The accounting policies of our operating segments are the same as those used to prepare the accompanying condensed consolidated financial statements. Corporate general and administrative expenses allocated during the three and nine month periods ended July 31, 2026 were $11.5 million and $36.2 million, respectively, and $11.5 million and $29.4 million for the comparable prior year periods.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CODM, the President and Chief Executive Officer, reviews several measures of segment profitability to assess performance and allocate resources. Segment operating income (loss) is the measure of segment profit or loss that is most consistent with GAAP and is used by the CODM to evaluate segment results, allocate resources, and monitor performance against the annual budget and forecasts. The CODM considers forecast-to-actual variances on a monthly basis using this measure for each segment when making decisions about allocating capital and personnel. In addition, the CODM uses net sales to compare segment performance and in the compensation of certain employees.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does not present segment asset information as such information is not provided to the CODM and accordingly, asset information is not used in assessing segment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1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Selected segment information for the three and nine months ended July 31, 2026 and 2025 was as follows (in thousands):</w:t>
      </w:r>
    </w:p>
    <w:tbl>
      <w:tblPr>
        <w:tblW w:w="10205" w:type="dxa"/>
        <w:jc w:val="left"/>
        <w:tblInd w:w="0" w:type="dxa"/>
        <w:tblLayout w:type="fixed"/>
        <w:tblCellMar>
          <w:top w:w="28" w:type="dxa"/>
          <w:left w:w="28" w:type="dxa"/>
          <w:bottom w:w="28" w:type="dxa"/>
          <w:right w:w="28" w:type="dxa"/>
        </w:tblCellMar>
      </w:tblPr>
      <w:tblGrid>
        <w:gridCol w:w="1074"/>
        <w:gridCol w:w="586"/>
        <w:gridCol w:w="591"/>
        <w:gridCol w:w="109"/>
        <w:gridCol w:w="109"/>
        <w:gridCol w:w="227"/>
        <w:gridCol w:w="930"/>
        <w:gridCol w:w="117"/>
        <w:gridCol w:w="109"/>
        <w:gridCol w:w="109"/>
        <w:gridCol w:w="109"/>
        <w:gridCol w:w="228"/>
        <w:gridCol w:w="896"/>
        <w:gridCol w:w="118"/>
        <w:gridCol w:w="109"/>
        <w:gridCol w:w="109"/>
        <w:gridCol w:w="109"/>
        <w:gridCol w:w="222"/>
        <w:gridCol w:w="871"/>
        <w:gridCol w:w="114"/>
        <w:gridCol w:w="109"/>
        <w:gridCol w:w="109"/>
        <w:gridCol w:w="109"/>
        <w:gridCol w:w="264"/>
        <w:gridCol w:w="955"/>
        <w:gridCol w:w="136"/>
        <w:gridCol w:w="109"/>
        <w:gridCol w:w="109"/>
        <w:gridCol w:w="109"/>
        <w:gridCol w:w="211"/>
        <w:gridCol w:w="976"/>
        <w:gridCol w:w="163"/>
      </w:tblGrid>
      <w:tr>
        <w:trPr/>
        <w:tc>
          <w:tcPr>
            <w:tcW w:w="107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Hardware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Extruded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(157,445)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14,452 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Nine Months Ended 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33,066 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Nine Months Ended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(loss)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(21,524)</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(236,892)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the carrying amount of goodwill by reportable business segment for the nine months ended July 31, 2026 (in thousands):</w:t>
      </w:r>
    </w:p>
    <w:tbl>
      <w:tblPr>
        <w:tblW w:w="10205" w:type="dxa"/>
        <w:jc w:val="left"/>
        <w:tblInd w:w="0" w:type="dxa"/>
        <w:tblLayout w:type="fixed"/>
        <w:tblCellMar>
          <w:top w:w="28" w:type="dxa"/>
          <w:left w:w="28" w:type="dxa"/>
          <w:bottom w:w="28" w:type="dxa"/>
          <w:right w:w="28" w:type="dxa"/>
        </w:tblCellMar>
      </w:tblPr>
      <w:tblGrid>
        <w:gridCol w:w="874"/>
        <w:gridCol w:w="640"/>
        <w:gridCol w:w="645"/>
        <w:gridCol w:w="109"/>
        <w:gridCol w:w="109"/>
        <w:gridCol w:w="262"/>
        <w:gridCol w:w="896"/>
        <w:gridCol w:w="135"/>
        <w:gridCol w:w="109"/>
        <w:gridCol w:w="109"/>
        <w:gridCol w:w="109"/>
        <w:gridCol w:w="241"/>
        <w:gridCol w:w="945"/>
        <w:gridCol w:w="124"/>
        <w:gridCol w:w="109"/>
        <w:gridCol w:w="109"/>
        <w:gridCol w:w="109"/>
        <w:gridCol w:w="242"/>
        <w:gridCol w:w="830"/>
        <w:gridCol w:w="125"/>
        <w:gridCol w:w="109"/>
        <w:gridCol w:w="109"/>
        <w:gridCol w:w="109"/>
        <w:gridCol w:w="441"/>
        <w:gridCol w:w="851"/>
        <w:gridCol w:w="230"/>
        <w:gridCol w:w="109"/>
        <w:gridCol w:w="109"/>
        <w:gridCol w:w="109"/>
        <w:gridCol w:w="211"/>
        <w:gridCol w:w="826"/>
        <w:gridCol w:w="161"/>
      </w:tblGrid>
      <w:tr>
        <w:trPr/>
        <w:tc>
          <w:tcPr>
            <w:tcW w:w="87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Hardware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Extruded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allocate non-operating expense or income tax expense to the reportable segments. The following table reconciles operating income as reported above to net income for the three and nine months ended July 31, 2026 and 2025 (in thousands):</w:t>
      </w:r>
    </w:p>
    <w:tbl>
      <w:tblPr>
        <w:tblW w:w="8009" w:type="dxa"/>
        <w:jc w:val="left"/>
        <w:tblInd w:w="0" w:type="dxa"/>
        <w:tblLayout w:type="fixed"/>
        <w:tblCellMar>
          <w:top w:w="28" w:type="dxa"/>
          <w:left w:w="28" w:type="dxa"/>
          <w:bottom w:w="28" w:type="dxa"/>
          <w:right w:w="28" w:type="dxa"/>
        </w:tblCellMar>
      </w:tblPr>
      <w:tblGrid>
        <w:gridCol w:w="890"/>
        <w:gridCol w:w="782"/>
        <w:gridCol w:w="787"/>
        <w:gridCol w:w="211"/>
        <w:gridCol w:w="721"/>
        <w:gridCol w:w="109"/>
        <w:gridCol w:w="109"/>
        <w:gridCol w:w="109"/>
        <w:gridCol w:w="109"/>
        <w:gridCol w:w="211"/>
        <w:gridCol w:w="901"/>
        <w:gridCol w:w="109"/>
        <w:gridCol w:w="109"/>
        <w:gridCol w:w="109"/>
        <w:gridCol w:w="109"/>
        <w:gridCol w:w="211"/>
        <w:gridCol w:w="721"/>
        <w:gridCol w:w="109"/>
        <w:gridCol w:w="109"/>
        <w:gridCol w:w="109"/>
        <w:gridCol w:w="109"/>
        <w:gridCol w:w="211"/>
        <w:gridCol w:w="90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14. Earnings Per Share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and contingent shares associated with performance share awards, if dilutive.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computation of basic and diluted earnings per share for the three and nine months ended July 31, 2026 and 2025 follows (in thousands, except per share data):</w:t>
      </w:r>
    </w:p>
    <w:tbl>
      <w:tblPr>
        <w:tblW w:w="10124" w:type="dxa"/>
        <w:jc w:val="center"/>
        <w:tblInd w:w="0" w:type="dxa"/>
        <w:tblLayout w:type="fixed"/>
        <w:tblCellMar>
          <w:top w:w="28" w:type="dxa"/>
          <w:left w:w="28" w:type="dxa"/>
          <w:bottom w:w="28" w:type="dxa"/>
          <w:right w:w="28" w:type="dxa"/>
        </w:tblCellMar>
      </w:tblPr>
      <w:tblGrid>
        <w:gridCol w:w="1658"/>
        <w:gridCol w:w="1452"/>
        <w:gridCol w:w="1464"/>
        <w:gridCol w:w="211"/>
        <w:gridCol w:w="721"/>
        <w:gridCol w:w="109"/>
        <w:gridCol w:w="109"/>
        <w:gridCol w:w="109"/>
        <w:gridCol w:w="109"/>
        <w:gridCol w:w="211"/>
        <w:gridCol w:w="901"/>
        <w:gridCol w:w="109"/>
        <w:gridCol w:w="109"/>
        <w:gridCol w:w="109"/>
        <w:gridCol w:w="109"/>
        <w:gridCol w:w="211"/>
        <w:gridCol w:w="721"/>
        <w:gridCol w:w="109"/>
        <w:gridCol w:w="109"/>
        <w:gridCol w:w="109"/>
        <w:gridCol w:w="109"/>
        <w:gridCol w:w="211"/>
        <w:gridCol w:w="90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earnings (loss)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Numerator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Denominator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computation of basic earnings (loss)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earnings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computation of basic earnings (loss)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restricted 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performance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computation of diluted earnings (loss) per share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both"/>
        <w:rPr/>
      </w:pPr>
      <w:r>
        <w:rPr>
          <w:rFonts w:ascii="Times New Roman;serif" w:hAnsi="Times New Roman;serif"/>
          <w:b w:val="false"/>
          <w:color w:val="000000"/>
          <w:sz w:val="20"/>
          <w:shd w:fill="FFFFFF" w:val="clear"/>
        </w:rPr>
        <w:t>We do not include equity instruments in our calculation of diluted earnings per share if those instruments would be anti-dilutive. We had anti-dilutive restricted stock award equivalents for the three and nine</w:t>
      </w:r>
      <w:r>
        <w:rPr>
          <w:color w:val="000000"/>
        </w:rPr>
        <w:t xml:space="preserve"> </w:t>
      </w:r>
      <w:r>
        <w:rPr>
          <w:rFonts w:ascii="Times New Roman;serif" w:hAnsi="Times New Roman;serif"/>
          <w:b w:val="false"/>
          <w:color w:val="000000"/>
          <w:sz w:val="20"/>
        </w:rPr>
        <w:t>months ended July 31, 2026 of 2,555 and 6,803, respectively, and 37,142 and 21,538 for the comparable prior year periods. Such dilution is dependent on the excess of the market price of our stock over the exercise price and other components of the treasury</w:t>
      </w:r>
      <w:r>
        <w:rPr>
          <w:color w:val="000000"/>
          <w:shd w:fill="FFFFFF" w:val="clear"/>
        </w:rPr>
        <w:t xml:space="preserve"> </w:t>
      </w:r>
      <w:r>
        <w:rPr>
          <w:rFonts w:ascii="Times New Roman;serif" w:hAnsi="Times New Roman;serif"/>
          <w:b w:val="false"/>
          <w:color w:val="000000"/>
          <w:sz w:val="20"/>
          <w:shd w:fill="FFFFFF" w:val="clear"/>
        </w:rPr>
        <w:t>stock method.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QUANEX BUILDING PRODUCTS CORPORATION</w:t>
      </w:r>
    </w:p>
    <w:p>
      <w:pPr>
        <w:pStyle w:val="TextBody"/>
        <w:bidi w:val="0"/>
        <w:spacing w:lineRule="auto" w:line="288" w:before="0" w:after="0"/>
        <w:jc w:val="center"/>
        <w:rPr/>
      </w:pPr>
      <w:r>
        <w:rPr>
          <w:rFonts w:ascii="Times New Roman;serif" w:hAnsi="Times New Roman;serif"/>
          <w:b/>
          <w:color w:val="000000"/>
          <w:sz w:val="20"/>
        </w:rPr>
        <w:t>NOTES TO UNAUDITED CONDENSED CONSOLIDATED FINANCIAL STATEMENTS</w:t>
      </w:r>
      <w:r>
        <w:rPr>
          <w:color w:val="000000"/>
        </w:rPr>
        <w:t xml:space="preserve"> </w:t>
      </w:r>
      <w:r>
        <w:rPr>
          <w:rFonts w:ascii="Times New Roman;serif" w:hAnsi="Times New Roman;serif"/>
          <w:b w:val="false"/>
          <w:color w:val="000000"/>
          <w:sz w:val="20"/>
        </w:rPr>
        <w:t>(continued)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15. New Accounting Guidance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new accounting pronouncements are issued by the Financial Accounting Standards Board (“FASB”) or other standards setting bodies that we adopt as of the specified effective date. We did not adopt any new accounting pronouncements during the three and nine months ended July 31, 2026. </w:t>
      </w:r>
    </w:p>
    <w:p>
      <w:pPr>
        <w:pStyle w:val="TextBody"/>
        <w:bidi w:val="0"/>
        <w:spacing w:lineRule="auto" w:line="288" w:before="18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Recent Accounting Standards Not Yet Adopted</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Accounting Standards Update (“ASU”) 2024-03, “Income Statement - Reporting Comprehensive Income - Expense Disaggregation Disclosures (Subtopic 220-40): Disaggregation of Income Statement Expenses,” which requires expanded disclosures of expense information, including the amounts of inventory purchases, employee compensation, depreciation and amortization within commonly presented expense captions during the period. The amendments are effective for annual reporting periods beginning after December 15, 2026, and interim periods within annual reporting periods beginning after December 15, 2027, with early adoption permitted. The amendments should be applied either (1) prospectively to financial statements issued for reporting periods after the effective date or (2) retrospectively to any or all prior periods presented in the financial statements. We are currently evaluating the potential impact of adopting this new guidance on our consolidated financial statements and related disclosures. The required disclosures as per this ASU will be first included with our annual financial statements for the year ended October 31, 2028.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This ASU is expected to result in expanded tax disclosures for our annual financial statements for the year ended October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Unless the context indicates otherwise, references to “Quanex,” the “Company,” “we,” “us,” and “our” refer to the consolidated business operations of Quanex Building Products Corporation and its subsidiaries.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495"/>
        <w:jc w:val="both"/>
        <w:rPr/>
      </w:pPr>
      <w:r>
        <w:rPr>
          <w:rFonts w:ascii="Times New Roman;serif" w:hAnsi="Times New Roman;serif"/>
          <w:b w:val="false"/>
          <w:color w:val="000000"/>
          <w:sz w:val="20"/>
        </w:rPr>
        <w:t xml:space="preserve">Certain of the statements contained in this document and in documents incorporated by reference herein, including those made under the caption </w:t>
      </w:r>
      <w:r>
        <w:rPr>
          <w:color w:val="000000"/>
        </w:rPr>
        <w:t>“</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 “forward-looking” statements as defined under the Private Securities Litigation Reform Act of 1995. Generally, the words “expect,” “believe,” “intend,” “estimate,” “anticipate,” “project,” “will,” and similar expressions identify forward-looking statements, which generally are not historical in nature. Forward-looking statements are statements as to matters that are not historical facts, and include statements about our plans, objectives, expectations and intentions, including (1) all statements which address future operating performance, (2) events or developments that we expect or anticipate will occur in the future, including statements relating to the Tyman Acquisition and statements relating to volume, sales, operating income, and earnings per share, and (3) statements expressing general outlook about future operating results. Forward-looking statements also include any statements relating to future capital expenditures, expenses, revenues, economic performance, financial conditions, dividend policy, losses, future prospects or business or management strategies, and the expansion and/or growth of the operations of the Company. Forward-looking statements are subject to certain risks and uncertainties that could cause actual results to differ materially from our historical experience and our current projections or expectations. As and when made, we believe that the assumptions and expectations reflected in such forward-looking statements are reasonable, provided, that we cannot give any assurance that such expectations will prove to be correct.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changes in foreign trade relations and associated tariffs could result in a global trade war;</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 xml:space="preserve">changes in energy costs and the availability of energy; </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impacts from public health issues on the economy, demand for our products or our operations, including the responses of governmental authorities to contain such public health issues;</w:t>
      </w:r>
    </w:p>
    <w:p>
      <w:pPr>
        <w:pStyle w:val="TextBody"/>
        <w:bidi w:val="0"/>
        <w:spacing w:lineRule="auto" w:line="288" w:before="80" w:after="40"/>
        <w:ind w:left="0" w:right="0" w:hanging="180"/>
        <w:jc w:val="both"/>
        <w:rPr/>
      </w:pPr>
      <w:r>
        <w:rPr>
          <w:color w:val="000000"/>
        </w:rPr>
        <w:t>•</w:t>
      </w:r>
      <w:r>
        <w:rPr>
          <w:rFonts w:ascii="Times New Roman;serif" w:hAnsi="Times New Roman;serif"/>
          <w:b w:val="false"/>
          <w:color w:val="000000"/>
          <w:sz w:val="20"/>
        </w:rPr>
        <w:t>our ability to continue to integrate and implement our plans, forecasts, expectations, and realize anticipated synergies with respect to the Tyman business we purchased in August 2024;</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changes in market conditio</w:t>
      </w:r>
      <w:r>
        <w:rPr>
          <w:rFonts w:ascii="Times New Roman;serif" w:hAnsi="Times New Roman;serif"/>
          <w:b w:val="false"/>
          <w:color w:val="000000"/>
          <w:sz w:val="20"/>
          <w:shd w:fill="FFFFFF" w:val="clear"/>
        </w:rPr>
        <w:t>ns, particularly in the new home construction, and residential remodeling and replacement (R&amp;R) activity markets in the United States, United Kingdom, Germany, Italy and elsewhere;</w:t>
      </w:r>
    </w:p>
    <w:p>
      <w:pPr>
        <w:pStyle w:val="TextBody"/>
        <w:bidi w:val="0"/>
        <w:spacing w:lineRule="auto" w:line="288" w:before="60" w:after="60"/>
        <w:ind w:left="0" w:right="0" w:hanging="180"/>
        <w:jc w:val="both"/>
        <w:rPr/>
      </w:pPr>
      <w:r>
        <w:rPr>
          <w:color w:val="000000"/>
          <w:shd w:fill="FFFFFF" w:val="clear"/>
        </w:rPr>
        <w:t>•</w:t>
      </w:r>
      <w:r>
        <w:rPr>
          <w:rFonts w:ascii="Times New Roman;serif" w:hAnsi="Times New Roman;serif"/>
          <w:b w:val="false"/>
          <w:color w:val="000000"/>
          <w:sz w:val="20"/>
          <w:shd w:fill="FFFFFF" w:val="clear"/>
        </w:rPr>
        <w:t>consolidations, restructurings, bankruptcies and reorganizations among our customers, distributors, suppliers and other participants in the building products manufacturing industry, and our inability to collect receivables;</w:t>
      </w:r>
    </w:p>
    <w:p>
      <w:pPr>
        <w:pStyle w:val="TextBody"/>
        <w:bidi w:val="0"/>
        <w:spacing w:lineRule="auto" w:line="288" w:before="60" w:after="60"/>
        <w:ind w:left="0" w:right="0" w:hanging="180"/>
        <w:jc w:val="both"/>
        <w:rPr/>
      </w:pPr>
      <w:r>
        <w:rPr>
          <w:color w:val="000000"/>
          <w:shd w:fill="FFFFFF" w:val="clear"/>
        </w:rPr>
        <w:t>•</w:t>
      </w:r>
      <w:r>
        <w:rPr>
          <w:rFonts w:ascii="Times New Roman;serif" w:hAnsi="Times New Roman;serif"/>
          <w:b w:val="false"/>
          <w:color w:val="000000"/>
          <w:sz w:val="20"/>
          <w:shd w:fill="FFFFFF" w:val="clear"/>
        </w:rPr>
        <w:t>changes in non-pass-through raw material costs;</w:t>
      </w:r>
    </w:p>
    <w:p>
      <w:pPr>
        <w:pStyle w:val="TextBody"/>
        <w:bidi w:val="0"/>
        <w:spacing w:lineRule="auto" w:line="288" w:before="60" w:after="60"/>
        <w:ind w:left="0" w:right="0" w:hanging="180"/>
        <w:jc w:val="both"/>
        <w:rPr/>
      </w:pPr>
      <w:r>
        <w:rPr>
          <w:color w:val="000000"/>
          <w:shd w:fill="FFFFFF" w:val="clear"/>
        </w:rPr>
        <w:t>•</w:t>
      </w:r>
      <w:r>
        <w:rPr>
          <w:rFonts w:ascii="Times New Roman;serif" w:hAnsi="Times New Roman;serif"/>
          <w:b w:val="false"/>
          <w:color w:val="000000"/>
          <w:sz w:val="20"/>
          <w:shd w:fill="FFFFFF" w:val="clear"/>
        </w:rPr>
        <w:t xml:space="preserve">changes in domestic and international economic conditions; </w:t>
      </w:r>
    </w:p>
    <w:p>
      <w:pPr>
        <w:pStyle w:val="TextBody"/>
        <w:bidi w:val="0"/>
        <w:spacing w:lineRule="auto" w:line="288" w:before="60" w:after="60"/>
        <w:ind w:left="0" w:right="0" w:hanging="180"/>
        <w:jc w:val="both"/>
        <w:rPr/>
      </w:pPr>
      <w:r>
        <w:rPr>
          <w:color w:val="000000"/>
          <w:shd w:fill="FFFFFF" w:val="clear"/>
        </w:rPr>
        <w:t>•</w:t>
      </w:r>
      <w:r>
        <w:rPr>
          <w:rFonts w:ascii="Times New Roman;serif" w:hAnsi="Times New Roman;serif"/>
          <w:b w:val="false"/>
          <w:color w:val="000000"/>
          <w:sz w:val="20"/>
          <w:shd w:fill="FFFFFF" w:val="clear"/>
        </w:rPr>
        <w:t>changes in availability and prices of raw material including inflationary pressures and supply chain challenges, which could be exacerbated by political or global unrest;</w:t>
      </w:r>
    </w:p>
    <w:p>
      <w:pPr>
        <w:pStyle w:val="TextBody"/>
        <w:bidi w:val="0"/>
        <w:spacing w:lineRule="auto" w:line="288" w:before="60" w:after="60"/>
        <w:ind w:left="0" w:right="0" w:hanging="180"/>
        <w:jc w:val="both"/>
        <w:rPr/>
      </w:pPr>
      <w:r>
        <w:rPr>
          <w:color w:val="000000"/>
          <w:shd w:fill="FFFFFF" w:val="clear"/>
        </w:rPr>
        <w:t>•</w:t>
      </w:r>
      <w:r>
        <w:rPr>
          <w:rFonts w:ascii="Times New Roman;serif" w:hAnsi="Times New Roman;serif"/>
          <w:b w:val="false"/>
          <w:color w:val="000000"/>
          <w:sz w:val="20"/>
          <w:shd w:fill="FFFFFF" w:val="clear"/>
        </w:rPr>
        <w:t>our ability to attract and retain skilled labor;</w:t>
      </w:r>
    </w:p>
    <w:p>
      <w:pPr>
        <w:pStyle w:val="TextBody"/>
        <w:bidi w:val="0"/>
        <w:spacing w:lineRule="auto" w:line="288" w:before="60" w:after="60"/>
        <w:ind w:left="0" w:right="0" w:hanging="180"/>
        <w:jc w:val="both"/>
        <w:rPr/>
      </w:pPr>
      <w:r>
        <w:rPr>
          <w:color w:val="000000"/>
          <w:shd w:fill="FFFFFF" w:val="clear"/>
        </w:rPr>
        <w:t>•</w:t>
      </w:r>
      <w:r>
        <w:rPr>
          <w:rFonts w:ascii="Times New Roman;serif" w:hAnsi="Times New Roman;serif"/>
          <w:b w:val="false"/>
          <w:color w:val="000000"/>
          <w:sz w:val="20"/>
          <w:shd w:fill="FFFFFF" w:val="clear"/>
        </w:rPr>
        <w:t>changes in purchases by our principal customers;</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our ability to maintain an effective system of internal controls;</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our ability to successfully implement our internal operating plans and acquisition strategies;</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our ability to successfully implement our plans with respect to information technology (IT) systems and processes;</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our ability to control costs and increase profitability;</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changes in environmental laws and regulations;</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changes in warranty obligations;</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changes in tax laws, and interpretations thereof;</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changes in interest rates;</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our ability to service our debt facilities and remain in good standing with our lenders;</w:t>
      </w:r>
    </w:p>
    <w:p>
      <w:pPr>
        <w:pStyle w:val="TextBody"/>
        <w:bidi w:val="0"/>
        <w:spacing w:lineRule="auto" w:line="288" w:before="0" w:after="0"/>
        <w:ind w:left="0" w:right="0" w:hanging="180"/>
        <w:jc w:val="left"/>
        <w:rPr/>
      </w:pPr>
      <w:r>
        <w:rPr>
          <w:color w:val="000000"/>
          <w:shd w:fill="FFFFFF" w:val="clear"/>
        </w:rPr>
        <w:t>•</w:t>
      </w:r>
      <w:r>
        <w:rPr>
          <w:rFonts w:ascii="Times New Roman;serif" w:hAnsi="Times New Roman;serif"/>
          <w:b w:val="false"/>
          <w:color w:val="000000"/>
          <w:sz w:val="20"/>
          <w:shd w:fill="FFFFFF" w:val="clear"/>
        </w:rPr>
        <w:t>our ability to remediate any material weakness that we have identified or may identify in the future that could result in material misstatements in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changes in the availability or applicability of our insurance coverage;</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our ability to maintain good relationships with our suppliers, subcontractors, and key customers;</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potential future impairments of goodwill or our long-lived assets; and</w:t>
      </w:r>
    </w:p>
    <w:p>
      <w:pPr>
        <w:pStyle w:val="TextBody"/>
        <w:bidi w:val="0"/>
        <w:spacing w:lineRule="auto" w:line="288" w:before="60" w:after="60"/>
        <w:ind w:left="0" w:right="0" w:hanging="180"/>
        <w:jc w:val="both"/>
        <w:rPr/>
      </w:pPr>
      <w:r>
        <w:rPr>
          <w:color w:val="000000"/>
        </w:rPr>
        <w:t>•</w:t>
      </w:r>
      <w:r>
        <w:rPr>
          <w:rFonts w:ascii="Times New Roman;serif" w:hAnsi="Times New Roman;serif"/>
          <w:b w:val="false"/>
          <w:color w:val="000000"/>
          <w:sz w:val="20"/>
        </w:rPr>
        <w:t>the resolution of litigation and other legal proceedings.</w:t>
      </w:r>
    </w:p>
    <w:p>
      <w:pPr>
        <w:pStyle w:val="TextBody"/>
        <w:bidi w:val="0"/>
        <w:spacing w:lineRule="auto" w:line="288" w:before="160" w:after="283"/>
        <w:ind w:left="0" w:right="0" w:firstLine="495"/>
        <w:jc w:val="both"/>
        <w:rPr/>
      </w:pPr>
      <w:r>
        <w:rPr>
          <w:rFonts w:ascii="Times New Roman;serif" w:hAnsi="Times New Roman;serif"/>
          <w:b w:val="false"/>
          <w:color w:val="000000"/>
          <w:sz w:val="20"/>
        </w:rPr>
        <w:t xml:space="preserve">For information on additional factors that could cause actual results to differ materially, please refer to the section entitled </w:t>
      </w:r>
      <w:r>
        <w:rPr>
          <w:color w:val="000000"/>
        </w:rPr>
        <w:t>“</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within this Form 10-Q and in our Annual Report on Form 10-K for the fiscal year ended October 31, 2025.</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About Third-Party Information</w:t>
      </w:r>
    </w:p>
    <w:p>
      <w:pPr>
        <w:pStyle w:val="TextBody"/>
        <w:bidi w:val="0"/>
        <w:spacing w:lineRule="auto" w:line="288" w:before="1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contains forward-looking statements based on our current assumptions, expectations, estimates and projections about our business and the homebuilding industry, and therefore, it should be read in conjunction with our accompanying unaudited condensed consolidated financial statements and related notes as of July 31, 2026, and for the three and nine months ended July 31, 2026 and 2025, included elsewhere herein. Actual results could differ from our expectations due to several factors which include, but are not limited to: the impact of market price and demand for our products, economic and competitive conditions, capital expenditures, new technology, regulatory changes and other uncertainties. For additional information pertaining to our business, including risk factors which should be considered before investing in our common stock, refer to our Annual Report on Form 10-K for the fiscal year ended October 31, 2025.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Our Business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leading manufacturer and component supplier to original equipment manufacturers (OEMs) in the building products industry, including window, door, solar, refrigeration, custom mixing, building access, and cabinetry markets. The majority of these components can be categorized as window and door components and kitchen and bath cabinet components. Examples of window and door components include energy-efficient flexible insulating glass spacers, extruded vinyl profiles, window and door screens, precision-formed metal and wood products, window and door seals, and window and door hardware. In addition, we provide certain other components and products, which include solar panel sealants, trim moldings, vinyl decking, water retention barriers, conservatory roof components, and commercial access solutions. We use cost-effective production processes and engineering expertise to provide our customers with specialized products for their specific applications. We believe these capabilities provide us with unique competitive advantages. We serve a primary customer base in North America and the U.K., and also serve customers in international markets through our operating locations in the U.K., Germany, Mexico, Canada, and Italy, as well as through sales and marketing efforts in other countries.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Tyman acquisition, we re-evaluated our reportable segment presentation during the third quarter of 2025 and adjusted our segment structure to better align our business operations. As a result, we now report three reportable segments: Hardware Solutions, Extruded Solutions, and Custom Solutions.</w:t>
      </w:r>
    </w:p>
    <w:p>
      <w:pPr>
        <w:pStyle w:val="TextBody"/>
        <w:bidi w:val="0"/>
        <w:spacing w:lineRule="auto" w:line="288" w:before="18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Hardware Solutions segment manufactures engineered window and door hardware, screens, and other fenestration components primarily serving the residential and light-commercial building markets. The majority of segment revenue is generated in North America, and as such, domestic housing starts and R&amp;R activity remain the primary demand drivers. Long-term secular trends, including a structural undersupply of U.S. housing, an aging housing stock, and increasing home equity, are expected to support sustained demand for window and door replacement. Internationally, the segment serves a broad customer base of OEMs and distributors across Europe and Asia, where government incentives for energy efficiency and renovation activity are expected to support steady replacement demand over the medium term.</w:t>
      </w:r>
    </w:p>
    <w:p>
      <w:pPr>
        <w:pStyle w:val="TextBody"/>
        <w:bidi w:val="0"/>
        <w:spacing w:lineRule="auto" w:line="288" w:before="18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Extruded Solutions segment manufactures insulating glass spacers, vinyl and composite profiles, and sealing solutions used in the fabrication of windows, doors, conservatories, roofs, and related building applications. This segment operates across North America and Europe, and its results are influenced by housing starts, energy-efficiency standards, and renovation activity in those regions. In the U.S., demand for insulating-glass spacers and vinyl profiles is supported by increasing adoption of high-performance window systems that improve thermal performance. In the U.K. our vinyl business serves window fabricators and distributors with a broad offering of vinyl extrusions, decking, and roofing systems. The European market continues to benefit from government-sponsored retrofit programs and EU directives targeting energy efficiency and sustainability in existing building stock.</w:t>
      </w:r>
    </w:p>
    <w:p>
      <w:pPr>
        <w:pStyle w:val="TextBody"/>
        <w:bidi w:val="0"/>
        <w:spacing w:lineRule="auto" w:line="288" w:before="18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Custom Solutions segment delivers a diverse range of engineered product solutions across wood, metal, and elastomeric materials that serve residential, commercial, and industrial end markets. The segment’s portfolio includes interior building components, specialty access systems, and custom-formulated compounds designed for highly technical applications. Demand for these products is driven by overall levels of construction and remodeling activity, as well as broader trends in manufacturing, infrastructure investment, and industrial production. The segment’s ability to offer customized, high-performance solutions tailored to specific customer requirements positions it to participate in both residential and commercial growth cycles, while providing diversification beyond traditional fenestration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each segment’s relative operating activity.</w:t>
      </w:r>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Recent Transactions and Events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monitoring evolving U.S. and global tariff and trade policies, including court decisions invalidating certain tariffs. We are assessing the potential impact of these decisions and other trade policy developments on our operations, supply chain and cost structure and continue to work with our suppliers and customers to mitigate potential impacts on our business. We are also monitoring ongoing geopolitical tensions and conflicts in various regions of the world, including the situations in Ukraine and the Middle East. These developments have contributed to volatility in crude oil prices, ocean and domestic freight costs and certain commodity costs and have extended shipping lead times on certain routes to and from the Middle East and Asia. They may also contribute to broader volatility in global markets, supply chains and foreign currency exchange rates. The extent and duration of current and potential tariff measures and geopolitical developments, and the resulting impact on general economic conditions and our operations, remain uncertain and depend on various factors, including negotiations between the U.S. and affected countries, responses by other governments, potential exemptions, and the availability and cost of alternative sources of supply.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Market Overview and Outlook</w:t>
      </w:r>
    </w:p>
    <w:p>
      <w:pPr>
        <w:pStyle w:val="TextBody"/>
        <w:bidi w:val="0"/>
        <w:spacing w:lineRule="auto" w:line="288" w:before="16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the primary drivers of our operating results continue to be North American R&amp;R and new home construction activity. In the U.K. and Continental Europe, our operating results are primarily influenced by repair, maintenance and improvement (RMI) and residential renovation activity, as well as new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R&amp;R activity, and published reports by Ducker Worldwide, LLC (Ducker), a consulting and research firm, with regard to window shipments in the U.S.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In August </w:t>
      </w:r>
      <w:r>
        <w:rPr>
          <w:rFonts w:ascii="Times New Roman;serif" w:hAnsi="Times New Roman;serif"/>
          <w:b w:val="false"/>
          <w:color w:val="000000"/>
          <w:sz w:val="18"/>
        </w:rPr>
        <w:t>2026</w:t>
      </w:r>
      <w:r>
        <w:rPr>
          <w:rFonts w:ascii="Times New Roman;serif" w:hAnsi="Times New Roman;serif"/>
          <w:b w:val="false"/>
          <w:color w:val="000000"/>
          <w:sz w:val="20"/>
        </w:rPr>
        <w:t xml:space="preserve">, the NAHB forecasted calendar-year housing starts to be approximately 1.3 million in calendar-years 2026, 2027 and 2028. In August </w:t>
      </w:r>
      <w:r>
        <w:rPr>
          <w:rFonts w:ascii="Times New Roman;serif" w:hAnsi="Times New Roman;serif"/>
          <w:b w:val="false"/>
          <w:color w:val="000000"/>
          <w:sz w:val="18"/>
        </w:rPr>
        <w:t>2026</w:t>
      </w:r>
      <w:r>
        <w:rPr>
          <w:rFonts w:ascii="Times New Roman;serif" w:hAnsi="Times New Roman;serif"/>
          <w:b w:val="false"/>
          <w:color w:val="000000"/>
          <w:sz w:val="20"/>
        </w:rPr>
        <w:t>, the Ducker forecast indicated that total window shipments are expected to decrease 4.2% in calendar-year 2026 and 1.6% in calendar-year 2027.</w:t>
      </w:r>
    </w:p>
    <w:p>
      <w:pPr>
        <w:pStyle w:val="TextBody"/>
        <w:bidi w:val="0"/>
        <w:spacing w:lineRule="auto" w:line="288" w:before="18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business is seasonal, as inclement weather during the winter months tends to slow construction and installation activity for exterior building products.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businesses in these markets, particularly our warm-edge spacer products, window and door seals and tilt ‘n’ turn micro-ventilation products.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Several commodities in our business are subject to pricing fluctuations, including polyvinyl resin (PVC), titanium dioxide (TiO2), petroleum products, stainless steel, zinc,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economy remains uncertain due to currency devaluations, political unrest, geopolitical tensions and conflicts, terror threats, and the political landscape in the U.S. These and other macro-economic factors have impacted the global financial markets, which may have contributed to significant changes in foreign currencies. We continue to monitor our exposure to changes in exchange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Three Months Ended July 31, 2026 Compared to Three Months Ended July 31, 2025</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This table sets forth our condensed consolidated results of operations for the three-month periods ended</w:t>
      </w:r>
      <w:r>
        <w:rPr>
          <w:color w:val="000000"/>
        </w:rPr>
        <w:t xml:space="preserve"> </w:t>
      </w:r>
      <w:r>
        <w:rPr>
          <w:rFonts w:ascii="Times New Roman;serif" w:hAnsi="Times New Roman;serif"/>
          <w:b w:val="false"/>
          <w:color w:val="000000"/>
          <w:sz w:val="20"/>
        </w:rPr>
        <w:t>July 31, 2026 and 2025.</w:t>
      </w:r>
    </w:p>
    <w:tbl>
      <w:tblPr>
        <w:tblW w:w="10135" w:type="dxa"/>
        <w:jc w:val="center"/>
        <w:tblInd w:w="0" w:type="dxa"/>
        <w:tblLayout w:type="fixed"/>
        <w:tblCellMar>
          <w:top w:w="28" w:type="dxa"/>
          <w:left w:w="28" w:type="dxa"/>
          <w:bottom w:w="28" w:type="dxa"/>
          <w:right w:w="28" w:type="dxa"/>
        </w:tblCellMar>
      </w:tblPr>
      <w:tblGrid>
        <w:gridCol w:w="1670"/>
        <w:gridCol w:w="1463"/>
        <w:gridCol w:w="1487"/>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299"/>
        <w:gridCol w:w="299"/>
        <w:gridCol w:w="423"/>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bl>
    <w:p>
      <w:pPr>
        <w:pStyle w:val="TextBody"/>
        <w:bidi w:val="0"/>
        <w:spacing w:lineRule="auto" w:line="288" w:before="1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period-over-period results by reportable segment follow.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Changes Related to Operating Income by Reportable Segment: </w:t>
      </w:r>
    </w:p>
    <w:p>
      <w:pPr>
        <w:pStyle w:val="TextBody"/>
        <w:bidi w:val="0"/>
        <w:spacing w:lineRule="auto" w:line="288" w:before="180" w:after="140"/>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Hardware Solutions</w:t>
      </w:r>
    </w:p>
    <w:tbl>
      <w:tblPr>
        <w:tblW w:w="10205" w:type="dxa"/>
        <w:jc w:val="center"/>
        <w:tblInd w:w="0" w:type="dxa"/>
        <w:tblLayout w:type="fixed"/>
        <w:tblCellMar>
          <w:top w:w="28" w:type="dxa"/>
          <w:left w:w="28" w:type="dxa"/>
          <w:bottom w:w="28" w:type="dxa"/>
          <w:right w:w="28" w:type="dxa"/>
        </w:tblCellMar>
      </w:tblPr>
      <w:tblGrid>
        <w:gridCol w:w="1586"/>
        <w:gridCol w:w="1380"/>
        <w:gridCol w:w="1403"/>
        <w:gridCol w:w="211"/>
        <w:gridCol w:w="826"/>
        <w:gridCol w:w="271"/>
        <w:gridCol w:w="109"/>
        <w:gridCol w:w="109"/>
        <w:gridCol w:w="109"/>
        <w:gridCol w:w="211"/>
        <w:gridCol w:w="896"/>
        <w:gridCol w:w="271"/>
        <w:gridCol w:w="109"/>
        <w:gridCol w:w="109"/>
        <w:gridCol w:w="109"/>
        <w:gridCol w:w="211"/>
        <w:gridCol w:w="826"/>
        <w:gridCol w:w="109"/>
        <w:gridCol w:w="109"/>
        <w:gridCol w:w="109"/>
        <w:gridCol w:w="109"/>
        <w:gridCol w:w="299"/>
        <w:gridCol w:w="299"/>
        <w:gridCol w:w="425"/>
      </w:tblGrid>
      <w:tr>
        <w:trPr/>
        <w:tc>
          <w:tcPr>
            <w:tcW w:w="158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r>
      <w:tr>
        <w:trPr/>
        <w:tc>
          <w:tcPr>
            <w:tcW w:w="4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4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pP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rPr>
        <w:t>N</w:t>
      </w:r>
      <w:r>
        <w:rPr>
          <w:rFonts w:ascii="Times New Roman;serif" w:hAnsi="Times New Roman;serif"/>
          <w:b w:val="false"/>
          <w:color w:val="000000"/>
          <w:sz w:val="20"/>
          <w:shd w:fill="FFFFFF" w:val="clear"/>
        </w:rPr>
        <w:t>et sales decreased $6.2 million for the three months ended July 31, 2026 compared to the same period in 2025. The decrease was primarily due to a net unfavorable impact from tariff-related activity, consisting of approximately $9.1 million of tariff-related refunds, partially offset by $0.2 million of tariff-related amounts charged. These impacts were partially offset by $3.1 million of favorable price, surcharge and raw material index adjustments.</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 xml:space="preserve">Cost of Sales. </w:t>
      </w:r>
      <w:r>
        <w:rPr>
          <w:rFonts w:ascii="Times New Roman;serif" w:hAnsi="Times New Roman;serif"/>
          <w:b w:val="false"/>
          <w:color w:val="000000"/>
          <w:sz w:val="20"/>
        </w:rPr>
        <w:t>Cost</w:t>
      </w:r>
      <w:r>
        <w:rPr>
          <w:color w:val="000000"/>
          <w:shd w:fill="FFFFFF" w:val="clear"/>
        </w:rPr>
        <w:t xml:space="preserve"> </w:t>
      </w:r>
      <w:r>
        <w:rPr>
          <w:rFonts w:ascii="Times New Roman;serif" w:hAnsi="Times New Roman;serif"/>
          <w:b w:val="false"/>
          <w:color w:val="000000"/>
          <w:sz w:val="20"/>
          <w:shd w:fill="FFFFFF" w:val="clear"/>
        </w:rPr>
        <w:t xml:space="preserve">of sales decreased $8.2 million, for the three months ended July 31, 2026 compared to the same period in 2025. </w:t>
      </w:r>
      <w:r>
        <w:rPr>
          <w:rFonts w:ascii="Times New Roman;serif" w:hAnsi="Times New Roman;serif"/>
          <w:b w:val="false"/>
          <w:color w:val="000000"/>
          <w:sz w:val="20"/>
        </w:rPr>
        <w:t xml:space="preserve">The decrease was primarily due to lower sales volume and favorable tariff-related activity, including tariff-related refunds, partially offset by higher raw material and transportation cost and increased warranty expenses. </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 xml:space="preserve">Selling, General and Administrative. </w:t>
      </w:r>
      <w:r>
        <w:rPr>
          <w:rFonts w:ascii="Times New Roman;serif" w:hAnsi="Times New Roman;serif"/>
          <w:b w:val="false"/>
          <w:i/>
          <w:color w:val="000000"/>
          <w:sz w:val="20"/>
          <w:shd w:fill="FFFFFF" w:val="clear"/>
        </w:rPr>
        <w:t>S</w:t>
      </w:r>
      <w:r>
        <w:rPr>
          <w:rFonts w:ascii="Times New Roman;serif" w:hAnsi="Times New Roman;serif"/>
          <w:b w:val="false"/>
          <w:color w:val="000000"/>
          <w:sz w:val="20"/>
          <w:shd w:fill="FFFFFF" w:val="clear"/>
        </w:rPr>
        <w:t>elling, general and administrative expenses increased $0.2 million, or 1%, for the three months ended July 31, 2026 compared to the same period in 2025. The increase is primarily due to increases in labor costs and other miscellaneous selling and general administrative costs year-over-year.</w:t>
      </w:r>
    </w:p>
    <w:p>
      <w:pPr>
        <w:pStyle w:val="TextBody"/>
        <w:bidi w:val="0"/>
        <w:spacing w:lineRule="auto" w:line="288" w:before="160" w:after="283"/>
        <w:ind w:left="0" w:right="0" w:firstLine="495"/>
        <w:jc w:val="both"/>
        <w:rPr/>
      </w:pPr>
      <w:r>
        <w:rPr>
          <w:rFonts w:ascii="Times New Roman;serif" w:hAnsi="Times New Roman;serif"/>
          <w:b w:val="false"/>
          <w:i/>
          <w:color w:val="000000"/>
          <w:sz w:val="20"/>
          <w:shd w:fill="FFFFFF" w:val="clear"/>
        </w:rPr>
        <w:t>Restructuring Charges</w:t>
      </w:r>
      <w:r>
        <w:rPr>
          <w:rFonts w:ascii="Times New Roman;serif" w:hAnsi="Times New Roman;serif"/>
          <w:b w:val="false"/>
          <w:color w:val="000000"/>
          <w:sz w:val="20"/>
          <w:shd w:fill="FFFFFF" w:val="clear"/>
        </w:rPr>
        <w:t xml:space="preserve">. Restructuring charges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rPr>
        <w:t>$1.1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100%</w:t>
      </w:r>
      <w:r>
        <w:rPr>
          <w:rFonts w:ascii="Times New Roman;serif" w:hAnsi="Times New Roman;serif"/>
          <w:b w:val="false"/>
          <w:color w:val="000000"/>
          <w:sz w:val="20"/>
          <w:shd w:fill="FFFFFF" w:val="clear"/>
        </w:rPr>
        <w:t xml:space="preserve">, for the three months ended July 31, 2026 compared to the same period in 2025. This decrease is primarily attributable to the restructuring of our operating segments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shd w:fill="FFFFFF" w:val="clear"/>
        </w:rPr>
        <w:t>fiscal 2025. For additional discussion of the restructuring, see</w:t>
      </w:r>
      <w:r>
        <w:rPr>
          <w:color w:val="000000"/>
        </w:rPr>
        <w:t xml:space="preserve"> </w:t>
      </w:r>
      <w:r>
        <w:rPr>
          <w:rFonts w:ascii="Times New Roman;serif" w:hAnsi="Times New Roman;serif"/>
          <w:b w:val="false"/>
          <w:color w:val="000000"/>
          <w:sz w:val="20"/>
        </w:rPr>
        <w:t xml:space="preserve">the “restructuring” section of Note 1, “Nature of Operations, Basis of Presentation and Significant Accounting Policies”. </w:t>
      </w:r>
    </w:p>
    <w:p>
      <w:pPr>
        <w:pStyle w:val="TextBody"/>
        <w:bidi w:val="0"/>
        <w:spacing w:lineRule="auto" w:line="288" w:before="22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Extruded Solutions</w:t>
      </w:r>
    </w:p>
    <w:tbl>
      <w:tblPr>
        <w:tblW w:w="10205" w:type="dxa"/>
        <w:jc w:val="left"/>
        <w:tblInd w:w="0" w:type="dxa"/>
        <w:tblLayout w:type="fixed"/>
        <w:tblCellMar>
          <w:top w:w="28" w:type="dxa"/>
          <w:left w:w="28" w:type="dxa"/>
          <w:bottom w:w="28" w:type="dxa"/>
          <w:right w:w="28" w:type="dxa"/>
        </w:tblCellMar>
      </w:tblPr>
      <w:tblGrid>
        <w:gridCol w:w="1645"/>
        <w:gridCol w:w="1438"/>
        <w:gridCol w:w="1462"/>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99"/>
        <w:gridCol w:w="299"/>
        <w:gridCol w:w="424"/>
      </w:tblGrid>
      <w:tr>
        <w:trPr/>
        <w:tc>
          <w:tcPr>
            <w:tcW w:w="164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pPr>
      <w:r>
        <w:rPr>
          <w:rFonts w:ascii="Times New Roman;serif" w:hAnsi="Times New Roman;serif"/>
          <w:b w:val="false"/>
          <w:i/>
          <w:color w:val="000000"/>
          <w:sz w:val="20"/>
        </w:rPr>
        <w:t>Net Sales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Net sales increased $4.9 million for the three months ended July 31, 2026 compared to the same period in 2025, primarily due to $6.0 million of favorable price, surcharge and raw material index adjustments, partially offset by $1.0 million from lower volume and $0.1 million of unfavorable foreign currency movements.</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Cost of Sales</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shd w:fill="FFFFFF" w:val="clear"/>
        </w:rPr>
        <w:t xml:space="preserve">Cost of sales </w:t>
      </w:r>
      <w:r>
        <w:rPr>
          <w:rFonts w:ascii="Times New Roman;serif" w:hAnsi="Times New Roman;serif"/>
          <w:b w:val="false"/>
          <w:color w:val="000000"/>
          <w:sz w:val="20"/>
        </w:rPr>
        <w:t>increased $4.8 million for the three months ended</w:t>
      </w:r>
      <w:r>
        <w:rPr>
          <w:color w:val="000000"/>
          <w:shd w:fill="FFFFFF" w:val="clear"/>
        </w:rPr>
        <w:t xml:space="preserve"> </w:t>
      </w:r>
      <w:r>
        <w:rPr>
          <w:rFonts w:ascii="Times New Roman;serif" w:hAnsi="Times New Roman;serif"/>
          <w:b w:val="false"/>
          <w:color w:val="000000"/>
          <w:sz w:val="20"/>
          <w:shd w:fill="FFFFFF" w:val="clear"/>
        </w:rPr>
        <w:t xml:space="preserve">July 31, 2026 compared to the same period in 2025. </w:t>
      </w:r>
      <w:r>
        <w:rPr>
          <w:rFonts w:ascii="Times New Roman;serif" w:hAnsi="Times New Roman;serif"/>
          <w:b w:val="false"/>
          <w:color w:val="000000"/>
          <w:sz w:val="20"/>
        </w:rPr>
        <w:t xml:space="preserve">The increase was primarily due to higher raw material costs, partially offset by lower sales volumes. </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Selling, General and Administrative</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shd w:fill="FFFFFF" w:val="clear"/>
        </w:rPr>
        <w:t xml:space="preserve">Selling, general and administrative expense </w:t>
      </w:r>
      <w:r>
        <w:rPr>
          <w:rFonts w:ascii="Times New Roman;serif" w:hAnsi="Times New Roman;serif"/>
          <w:b w:val="false"/>
          <w:color w:val="000000"/>
          <w:sz w:val="20"/>
        </w:rPr>
        <w:t>increased $1.5 million, or 7%, for the three months ended</w:t>
      </w:r>
      <w:r>
        <w:rPr>
          <w:color w:val="000000"/>
          <w:shd w:fill="FFFFFF" w:val="clear"/>
        </w:rPr>
        <w:t xml:space="preserve"> </w:t>
      </w:r>
      <w:r>
        <w:rPr>
          <w:rFonts w:ascii="Times New Roman;serif" w:hAnsi="Times New Roman;serif"/>
          <w:b w:val="false"/>
          <w:color w:val="000000"/>
          <w:sz w:val="20"/>
          <w:shd w:fill="FFFFFF" w:val="clear"/>
        </w:rPr>
        <w:t xml:space="preserve">July 31, 2026 </w:t>
      </w:r>
      <w:r>
        <w:rPr>
          <w:rFonts w:ascii="Times New Roman;serif" w:hAnsi="Times New Roman;serif"/>
          <w:b w:val="false"/>
          <w:color w:val="000000"/>
          <w:sz w:val="20"/>
        </w:rPr>
        <w:t>compared to</w:t>
      </w:r>
      <w:r>
        <w:rPr>
          <w:color w:val="000000"/>
          <w:shd w:fill="FFFFFF" w:val="clear"/>
        </w:rPr>
        <w:t xml:space="preserve"> </w:t>
      </w:r>
      <w:r>
        <w:rPr>
          <w:rFonts w:ascii="Times New Roman;serif" w:hAnsi="Times New Roman;serif"/>
          <w:b w:val="false"/>
          <w:color w:val="000000"/>
          <w:sz w:val="20"/>
          <w:shd w:fill="FFFFFF" w:val="clear"/>
        </w:rPr>
        <w:t>the same period in 2025. The increase is primarily due to increases in labor costs and other miscellaneous selling and general administrative costs year-over-year.</w:t>
      </w:r>
    </w:p>
    <w:p>
      <w:pPr>
        <w:pStyle w:val="TextBody"/>
        <w:bidi w:val="0"/>
        <w:spacing w:lineRule="auto" w:line="288" w:before="16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Custom Solutions</w:t>
      </w:r>
    </w:p>
    <w:tbl>
      <w:tblPr>
        <w:tblW w:w="10205" w:type="dxa"/>
        <w:jc w:val="left"/>
        <w:tblInd w:w="0" w:type="dxa"/>
        <w:tblLayout w:type="fixed"/>
        <w:tblCellMar>
          <w:top w:w="28" w:type="dxa"/>
          <w:left w:w="28" w:type="dxa"/>
          <w:bottom w:w="28" w:type="dxa"/>
          <w:right w:w="28" w:type="dxa"/>
        </w:tblCellMar>
      </w:tblPr>
      <w:tblGrid>
        <w:gridCol w:w="1645"/>
        <w:gridCol w:w="1438"/>
        <w:gridCol w:w="1462"/>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99"/>
        <w:gridCol w:w="299"/>
        <w:gridCol w:w="424"/>
      </w:tblGrid>
      <w:tr>
        <w:trPr/>
        <w:tc>
          <w:tcPr>
            <w:tcW w:w="164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pPr>
      <w:r>
        <w:rPr>
          <w:rFonts w:ascii="Times New Roman;serif" w:hAnsi="Times New Roman;serif"/>
          <w:b w:val="false"/>
          <w:i/>
          <w:color w:val="000000"/>
          <w:sz w:val="20"/>
        </w:rPr>
        <w:t>Net Sales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Net sales increased $8.7 million, or 9%, for the three months ended July 31, 2026 compared to the same period in 2025. The increase was primarily driven by $5.7 million of favorable price, surcharge and raw material index adjustments and $3.0 million from higher volume.</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Cost of Sales</w:t>
      </w:r>
      <w:r>
        <w:rPr>
          <w:rFonts w:ascii="Times New Roman;serif" w:hAnsi="Times New Roman;serif"/>
          <w:b w:val="false"/>
          <w:color w:val="000000"/>
          <w:sz w:val="20"/>
        </w:rPr>
        <w:t>. Cost of s</w:t>
      </w:r>
      <w:r>
        <w:rPr>
          <w:rFonts w:ascii="Times New Roman;serif" w:hAnsi="Times New Roman;serif"/>
          <w:b w:val="false"/>
          <w:color w:val="000000"/>
          <w:sz w:val="20"/>
          <w:shd w:fill="FFFFFF" w:val="clear"/>
        </w:rPr>
        <w:t xml:space="preserve">ales increased $8.1 million, or 10%, for the three months ended July 31, 2026 compared to the same period in 2025. </w:t>
      </w:r>
      <w:r>
        <w:rPr>
          <w:rFonts w:ascii="Times New Roman;serif" w:hAnsi="Times New Roman;serif"/>
          <w:b w:val="false"/>
          <w:color w:val="000000"/>
          <w:sz w:val="20"/>
        </w:rPr>
        <w:t xml:space="preserve">Cost of sales increased primarily due to higher sales volumes and higher costs associated with the increased level of sales. </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Selling, General and Administrative</w:t>
      </w:r>
      <w:r>
        <w:rPr>
          <w:rFonts w:ascii="Times New Roman;serif" w:hAnsi="Times New Roman;serif"/>
          <w:b w:val="false"/>
          <w:color w:val="000000"/>
          <w:sz w:val="20"/>
        </w:rPr>
        <w:t xml:space="preserve">. </w:t>
      </w:r>
      <w:r>
        <w:rPr>
          <w:rFonts w:ascii="Times New Roman;serif" w:hAnsi="Times New Roman;serif"/>
          <w:b w:val="false"/>
          <w:i/>
          <w:color w:val="000000"/>
          <w:sz w:val="20"/>
        </w:rPr>
        <w:t>S</w:t>
      </w:r>
      <w:r>
        <w:rPr>
          <w:rFonts w:ascii="Times New Roman;serif" w:hAnsi="Times New Roman;serif"/>
          <w:b w:val="false"/>
          <w:color w:val="000000"/>
          <w:sz w:val="20"/>
        </w:rPr>
        <w:t>elling, general and administrative expenses increased $1.4 million, or 12%, for the three months ended July 31, 2026 compared to</w:t>
      </w:r>
      <w:r>
        <w:rPr>
          <w:color w:val="000000"/>
          <w:shd w:fill="FFFFFF" w:val="clear"/>
        </w:rPr>
        <w:t xml:space="preserve"> </w:t>
      </w:r>
      <w:r>
        <w:rPr>
          <w:rFonts w:ascii="Times New Roman;serif" w:hAnsi="Times New Roman;serif"/>
          <w:b w:val="false"/>
          <w:color w:val="000000"/>
          <w:sz w:val="20"/>
          <w:shd w:fill="FFFFFF" w:val="clear"/>
        </w:rPr>
        <w:t>the same period in 2025. The increase is primarily due to increases in labor costs and other miscellaneous selling and general administrative costs year-over-year.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31</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Unallocated Corporate &amp; Other</w:t>
      </w:r>
    </w:p>
    <w:tbl>
      <w:tblPr>
        <w:tblW w:w="9685" w:type="dxa"/>
        <w:jc w:val="center"/>
        <w:tblInd w:w="0" w:type="dxa"/>
        <w:tblLayout w:type="fixed"/>
        <w:tblCellMar>
          <w:top w:w="28" w:type="dxa"/>
          <w:left w:w="28" w:type="dxa"/>
          <w:bottom w:w="28" w:type="dxa"/>
          <w:right w:w="28" w:type="dxa"/>
        </w:tblCellMar>
      </w:tblPr>
      <w:tblGrid>
        <w:gridCol w:w="1670"/>
        <w:gridCol w:w="1463"/>
        <w:gridCol w:w="1487"/>
        <w:gridCol w:w="211"/>
        <w:gridCol w:w="691"/>
        <w:gridCol w:w="109"/>
        <w:gridCol w:w="109"/>
        <w:gridCol w:w="109"/>
        <w:gridCol w:w="109"/>
        <w:gridCol w:w="211"/>
        <w:gridCol w:w="796"/>
        <w:gridCol w:w="109"/>
        <w:gridCol w:w="109"/>
        <w:gridCol w:w="109"/>
        <w:gridCol w:w="109"/>
        <w:gridCol w:w="211"/>
        <w:gridCol w:w="616"/>
        <w:gridCol w:w="109"/>
        <w:gridCol w:w="109"/>
        <w:gridCol w:w="109"/>
        <w:gridCol w:w="109"/>
        <w:gridCol w:w="299"/>
        <w:gridCol w:w="299"/>
        <w:gridCol w:w="423"/>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r>
    </w:tbl>
    <w:p>
      <w:pPr>
        <w:pStyle w:val="TextBody"/>
        <w:bidi w:val="0"/>
        <w:spacing w:lineRule="auto" w:line="288" w:before="120" w:after="283"/>
        <w:ind w:left="0" w:right="0" w:firstLine="495"/>
        <w:jc w:val="both"/>
        <w:rPr/>
      </w:pPr>
      <w:r>
        <w:rPr>
          <w:rFonts w:ascii="Times New Roman;serif" w:hAnsi="Times New Roman;serif"/>
          <w:b w:val="false"/>
          <w:i/>
          <w:color w:val="000000"/>
          <w:sz w:val="20"/>
        </w:rPr>
        <w:t>Net Sales</w:t>
      </w:r>
      <w:r>
        <w:rPr>
          <w:rFonts w:ascii="Times New Roman;serif" w:hAnsi="Times New Roman;serif"/>
          <w:b w:val="false"/>
          <w:color w:val="000000"/>
          <w:sz w:val="20"/>
        </w:rPr>
        <w:t xml:space="preserve">. Net sales for Unallocated Corporate &amp; Other represents the elimination of inter-segment sales for the three months ended July 31, 2026 and 2025.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Cost of Sales</w:t>
      </w:r>
      <w:r>
        <w:rPr>
          <w:rFonts w:ascii="Times New Roman;serif" w:hAnsi="Times New Roman;serif"/>
          <w:b w:val="false"/>
          <w:color w:val="000000"/>
          <w:sz w:val="20"/>
        </w:rPr>
        <w:t xml:space="preserve">. Cost of sales for Corporate &amp; Other consists of the elimination of inter-segment sales, profit in inventory, and other costs.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Selling, General and Administrative</w:t>
      </w:r>
      <w:r>
        <w:rPr>
          <w:rFonts w:ascii="Times New Roman;serif" w:hAnsi="Times New Roman;serif"/>
          <w:b w:val="false"/>
          <w:color w:val="000000"/>
          <w:sz w:val="20"/>
        </w:rPr>
        <w:t>. Sellin</w:t>
      </w:r>
      <w:r>
        <w:rPr>
          <w:rFonts w:ascii="Times New Roman;serif" w:hAnsi="Times New Roman;serif"/>
          <w:b w:val="false"/>
          <w:color w:val="000000"/>
          <w:sz w:val="20"/>
          <w:shd w:fill="FFFFFF" w:val="clear"/>
        </w:rPr>
        <w:t>g, general and administrative expenses decreased $3.6 million, or 62%, for the three months ended July 31, 2026 compared to the same peri</w:t>
      </w:r>
      <w:r>
        <w:rPr>
          <w:rFonts w:ascii="Times New Roman;serif" w:hAnsi="Times New Roman;serif"/>
          <w:b w:val="false"/>
          <w:color w:val="000000"/>
          <w:sz w:val="20"/>
        </w:rPr>
        <w:t>od in 2025. The decrease was primarily attributable to reorganization costs incurred in the prior-year period.</w:t>
      </w:r>
    </w:p>
    <w:p>
      <w:pPr>
        <w:pStyle w:val="TextBody"/>
        <w:bidi w:val="0"/>
        <w:spacing w:lineRule="auto" w:line="288" w:before="180" w:after="283"/>
        <w:ind w:left="0" w:right="0" w:firstLine="495"/>
        <w:jc w:val="both"/>
        <w:rPr/>
      </w:pPr>
      <w:r>
        <w:rPr>
          <w:rFonts w:ascii="Times New Roman;serif" w:hAnsi="Times New Roman;serif"/>
          <w:b w:val="false"/>
          <w:i/>
          <w:color w:val="000000"/>
          <w:sz w:val="20"/>
          <w:shd w:fill="FFFFFF" w:val="clear"/>
        </w:rPr>
        <w:t>Restructuring Charges.</w:t>
      </w:r>
      <w:r>
        <w:rPr>
          <w:color w:val="000000"/>
          <w:shd w:fill="FFFFFF" w:val="clear"/>
        </w:rPr>
        <w:t xml:space="preserve"> </w:t>
      </w:r>
      <w:r>
        <w:rPr>
          <w:rFonts w:ascii="Times New Roman;serif" w:hAnsi="Times New Roman;serif"/>
          <w:b w:val="false"/>
          <w:color w:val="000000"/>
          <w:sz w:val="20"/>
          <w:shd w:fill="FFFFFF" w:val="clear"/>
        </w:rPr>
        <w:t>Restructuring charges decreased 100% for the three months ended July 31, 2026 compared to the same period in 2025. This decrease is primarily attributable to the restructuring of our operating segments in fiscal 2025. For additional discussion of the restructuring, see</w:t>
      </w:r>
      <w:r>
        <w:rPr>
          <w:color w:val="000000"/>
        </w:rPr>
        <w:t xml:space="preserve"> </w:t>
      </w:r>
      <w:r>
        <w:rPr>
          <w:rFonts w:ascii="Times New Roman;serif" w:hAnsi="Times New Roman;serif"/>
          <w:b w:val="false"/>
          <w:color w:val="000000"/>
          <w:sz w:val="20"/>
        </w:rPr>
        <w:t xml:space="preserve">the “restructuring” section of Note 1, “Nature of Operations, Basis of Presentation and Significant Accounting Policies”.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Related to Non-Operating Items:</w:t>
      </w:r>
    </w:p>
    <w:p>
      <w:pPr>
        <w:pStyle w:val="TextBody"/>
        <w:bidi w:val="0"/>
        <w:spacing w:lineRule="auto" w:line="268" w:before="60" w:after="180"/>
        <w:ind w:left="0" w:right="0" w:firstLine="495"/>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Inter</w:t>
      </w:r>
      <w:r>
        <w:rPr>
          <w:rFonts w:ascii="Times New Roman;serif" w:hAnsi="Times New Roman;serif"/>
          <w:b w:val="false"/>
          <w:color w:val="000000"/>
          <w:sz w:val="20"/>
          <w:shd w:fill="FFFFFF" w:val="clear"/>
        </w:rPr>
        <w:t>est expe</w:t>
      </w:r>
      <w:r>
        <w:rPr>
          <w:rFonts w:ascii="Times New Roman;serif" w:hAnsi="Times New Roman;serif"/>
          <w:b w:val="false"/>
          <w:color w:val="000000"/>
          <w:sz w:val="20"/>
        </w:rPr>
        <w:t xml:space="preserve">nse decreased $2.2 million for the three months ended July 31, 2026 compared to the same period in 2025 primarily as a result of a decrease in borrowings outstanding during the three months ended July 31, 2026 as compared to the prior year period. </w:t>
      </w:r>
    </w:p>
    <w:p>
      <w:pPr>
        <w:pStyle w:val="TextBody"/>
        <w:bidi w:val="0"/>
        <w:spacing w:lineRule="auto" w:line="288" w:before="0" w:after="180"/>
        <w:ind w:left="0" w:right="0" w:firstLine="495"/>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We recorded an income</w:t>
      </w:r>
      <w:r>
        <w:rPr>
          <w:color w:val="000000"/>
        </w:rPr>
        <w:t xml:space="preserve"> </w:t>
      </w:r>
      <w:r>
        <w:rPr>
          <w:rFonts w:ascii="Times New Roman;serif" w:hAnsi="Times New Roman;serif"/>
          <w:b w:val="false"/>
          <w:color w:val="000000"/>
          <w:sz w:val="20"/>
        </w:rPr>
        <w:t>tax expense of $7.9 million on pre-tax income of $34.4 million for the three months ended July 31, 2026, an effective rate of 23.0%, and income tax benefit of $8.2 million on pre-tax loss of $284.2 million for the three months ended July 31, 2025, an effective rate of 2.9%. The increase in the effective tax rate compared to the prior year was primarily driven by the absence of the impairment which occurred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Nine Months Ended July 31, 2026 Compared to Nine Months Ended July 31, 2025 </w:t>
      </w:r>
    </w:p>
    <w:tbl>
      <w:tblPr>
        <w:tblW w:w="10205" w:type="dxa"/>
        <w:jc w:val="center"/>
        <w:tblInd w:w="0" w:type="dxa"/>
        <w:tblLayout w:type="fixed"/>
        <w:tblCellMar>
          <w:top w:w="28" w:type="dxa"/>
          <w:left w:w="28" w:type="dxa"/>
          <w:bottom w:w="28" w:type="dxa"/>
          <w:right w:w="28" w:type="dxa"/>
        </w:tblCellMar>
      </w:tblPr>
      <w:tblGrid>
        <w:gridCol w:w="1617"/>
        <w:gridCol w:w="1411"/>
        <w:gridCol w:w="1435"/>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99"/>
        <w:gridCol w:w="299"/>
        <w:gridCol w:w="425"/>
      </w:tblGrid>
      <w:tr>
        <w:trPr/>
        <w:tc>
          <w:tcPr>
            <w:tcW w:w="161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July 31,</w:t>
            </w:r>
          </w:p>
        </w:tc>
      </w:tr>
      <w:tr>
        <w:trPr/>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w:t>
            </w:r>
          </w:p>
        </w:tc>
      </w:tr>
      <w:tr>
        <w:trPr/>
        <w:tc>
          <w:tcPr>
            <w:tcW w:w="446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446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bl>
    <w:p>
      <w:pPr>
        <w:pStyle w:val="TextBody"/>
        <w:bidi w:val="0"/>
        <w:spacing w:lineRule="auto" w:line="288" w:before="1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period-over-period results by reportable segment follow.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Changes Related to Operating Income by Reportable Segment: </w:t>
      </w:r>
    </w:p>
    <w:p>
      <w:pPr>
        <w:pStyle w:val="TextBody"/>
        <w:bidi w:val="0"/>
        <w:spacing w:lineRule="auto" w:line="288" w:before="180" w:after="140"/>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Hardware Solutions</w:t>
      </w:r>
    </w:p>
    <w:tbl>
      <w:tblPr>
        <w:tblW w:w="10205" w:type="dxa"/>
        <w:jc w:val="center"/>
        <w:tblInd w:w="0" w:type="dxa"/>
        <w:tblLayout w:type="fixed"/>
        <w:tblCellMar>
          <w:top w:w="28" w:type="dxa"/>
          <w:left w:w="28" w:type="dxa"/>
          <w:bottom w:w="28" w:type="dxa"/>
          <w:right w:w="28" w:type="dxa"/>
        </w:tblCellMar>
      </w:tblPr>
      <w:tblGrid>
        <w:gridCol w:w="1620"/>
        <w:gridCol w:w="1414"/>
        <w:gridCol w:w="1437"/>
        <w:gridCol w:w="211"/>
        <w:gridCol w:w="826"/>
        <w:gridCol w:w="271"/>
        <w:gridCol w:w="109"/>
        <w:gridCol w:w="109"/>
        <w:gridCol w:w="109"/>
        <w:gridCol w:w="211"/>
        <w:gridCol w:w="898"/>
        <w:gridCol w:w="271"/>
        <w:gridCol w:w="109"/>
        <w:gridCol w:w="109"/>
        <w:gridCol w:w="109"/>
        <w:gridCol w:w="211"/>
        <w:gridCol w:w="826"/>
        <w:gridCol w:w="109"/>
        <w:gridCol w:w="109"/>
        <w:gridCol w:w="109"/>
        <w:gridCol w:w="109"/>
        <w:gridCol w:w="268"/>
        <w:gridCol w:w="268"/>
        <w:gridCol w:w="383"/>
      </w:tblGrid>
      <w:tr>
        <w:trPr/>
        <w:tc>
          <w:tcPr>
            <w:tcW w:w="1620"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4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July 31,</w:t>
            </w:r>
          </w:p>
        </w:tc>
      </w:tr>
      <w:tr>
        <w:trPr/>
        <w:tc>
          <w:tcPr>
            <w:tcW w:w="4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Variance</w:t>
            </w:r>
          </w:p>
        </w:tc>
      </w:tr>
      <w:tr>
        <w:trPr/>
        <w:tc>
          <w:tcPr>
            <w:tcW w:w="4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pP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shd w:fill="FFFFFF" w:val="clear"/>
        </w:rPr>
        <w:t>Net sales decreased $1.7 million, for the nine months en</w:t>
      </w:r>
      <w:r>
        <w:rPr>
          <w:rFonts w:ascii="Times New Roman;serif" w:hAnsi="Times New Roman;serif"/>
          <w:b w:val="false"/>
          <w:color w:val="000000"/>
          <w:sz w:val="20"/>
        </w:rPr>
        <w:t>ded July 31, 2026 compared to the same period in 2025, primarily due to a $10.7 million unfavorable impact from lower volume and a $1.7 million net unfavorable impact from tariff-related activity, consisting of $9.1 million of tariff-related refunds, partially offset by $7.4 million of tariff-related amounts charged. These impacts were partially offset by $6.5 million of favorable foreign currency movements and $4.2 million of favorable price, surcharge and raw material index adjustments.</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Cost of Sales. C</w:t>
      </w:r>
      <w:r>
        <w:rPr>
          <w:rFonts w:ascii="Times New Roman;serif" w:hAnsi="Times New Roman;serif"/>
          <w:b w:val="false"/>
          <w:color w:val="000000"/>
          <w:sz w:val="20"/>
          <w:shd w:fill="FFFFFF" w:val="clear"/>
        </w:rPr>
        <w:t xml:space="preserve">ost of sales increased $8.6 million, or 2%, for the nine months ended July 31, 2026 as compared to the same period in 2025. </w:t>
      </w:r>
      <w:r>
        <w:rPr>
          <w:rFonts w:ascii="Times New Roman;serif" w:hAnsi="Times New Roman;serif"/>
          <w:b w:val="false"/>
          <w:color w:val="000000"/>
          <w:sz w:val="20"/>
        </w:rPr>
        <w:t>The increase was primarily due to tariff-related impacts, foreign currency movements and higher transportation and raw material costs, partially offset by tariff-related refunds and lower costs associated with reduced sales volumes.</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 xml:space="preserve">Selling, General and Administrative. </w:t>
      </w:r>
      <w:r>
        <w:rPr>
          <w:rFonts w:ascii="Times New Roman;serif" w:hAnsi="Times New Roman;serif"/>
          <w:b w:val="false"/>
          <w:i/>
          <w:color w:val="000000"/>
          <w:sz w:val="20"/>
          <w:shd w:fill="FFFFFF" w:val="clear"/>
        </w:rPr>
        <w:t>S</w:t>
      </w:r>
      <w:r>
        <w:rPr>
          <w:rFonts w:ascii="Times New Roman;serif" w:hAnsi="Times New Roman;serif"/>
          <w:b w:val="false"/>
          <w:color w:val="000000"/>
          <w:sz w:val="20"/>
          <w:shd w:fill="FFFFFF" w:val="clear"/>
        </w:rPr>
        <w:t>elling, general and administrative expenses increased $4.5 million, or 5%, for the nine months ended July 31, 2026 as compared to the same peri</w:t>
      </w:r>
      <w:r>
        <w:rPr>
          <w:rFonts w:ascii="Times New Roman;serif" w:hAnsi="Times New Roman;serif"/>
          <w:b w:val="false"/>
          <w:color w:val="000000"/>
          <w:sz w:val="20"/>
        </w:rPr>
        <w:t>od in 2025. The increase is primarily due to increases in labor costs and other miscellaneous selling and general administrative costs year-over-year.</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Restructuring Charges</w:t>
      </w:r>
      <w:r>
        <w:rPr>
          <w:rFonts w:ascii="Times New Roman;serif" w:hAnsi="Times New Roman;serif"/>
          <w:b w:val="false"/>
          <w:color w:val="000000"/>
          <w:sz w:val="20"/>
        </w:rPr>
        <w:t>. Restructuring charges decreased $8.2 million, or 100%, for the nine month</w:t>
      </w:r>
      <w:r>
        <w:rPr>
          <w:rFonts w:ascii="Times New Roman;serif" w:hAnsi="Times New Roman;serif"/>
          <w:b w:val="false"/>
          <w:color w:val="000000"/>
          <w:sz w:val="20"/>
          <w:shd w:fill="FFFFFF" w:val="clear"/>
        </w:rPr>
        <w:t>s ended July 31, 2026 compared to the same period in 2025. This decrease is primarily attributable to the restructuring of our operating segments in fiscal 2025. For additional discussion of the restructuring, see</w:t>
      </w:r>
      <w:r>
        <w:rPr>
          <w:color w:val="000000"/>
        </w:rPr>
        <w:t xml:space="preserve"> </w:t>
      </w:r>
      <w:r>
        <w:rPr>
          <w:rFonts w:ascii="Times New Roman;serif" w:hAnsi="Times New Roman;serif"/>
          <w:b w:val="false"/>
          <w:color w:val="000000"/>
          <w:sz w:val="20"/>
        </w:rPr>
        <w:t xml:space="preserve">the “restructuring” section of Note 1, “Nature of Operations, Basis of Presentation and Significant Accounting Policies”. </w:t>
      </w:r>
    </w:p>
    <w:p>
      <w:pPr>
        <w:pStyle w:val="TextBody"/>
        <w:bidi w:val="0"/>
        <w:spacing w:lineRule="auto" w:line="288" w:before="22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Extruded Solutions</w:t>
      </w:r>
    </w:p>
    <w:tbl>
      <w:tblPr>
        <w:tblW w:w="10174" w:type="dxa"/>
        <w:jc w:val="left"/>
        <w:tblInd w:w="0" w:type="dxa"/>
        <w:tblLayout w:type="fixed"/>
        <w:tblCellMar>
          <w:top w:w="28" w:type="dxa"/>
          <w:left w:w="28" w:type="dxa"/>
          <w:bottom w:w="28" w:type="dxa"/>
          <w:right w:w="28" w:type="dxa"/>
        </w:tblCellMar>
      </w:tblPr>
      <w:tblGrid>
        <w:gridCol w:w="1670"/>
        <w:gridCol w:w="1463"/>
        <w:gridCol w:w="148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68"/>
        <w:gridCol w:w="268"/>
        <w:gridCol w:w="380"/>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July 31,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Variance</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pP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shd w:fill="FFFFFF" w:val="clear"/>
        </w:rPr>
        <w:t xml:space="preserve">Net sales </w:t>
      </w:r>
      <w:r>
        <w:rPr>
          <w:rFonts w:ascii="Times New Roman;serif" w:hAnsi="Times New Roman;serif"/>
          <w:b w:val="false"/>
          <w:color w:val="000000"/>
          <w:sz w:val="20"/>
        </w:rPr>
        <w:t xml:space="preserve">increased $6.0 million, or 1%, </w:t>
      </w:r>
      <w:r>
        <w:rPr>
          <w:rFonts w:ascii="Times New Roman;serif" w:hAnsi="Times New Roman;serif"/>
          <w:b w:val="false"/>
          <w:color w:val="000000"/>
          <w:sz w:val="20"/>
          <w:shd w:fill="FFFFFF" w:val="clear"/>
        </w:rPr>
        <w:t xml:space="preserve">for the nine months ended July 31, 2026 compared to the same period in 2025, </w:t>
      </w:r>
      <w:r>
        <w:rPr>
          <w:rFonts w:ascii="Times New Roman;serif" w:hAnsi="Times New Roman;serif"/>
          <w:b w:val="false"/>
          <w:color w:val="000000"/>
          <w:sz w:val="20"/>
        </w:rPr>
        <w:t>primarily due to $8.3 million of favorable foreign currency movements and $8.3 million of favorable price, surcharge and raw material index adjustments, partially offset by $10.6 million from lower volume.</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Cost of Sales.</w:t>
      </w:r>
      <w:r>
        <w:rPr>
          <w:color w:val="000000"/>
          <w:shd w:fill="FFFFFF" w:val="clear"/>
        </w:rPr>
        <w:t xml:space="preserve"> </w:t>
      </w:r>
      <w:r>
        <w:rPr>
          <w:rFonts w:ascii="Times New Roman;serif" w:hAnsi="Times New Roman;serif"/>
          <w:b w:val="false"/>
          <w:color w:val="000000"/>
          <w:sz w:val="20"/>
          <w:shd w:fill="FFFFFF" w:val="clear"/>
        </w:rPr>
        <w:t xml:space="preserve">Cost of sales increased $6.1 million, or 2%, for the nine months ended July 31, 2026 compared to the same period in 2025. </w:t>
      </w:r>
      <w:r>
        <w:rPr>
          <w:rFonts w:ascii="Times New Roman;serif" w:hAnsi="Times New Roman;serif"/>
          <w:b w:val="false"/>
          <w:color w:val="000000"/>
          <w:sz w:val="20"/>
        </w:rPr>
        <w:t>The increase was primarily due to foreign currency translation movements and higher raw material costs, partially offset by lower costs associated with reduced sales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495"/>
        <w:jc w:val="both"/>
        <w:rPr/>
      </w:pPr>
      <w:r>
        <w:rPr>
          <w:rFonts w:ascii="Times New Roman;serif" w:hAnsi="Times New Roman;serif"/>
          <w:b w:val="false"/>
          <w:i/>
          <w:color w:val="000000"/>
          <w:sz w:val="20"/>
        </w:rPr>
        <w:t>Selling, General and Administrative.</w:t>
      </w:r>
      <w:r>
        <w:rPr>
          <w:color w:val="000000"/>
          <w:shd w:fill="FFFFFF" w:val="clear"/>
        </w:rPr>
        <w:t xml:space="preserve"> </w:t>
      </w:r>
      <w:r>
        <w:rPr>
          <w:rFonts w:ascii="Times New Roman;serif" w:hAnsi="Times New Roman;serif"/>
          <w:b w:val="false"/>
          <w:color w:val="000000"/>
          <w:sz w:val="20"/>
          <w:shd w:fill="FFFFFF" w:val="clear"/>
        </w:rPr>
        <w:t>Selling, general and administrative expense increased $4.2 million, or 7%, for the nine months ended July 31, 2026 compared to the same period in 2025. The increase is primarily due to increases in labor costs and other miscellaneous selling and general administrative costs year-over-year.</w:t>
      </w:r>
    </w:p>
    <w:p>
      <w:pPr>
        <w:pStyle w:val="TextBody"/>
        <w:bidi w:val="0"/>
        <w:spacing w:lineRule="auto" w:line="288" w:before="22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Custom Solutions</w:t>
      </w:r>
    </w:p>
    <w:tbl>
      <w:tblPr>
        <w:tblW w:w="10174" w:type="dxa"/>
        <w:jc w:val="left"/>
        <w:tblInd w:w="0" w:type="dxa"/>
        <w:tblLayout w:type="fixed"/>
        <w:tblCellMar>
          <w:top w:w="28" w:type="dxa"/>
          <w:left w:w="28" w:type="dxa"/>
          <w:bottom w:w="28" w:type="dxa"/>
          <w:right w:w="28" w:type="dxa"/>
        </w:tblCellMar>
      </w:tblPr>
      <w:tblGrid>
        <w:gridCol w:w="1670"/>
        <w:gridCol w:w="1463"/>
        <w:gridCol w:w="148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68"/>
        <w:gridCol w:w="268"/>
        <w:gridCol w:w="380"/>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July 31,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Variance</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pPr>
      <w:r>
        <w:rPr>
          <w:rFonts w:ascii="Times New Roman;serif" w:hAnsi="Times New Roman;serif"/>
          <w:b w:val="false"/>
          <w:i/>
          <w:color w:val="000000"/>
          <w:sz w:val="20"/>
        </w:rPr>
        <w:t>Net Sales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Net sales increased $19.3 million, or 7%, for the nine months ended July 31, 2026 compared to the same period in </w:t>
      </w:r>
      <w:r>
        <w:rPr>
          <w:rFonts w:ascii="Times New Roman;serif" w:hAnsi="Times New Roman;serif"/>
          <w:b w:val="false"/>
          <w:color w:val="000000"/>
          <w:sz w:val="20"/>
        </w:rPr>
        <w:t>2025, primarily due to $12.7 million of favorable price, surcharge and raw material index adjustments, $5.5 million from higher volume, a $0.7 million favorable tariff-related impact and $0.3 million of favorable foreign currency movements.</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Cost of Sales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Cost of sales increased $16.5 million, or 8%, for the nine months ended July 31, 2026 compared with the same period in 2025. </w:t>
      </w:r>
      <w:r>
        <w:rPr>
          <w:rFonts w:ascii="Times New Roman;serif" w:hAnsi="Times New Roman;serif"/>
          <w:b w:val="false"/>
          <w:color w:val="000000"/>
          <w:sz w:val="20"/>
        </w:rPr>
        <w:t>Cost of sales increased primarily due to higher sales volumes and higher costs associated with the increased level of sales, as well as tariff-related and foreign currency impacts.</w:t>
      </w:r>
    </w:p>
    <w:p>
      <w:pPr>
        <w:pStyle w:val="TextBody"/>
        <w:bidi w:val="0"/>
        <w:spacing w:lineRule="auto" w:line="288" w:before="160" w:after="283"/>
        <w:ind w:left="0" w:right="0" w:firstLine="495"/>
        <w:jc w:val="both"/>
        <w:rPr/>
      </w:pPr>
      <w:r>
        <w:rPr>
          <w:rFonts w:ascii="Times New Roman;serif" w:hAnsi="Times New Roman;serif"/>
          <w:b w:val="false"/>
          <w:i/>
          <w:color w:val="000000"/>
          <w:sz w:val="20"/>
        </w:rPr>
        <w:t>Selling, General and Administrative</w:t>
      </w:r>
      <w:r>
        <w:rPr>
          <w:rFonts w:ascii="Times New Roman;serif" w:hAnsi="Times New Roman;serif"/>
          <w:b w:val="false"/>
          <w:color w:val="000000"/>
          <w:sz w:val="20"/>
        </w:rPr>
        <w:t>. S</w:t>
      </w:r>
      <w:r>
        <w:rPr>
          <w:rFonts w:ascii="Times New Roman;serif" w:hAnsi="Times New Roman;serif"/>
          <w:b w:val="false"/>
          <w:color w:val="000000"/>
          <w:sz w:val="20"/>
          <w:shd w:fill="FFFFFF" w:val="clear"/>
        </w:rPr>
        <w:t xml:space="preserve">elling, general and administrative expense increased $6.0 million, or 18%, for the nine months ended July 31, 2026 compared to the same period in </w:t>
      </w:r>
      <w:r>
        <w:rPr>
          <w:rFonts w:ascii="Times New Roman;serif" w:hAnsi="Times New Roman;serif"/>
          <w:b w:val="false"/>
          <w:color w:val="000000"/>
          <w:sz w:val="20"/>
        </w:rPr>
        <w:t>2025. The increase is primarily due to increases in labor costs and other miscellaneous selling and general administrative costs year-over-year.</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Unallocated Corporate &amp; Other</w:t>
      </w:r>
    </w:p>
    <w:tbl>
      <w:tblPr>
        <w:tblW w:w="9790" w:type="dxa"/>
        <w:jc w:val="center"/>
        <w:tblInd w:w="0" w:type="dxa"/>
        <w:tblLayout w:type="fixed"/>
        <w:tblCellMar>
          <w:top w:w="28" w:type="dxa"/>
          <w:left w:w="28" w:type="dxa"/>
          <w:bottom w:w="28" w:type="dxa"/>
          <w:right w:w="28" w:type="dxa"/>
        </w:tblCellMar>
      </w:tblPr>
      <w:tblGrid>
        <w:gridCol w:w="1670"/>
        <w:gridCol w:w="1463"/>
        <w:gridCol w:w="1487"/>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268"/>
        <w:gridCol w:w="268"/>
        <w:gridCol w:w="380"/>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July 31,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Variance</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bl>
    <w:p>
      <w:pPr>
        <w:pStyle w:val="TextBody"/>
        <w:bidi w:val="0"/>
        <w:spacing w:lineRule="auto" w:line="288" w:before="120" w:after="283"/>
        <w:ind w:left="0" w:right="0" w:firstLine="495"/>
        <w:jc w:val="both"/>
        <w:rPr/>
      </w:pPr>
      <w:r>
        <w:rPr>
          <w:rFonts w:ascii="Times New Roman;serif" w:hAnsi="Times New Roman;serif"/>
          <w:b w:val="false"/>
          <w:i/>
          <w:color w:val="000000"/>
          <w:sz w:val="20"/>
        </w:rPr>
        <w:t>Net Sales</w:t>
      </w:r>
      <w:r>
        <w:rPr>
          <w:rFonts w:ascii="Times New Roman;serif" w:hAnsi="Times New Roman;serif"/>
          <w:b w:val="false"/>
          <w:color w:val="000000"/>
          <w:sz w:val="20"/>
        </w:rPr>
        <w:t xml:space="preserve">. Net sales for Unallocated Corporate &amp; Other represents the elimination of inter-segment sales for the nine months ended July 31, 2026 and 2025.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Cost of Sales</w:t>
      </w:r>
      <w:r>
        <w:rPr>
          <w:rFonts w:ascii="Times New Roman;serif" w:hAnsi="Times New Roman;serif"/>
          <w:b w:val="false"/>
          <w:color w:val="000000"/>
          <w:sz w:val="20"/>
        </w:rPr>
        <w:t xml:space="preserve">. Cost of sales for Unallocated Corporate &amp; Other consists of the elimination of inter-segment sales, profit in inventory, and other costs.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Selling, General and Administrative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Selling, general and administrative expenses decreased $6.3 million, or 43%, for the nine months ended July 31, 2026 compared to the same period in 2025. </w:t>
      </w:r>
      <w:r>
        <w:rPr>
          <w:rFonts w:ascii="Times New Roman;serif" w:hAnsi="Times New Roman;serif"/>
          <w:b w:val="false"/>
          <w:color w:val="000000"/>
          <w:sz w:val="20"/>
        </w:rPr>
        <w:t>This decrease is primarily attributable to a decrease in reorganization costs incurred in the prior year period.</w:t>
      </w:r>
    </w:p>
    <w:p>
      <w:pPr>
        <w:pStyle w:val="TextBody"/>
        <w:bidi w:val="0"/>
        <w:spacing w:lineRule="auto" w:line="288" w:before="160" w:after="283"/>
        <w:ind w:left="0" w:right="0" w:firstLine="495"/>
        <w:jc w:val="both"/>
        <w:rPr/>
      </w:pPr>
      <w:r>
        <w:rPr>
          <w:rFonts w:ascii="Times New Roman;serif" w:hAnsi="Times New Roman;serif"/>
          <w:b w:val="false"/>
          <w:i/>
          <w:color w:val="000000"/>
          <w:sz w:val="20"/>
          <w:shd w:fill="FFFFFF" w:val="clear"/>
        </w:rPr>
        <w:t>Restructuring Charges</w:t>
      </w:r>
      <w:r>
        <w:rPr>
          <w:rFonts w:ascii="Times New Roman;serif" w:hAnsi="Times New Roman;serif"/>
          <w:b w:val="false"/>
          <w:color w:val="000000"/>
          <w:sz w:val="20"/>
          <w:shd w:fill="FFFFFF" w:val="clear"/>
        </w:rPr>
        <w:t xml:space="preserve">. Restructuring charges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rPr>
        <w:t>$2.0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100%</w:t>
      </w:r>
      <w:r>
        <w:rPr>
          <w:rFonts w:ascii="Times New Roman;serif" w:hAnsi="Times New Roman;serif"/>
          <w:b w:val="false"/>
          <w:color w:val="000000"/>
          <w:sz w:val="20"/>
          <w:shd w:fill="FFFFFF" w:val="clear"/>
        </w:rPr>
        <w:t>, for the nine months ended July 31, 2026 compared to the same period in 2025. This decrease is primarily attributable to the restructuring of our operating segments in fiscal 2025. For additional discussion of the restructuring, see</w:t>
      </w:r>
      <w:r>
        <w:rPr>
          <w:color w:val="000000"/>
        </w:rPr>
        <w:t xml:space="preserve"> </w:t>
      </w:r>
      <w:r>
        <w:rPr>
          <w:rFonts w:ascii="Times New Roman;serif" w:hAnsi="Times New Roman;serif"/>
          <w:b w:val="false"/>
          <w:color w:val="000000"/>
          <w:sz w:val="20"/>
        </w:rPr>
        <w:t xml:space="preserve">the “restructuring” section of Note 1, “Nature of Operations, Basis of Presentation and Significant Accounting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34</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417"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related to Non-Operating Items:</w:t>
      </w:r>
    </w:p>
    <w:p>
      <w:pPr>
        <w:pStyle w:val="TextBody"/>
        <w:bidi w:val="0"/>
        <w:spacing w:lineRule="auto" w:line="268" w:before="60" w:after="180"/>
        <w:ind w:left="0" w:right="0" w:firstLine="495"/>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Intere</w:t>
      </w:r>
      <w:r>
        <w:rPr>
          <w:rFonts w:ascii="Times New Roman;serif" w:hAnsi="Times New Roman;serif"/>
          <w:b w:val="false"/>
          <w:color w:val="000000"/>
          <w:sz w:val="20"/>
        </w:rPr>
        <w:t xml:space="preserve">st expense decreased $6.0 million for the nine months ended July 31, 2026 compared to the same period in 2025 primarily as a result of lower borrowings outstanding during the nine months ended July 31, 2026 as compared to the prior year period. </w:t>
      </w:r>
    </w:p>
    <w:p>
      <w:pPr>
        <w:pStyle w:val="TextBody"/>
        <w:bidi w:val="0"/>
        <w:spacing w:lineRule="auto" w:line="268" w:before="60" w:after="180"/>
        <w:ind w:left="0" w:right="0" w:firstLine="495"/>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We recorded income tax expense of $11.9 million on pre-tax income of $37.6 million for the nine months ended July 31, 2026, an effective rate of 31.5%, and income tax benefit of $6.9 million on a pre-tax loss of $277.3 million for the nine months ended July 31, 2025, an effective rate of 2.5%. </w:t>
      </w:r>
      <w:r>
        <w:rPr>
          <w:rFonts w:ascii="Times New Roman;serif" w:hAnsi="Times New Roman;serif"/>
          <w:b w:val="false"/>
          <w:color w:val="000000"/>
          <w:sz w:val="20"/>
        </w:rPr>
        <w:t>The increase in the effective tax rate year-over-year was primarily driven by $3.2 million of discrete items including equity-based compensation award activity, state deferred tax remeasurement from legal entity reorganization activities, changes in reserves for uncertain tax positions, as well as the absence of the impairment which occurred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Overview </w:t>
      </w:r>
    </w:p>
    <w:p>
      <w:pPr>
        <w:pStyle w:val="TextBody"/>
        <w:bidi w:val="0"/>
        <w:spacing w:lineRule="auto" w:line="288" w:before="160" w:after="283"/>
        <w:ind w:left="0" w:right="0" w:firstLine="450"/>
        <w:jc w:val="both"/>
        <w:rPr/>
      </w:pPr>
      <w:r>
        <w:rPr>
          <w:rFonts w:ascii="Times New Roman;serif" w:hAnsi="Times New Roman;serif"/>
          <w:b w:val="false"/>
          <w:color w:val="000000"/>
          <w:sz w:val="20"/>
          <w:shd w:fill="FFFFFF" w:val="clear"/>
        </w:rPr>
        <w:t>Historic</w:t>
      </w:r>
      <w:r>
        <w:rPr>
          <w:rFonts w:ascii="Times New Roman;serif" w:hAnsi="Times New Roman;serif"/>
          <w:b w:val="false"/>
          <w:color w:val="000000"/>
          <w:sz w:val="20"/>
        </w:rPr>
        <w:t>ally, our principal sources of funds have been cash on hand, cash flow from operations, and borrowings under our credit facilities. As of July 31, 2026, we had</w:t>
      </w:r>
      <w:r>
        <w:rPr>
          <w:color w:val="000000"/>
          <w:shd w:fill="FFFFFF" w:val="clear"/>
        </w:rPr>
        <w:t xml:space="preserve"> </w:t>
      </w:r>
      <w:r>
        <w:rPr>
          <w:rFonts w:ascii="Times New Roman;serif" w:hAnsi="Times New Roman;serif"/>
          <w:b w:val="false"/>
          <w:color w:val="000000"/>
          <w:sz w:val="20"/>
        </w:rPr>
        <w:t>$62.1 million</w:t>
      </w:r>
      <w:r>
        <w:rPr>
          <w:color w:val="000000"/>
          <w:shd w:fill="FFFFFF" w:val="clear"/>
        </w:rPr>
        <w:t xml:space="preserve"> </w:t>
      </w:r>
      <w:r>
        <w:rPr>
          <w:rFonts w:ascii="Times New Roman;serif" w:hAnsi="Times New Roman;serif"/>
          <w:b w:val="false"/>
          <w:color w:val="000000"/>
          <w:sz w:val="20"/>
          <w:shd w:fill="FFFFFF" w:val="clear"/>
        </w:rPr>
        <w:t xml:space="preserve">of cash and equivalents, </w:t>
      </w:r>
      <w:r>
        <w:rPr>
          <w:rFonts w:ascii="Times New Roman;serif" w:hAnsi="Times New Roman;serif"/>
          <w:b w:val="false"/>
          <w:color w:val="000000"/>
          <w:sz w:val="20"/>
        </w:rPr>
        <w:t>$618.5 million</w:t>
      </w:r>
      <w:r>
        <w:rPr>
          <w:color w:val="000000"/>
          <w:shd w:fill="FFFFFF" w:val="clear"/>
        </w:rPr>
        <w:t xml:space="preserve"> </w:t>
      </w:r>
      <w:r>
        <w:rPr>
          <w:rFonts w:ascii="Times New Roman;serif" w:hAnsi="Times New Roman;serif"/>
          <w:b w:val="false"/>
          <w:color w:val="000000"/>
          <w:sz w:val="20"/>
          <w:shd w:fill="FFFFFF" w:val="clear"/>
        </w:rPr>
        <w:t xml:space="preserve">outstanding under the Facilities, </w:t>
      </w:r>
      <w:r>
        <w:rPr>
          <w:rFonts w:ascii="Times New Roman;serif" w:hAnsi="Times New Roman;serif"/>
          <w:b w:val="false"/>
          <w:color w:val="000000"/>
          <w:sz w:val="20"/>
        </w:rPr>
        <w:t>$5.5 million</w:t>
      </w:r>
      <w:r>
        <w:rPr>
          <w:color w:val="000000"/>
          <w:shd w:fill="FFFFFF" w:val="clear"/>
        </w:rPr>
        <w:t xml:space="preserve"> </w:t>
      </w:r>
      <w:r>
        <w:rPr>
          <w:rFonts w:ascii="Times New Roman;serif" w:hAnsi="Times New Roman;serif"/>
          <w:b w:val="false"/>
          <w:color w:val="000000"/>
          <w:sz w:val="20"/>
          <w:shd w:fill="FFFFFF" w:val="clear"/>
        </w:rPr>
        <w:t xml:space="preserve">of outstanding letters of credit, and </w:t>
      </w:r>
      <w:r>
        <w:rPr>
          <w:rFonts w:ascii="Times New Roman;serif" w:hAnsi="Times New Roman;serif"/>
          <w:b w:val="false"/>
          <w:color w:val="000000"/>
          <w:sz w:val="20"/>
        </w:rPr>
        <w:t>$53.7 million</w:t>
      </w:r>
      <w:r>
        <w:rPr>
          <w:color w:val="000000"/>
          <w:shd w:fill="FFFFFF" w:val="clear"/>
        </w:rPr>
        <w:t xml:space="preserve"> </w:t>
      </w:r>
      <w:r>
        <w:rPr>
          <w:rFonts w:ascii="Times New Roman;serif" w:hAnsi="Times New Roman;serif"/>
          <w:b w:val="false"/>
          <w:color w:val="000000"/>
          <w:sz w:val="20"/>
          <w:shd w:fill="FFFFFF" w:val="clear"/>
        </w:rPr>
        <w:t xml:space="preserve">outstanding under finance leases and other debt. Of the $53.7 million </w:t>
      </w:r>
      <w:r>
        <w:rPr>
          <w:rFonts w:ascii="Times New Roman;serif" w:hAnsi="Times New Roman;serif"/>
          <w:b w:val="false"/>
          <w:color w:val="000000"/>
          <w:sz w:val="20"/>
        </w:rPr>
        <w:t xml:space="preserve">outstanding under finance leases and other debt, $47.9 million relates </w:t>
      </w:r>
      <w:r>
        <w:rPr>
          <w:rFonts w:ascii="Times New Roman;serif" w:hAnsi="Times New Roman;serif"/>
          <w:b w:val="false"/>
          <w:color w:val="000000"/>
          <w:sz w:val="20"/>
          <w:shd w:fill="FFFFFF" w:val="clear"/>
        </w:rPr>
        <w:t xml:space="preserve">to real estate leases. We had </w:t>
      </w:r>
      <w:r>
        <w:rPr>
          <w:rFonts w:ascii="Times New Roman;serif" w:hAnsi="Times New Roman;serif"/>
          <w:b w:val="false"/>
          <w:color w:val="000000"/>
          <w:sz w:val="20"/>
        </w:rPr>
        <w:t>$301.0 million</w:t>
      </w:r>
      <w:r>
        <w:rPr>
          <w:color w:val="000000"/>
          <w:shd w:fill="FFFFFF" w:val="clear"/>
        </w:rPr>
        <w:t xml:space="preserve"> </w:t>
      </w:r>
      <w:r>
        <w:rPr>
          <w:rFonts w:ascii="Times New Roman;serif" w:hAnsi="Times New Roman;serif"/>
          <w:b w:val="false"/>
          <w:color w:val="000000"/>
          <w:sz w:val="20"/>
          <w:shd w:fill="FFFFFF" w:val="clear"/>
        </w:rPr>
        <w:t>avail</w:t>
      </w:r>
      <w:r>
        <w:rPr>
          <w:rFonts w:ascii="Times New Roman;serif" w:hAnsi="Times New Roman;serif"/>
          <w:b w:val="false"/>
          <w:color w:val="000000"/>
          <w:sz w:val="20"/>
        </w:rPr>
        <w:t xml:space="preserve">able for use under the revolving credit facility at July 31, 2026.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2024, the Amended Credit Agreement increased our borrowing capacity and established a $475 million revolving credit facility and a $500 million term loan A facility, each maturing on August 1, 2029. As of July 31, 2026, we remained in compliance with all covenants under this agreement. Additional information regarding the Facilities is included in Note 5, “Debt”, to the condensed consolidated financial statements.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2026, we entered into a pay-fixed, receive-floating interest rate swap agreement to manage the variability in cash flows associated with interest payments on $175.0 million of our outstanding variable-rate borrowings. The interest rate swap became effective on July 1, 2026 and matures on August 1, 2029.</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repatriate excess cash moving forward and use the funds to retire debt or meet current working capital needs. We believe our business model, our current cash reserves and the recent steps we have taken to strengthen our balance sheet leave us well-positioned to manage our business and remain in compliance with our debt covenants.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Analysis of Cash Flow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results for the nine months ended July 31, 2026 and 2025:</w:t>
      </w:r>
    </w:p>
    <w:tbl>
      <w:tblPr>
        <w:tblW w:w="5783" w:type="dxa"/>
        <w:jc w:val="center"/>
        <w:tblInd w:w="0" w:type="dxa"/>
        <w:tblLayout w:type="fixed"/>
        <w:tblCellMar>
          <w:top w:w="28" w:type="dxa"/>
          <w:left w:w="28" w:type="dxa"/>
          <w:bottom w:w="28" w:type="dxa"/>
          <w:right w:w="28" w:type="dxa"/>
        </w:tblCellMar>
      </w:tblPr>
      <w:tblGrid>
        <w:gridCol w:w="1150"/>
        <w:gridCol w:w="1013"/>
        <w:gridCol w:w="1016"/>
        <w:gridCol w:w="211"/>
        <w:gridCol w:w="796"/>
        <w:gridCol w:w="109"/>
        <w:gridCol w:w="109"/>
        <w:gridCol w:w="109"/>
        <w:gridCol w:w="109"/>
        <w:gridCol w:w="211"/>
        <w:gridCol w:w="79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thousands)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i/>
          <w:color w:val="000000"/>
          <w:sz w:val="20"/>
        </w:rPr>
        <w:t>Operating Activities</w:t>
      </w:r>
      <w:r>
        <w:rPr>
          <w:rFonts w:ascii="Times New Roman;serif" w:hAnsi="Times New Roman;serif"/>
          <w:b w:val="false"/>
          <w:color w:val="000000"/>
          <w:sz w:val="20"/>
        </w:rPr>
        <w:t xml:space="preserve">. Cash provided by operating activities decreased $19.4 million for the nine months ended July 31, 2026 compared to the same period in 2025, to $57.3 million in 2026 from $76.6 million. </w:t>
      </w:r>
      <w:r>
        <w:rPr>
          <w:rFonts w:ascii="Times New Roman;serif" w:hAnsi="Times New Roman;serif"/>
          <w:b w:val="false"/>
          <w:color w:val="000000"/>
          <w:sz w:val="20"/>
          <w:shd w:fill="FFFFFF" w:val="clear"/>
        </w:rPr>
        <w:t xml:space="preserve">The decrease in operating cash flow was primarily due to higher inventory, accounts receivable and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35</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Investing Activities. </w:t>
      </w:r>
      <w:r>
        <w:rPr>
          <w:rFonts w:ascii="Times New Roman;serif" w:hAnsi="Times New Roman;serif"/>
          <w:b w:val="false"/>
          <w:color w:val="000000"/>
          <w:sz w:val="20"/>
        </w:rPr>
        <w:t>Cash used for investing activities decreased $7.6 million for the nine months ended July 31, 2026 compared to the same period in 2025, prim</w:t>
      </w:r>
      <w:r>
        <w:rPr>
          <w:rFonts w:ascii="Times New Roman;serif" w:hAnsi="Times New Roman;serif"/>
          <w:b w:val="false"/>
          <w:color w:val="000000"/>
          <w:sz w:val="20"/>
          <w:shd w:fill="FFFFFF" w:val="clear"/>
        </w:rPr>
        <w:t xml:space="preserve">arily due to lower capital expenditures, partially offset by lower proceeds from disposition of assets. </w:t>
      </w:r>
    </w:p>
    <w:p>
      <w:pPr>
        <w:pStyle w:val="TextBody"/>
        <w:bidi w:val="0"/>
        <w:spacing w:lineRule="auto" w:line="288" w:before="160" w:after="283"/>
        <w:ind w:left="0" w:right="0" w:firstLine="450"/>
        <w:jc w:val="both"/>
        <w:rPr/>
      </w:pPr>
      <w:r>
        <w:rPr>
          <w:rFonts w:ascii="Times New Roman;serif" w:hAnsi="Times New Roman;serif"/>
          <w:b w:val="false"/>
          <w:i/>
          <w:color w:val="000000"/>
          <w:sz w:val="20"/>
        </w:rPr>
        <w:t xml:space="preserve">Financing Activities. </w:t>
      </w:r>
      <w:r>
        <w:rPr>
          <w:rFonts w:ascii="Times New Roman;serif" w:hAnsi="Times New Roman;serif"/>
          <w:b w:val="false"/>
          <w:color w:val="000000"/>
          <w:sz w:val="20"/>
        </w:rPr>
        <w:t>Cash used for financing activities decreased $48.0 million for the nine months ended July 31, 2026 compared to the same period in 2025</w:t>
      </w:r>
      <w:r>
        <w:rPr>
          <w:rFonts w:ascii="Times New Roman;serif" w:hAnsi="Times New Roman;serif"/>
          <w:b w:val="false"/>
          <w:color w:val="000000"/>
          <w:sz w:val="20"/>
          <w:shd w:fill="FFFFFF" w:val="clear"/>
        </w:rPr>
        <w:t xml:space="preserve">. The decrease was primarily driven by lower treasury stock repurchases and lower net repayments under our credit facilities compared to the prior-year period. </w:t>
      </w:r>
    </w:p>
    <w:p>
      <w:pPr>
        <w:pStyle w:val="TextBody"/>
        <w:bidi w:val="0"/>
        <w:spacing w:lineRule="auto" w:line="288" w:before="160" w:after="283"/>
        <w:jc w:val="left"/>
        <w:rPr/>
      </w:pPr>
      <w:r>
        <w:rPr>
          <w:rFonts w:ascii="Times New Roman;serif" w:hAnsi="Times New Roman;serif"/>
          <w:b w:val="false"/>
          <w:i/>
          <w:color w:val="000000"/>
          <w:sz w:val="20"/>
        </w:rPr>
        <w:t>Liquidity Requirem</w:t>
      </w:r>
      <w:r>
        <w:rPr>
          <w:rFonts w:ascii="Times New Roman;serif" w:hAnsi="Times New Roman;serif"/>
          <w:b w:val="false"/>
          <w:i/>
          <w:color w:val="000000"/>
          <w:sz w:val="20"/>
          <w:shd w:fill="FFFFFF" w:val="clear"/>
        </w:rPr>
        <w:t>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strategy for deploying cash is to invest in organic growth opportunities, develop our infrastructure, and explore strategic acquisitions. Other uses of cash include paying cash dividends to our shareholders and repurchasing our own stock. </w:t>
      </w:r>
      <w:r>
        <w:rPr>
          <w:rFonts w:ascii="Times New Roman;serif" w:hAnsi="Times New Roman;serif"/>
          <w:b w:val="false"/>
          <w:color w:val="000000"/>
          <w:sz w:val="20"/>
          <w:shd w:fill="FFFFFF" w:val="clear"/>
        </w:rPr>
        <w:t xml:space="preserve">During the nine months ended July 31, 2026 and 2025, we </w:t>
      </w:r>
      <w:r>
        <w:rPr>
          <w:rFonts w:ascii="Times New Roman;serif" w:hAnsi="Times New Roman;serif"/>
          <w:b w:val="false"/>
          <w:color w:val="000000"/>
          <w:sz w:val="20"/>
        </w:rPr>
        <w:t>repatriated $40.3 million and $</w:t>
      </w:r>
      <w:r>
        <w:rPr>
          <w:rFonts w:ascii="Times New Roman;serif" w:hAnsi="Times New Roman;serif"/>
          <w:b w:val="false"/>
          <w:color w:val="000000"/>
          <w:sz w:val="20"/>
          <w:shd w:fill="FFFFFF" w:val="clear"/>
        </w:rPr>
        <w:t xml:space="preserve">42.4 million, respectively, of foreign earnings from our foreign locations. We maintain cash balances in foreign countries which totaled </w:t>
      </w:r>
      <w:r>
        <w:rPr>
          <w:rFonts w:ascii="Times New Roman;serif" w:hAnsi="Times New Roman;serif"/>
          <w:b w:val="false"/>
          <w:color w:val="000000"/>
          <w:sz w:val="20"/>
        </w:rPr>
        <w:t>$48.4 million</w:t>
      </w:r>
      <w:r>
        <w:rPr>
          <w:color w:val="000000"/>
          <w:shd w:fill="FFFFFF" w:val="clear"/>
        </w:rPr>
        <w:t xml:space="preserve"> </w:t>
      </w:r>
      <w:r>
        <w:rPr>
          <w:rFonts w:ascii="Times New Roman;serif" w:hAnsi="Times New Roman;serif"/>
          <w:b w:val="false"/>
          <w:color w:val="000000"/>
          <w:sz w:val="20"/>
          <w:shd w:fill="FFFFFF" w:val="clear"/>
        </w:rPr>
        <w:t>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description of our critical accounting policies and estimates, see our Annual Report on Form 10-K for the fiscal year ended October 31, 2025. Our critical accounting policies and estimates have not changed materially during the nine months ended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36</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Item 3. Quantitative and Qualitative Disclosures About Market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w:t>
      </w:r>
      <w:r>
        <w:rPr>
          <w:rFonts w:ascii="Times New Roman;serif" w:hAnsi="Times New Roman;serif"/>
          <w:b w:val="false"/>
          <w:color w:val="000000"/>
          <w:sz w:val="20"/>
          <w:shd w:fill="FFFFFF" w:val="clear"/>
        </w:rPr>
        <w:t xml:space="preserve">r debt bears interest at variable rates and accordingly is sensitive to changes in interest rates. During the third quarter of fiscal 2026, we entered into a pay-fixed, receive-floating interest rate swap agreement, based on one-month Term SOFR, to manage the variability in cash flows associated with interest payments on </w:t>
      </w:r>
      <w:r>
        <w:rPr>
          <w:rFonts w:ascii="Times New Roman;serif" w:hAnsi="Times New Roman;serif"/>
          <w:b w:val="false"/>
          <w:color w:val="000000"/>
          <w:sz w:val="20"/>
        </w:rPr>
        <w:t>$175.0 million</w:t>
      </w:r>
      <w:r>
        <w:rPr>
          <w:color w:val="000000"/>
          <w:shd w:fill="FFFFFF" w:val="clear"/>
        </w:rPr>
        <w:t xml:space="preserve"> </w:t>
      </w:r>
      <w:r>
        <w:rPr>
          <w:rFonts w:ascii="Times New Roman;serif" w:hAnsi="Times New Roman;serif"/>
          <w:b w:val="false"/>
          <w:color w:val="000000"/>
          <w:sz w:val="20"/>
          <w:shd w:fill="FFFFFF" w:val="clear"/>
        </w:rPr>
        <w:t>of our outstanding variable-rate borrowings. The interest rate swap effectively converts a portion of our variable-rate debt to a fixed-rate basis for the term of the agreement.</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 xml:space="preserve">Based upon the balances of the variable rate debt at </w:t>
      </w:r>
      <w:r>
        <w:rPr>
          <w:rFonts w:ascii="Times New Roman;serif" w:hAnsi="Times New Roman;serif"/>
          <w:b w:val="false"/>
          <w:color w:val="000000"/>
          <w:sz w:val="20"/>
        </w:rPr>
        <w:t>July 31, 2026</w:t>
      </w:r>
      <w:r>
        <w:rPr>
          <w:rFonts w:ascii="Times New Roman;serif" w:hAnsi="Times New Roman;serif"/>
          <w:b w:val="false"/>
          <w:color w:val="000000"/>
          <w:sz w:val="20"/>
          <w:shd w:fill="FFFFFF" w:val="clear"/>
        </w:rPr>
        <w:t xml:space="preserve">, after giving effect to the interest rate swap agreement, a hypothetical 1.0% increase or decrease in interest rates could result in approximately </w:t>
      </w:r>
      <w:r>
        <w:rPr>
          <w:rFonts w:ascii="Times New Roman;serif" w:hAnsi="Times New Roman;serif"/>
          <w:b w:val="false"/>
          <w:color w:val="000000"/>
          <w:sz w:val="20"/>
        </w:rPr>
        <w:t>$4.4 million</w:t>
      </w:r>
      <w:r>
        <w:rPr>
          <w:color w:val="000000"/>
          <w:shd w:fill="FFFFFF" w:val="clear"/>
        </w:rPr>
        <w:t xml:space="preserve"> </w:t>
      </w:r>
      <w:r>
        <w:rPr>
          <w:rFonts w:ascii="Times New Roman;serif" w:hAnsi="Times New Roman;serif"/>
          <w:b w:val="false"/>
          <w:color w:val="000000"/>
          <w:sz w:val="20"/>
          <w:shd w:fill="FFFFFF" w:val="clear"/>
        </w:rPr>
        <w:t xml:space="preserve">of additional pretax charges or credit to our net income per year. This sensitivity pertains primarily to our revolving credit facility borrowings outstanding under the Credit Facility as of </w:t>
      </w:r>
      <w:r>
        <w:rPr>
          <w:rFonts w:ascii="Times New Roman;serif" w:hAnsi="Times New Roman;serif"/>
          <w:b w:val="false"/>
          <w:color w:val="000000"/>
          <w:sz w:val="20"/>
        </w:rPr>
        <w:t>July 31, 2026.</w:t>
      </w:r>
    </w:p>
    <w:p>
      <w:pPr>
        <w:pStyle w:val="TextBody"/>
        <w:bidi w:val="0"/>
        <w:spacing w:lineRule="auto" w:line="288" w:before="160" w:after="283"/>
        <w:jc w:val="left"/>
        <w:rPr/>
      </w:pPr>
      <w:r>
        <w:rPr>
          <w:rFonts w:ascii="Times New Roman;serif" w:hAnsi="Times New Roman;serif"/>
          <w:b/>
          <w:color w:val="000000"/>
          <w:sz w:val="20"/>
        </w:rPr>
        <w:t>Foreign Currency Rate Risk</w:t>
      </w:r>
      <w:r>
        <w:rPr>
          <w:color w:val="000000"/>
        </w:rPr>
        <w:t xml:space="preserve">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international operations have exposure to foreign currency rate risks, due primarily to fluctuations in the Euro, the British Pound Sterling (“GBP”) and the Mexican Peso (“MXN”) exchange rates, to the U.S. Dollar (“USD”). From time to time, we enter into foreign exchange contracts associated with our operations to manage a portion of the foreign currency rate risk and the potential impact to ongoing cash flows. Hedge accounting is not applied to our foreign exchange contracts. As of July 31, 2026, we had no outstanding forward foreign exchange contracts to hedge our exposure to foreign currency fluctuations, as contracts entered into earlier in the fiscal year matured and settled during the period. During the nine months ended July 31, 2026, we used forward foreign exchange contracts to hedge our foreign currency exposures against the Mexican Peso (“MXN”) to the U.S. Dollar (“USD”). During the nine months ended July 31, 2025, we used forward foreign exchange contracts to hedge our foreign currency exposures against USD to the Great British Pound (“GBP”) and MXN to USD. Hedge accounting is not applied to our forward exchange contracts. We recognized a gain of zero and $0.3 million related to our forward foreign exchange contracts during the three and nine months ended July 31, 2026, respectively, and a loss of $0.5 million and gain of $0.3 million </w:t>
      </w:r>
      <w:r>
        <w:rPr>
          <w:rFonts w:ascii="Times New Roman;serif" w:hAnsi="Times New Roman;serif"/>
          <w:b w:val="false"/>
          <w:color w:val="000000"/>
          <w:sz w:val="20"/>
          <w:shd w:fill="FFFFFF" w:val="clear"/>
        </w:rPr>
        <w:t>for the comparable prior year periods, respectively.</w:t>
      </w:r>
      <w:r>
        <w:rPr>
          <w:color w:val="000000"/>
        </w:rPr>
        <w:t xml:space="preserve"> </w:t>
      </w:r>
      <w:r>
        <w:rPr>
          <w:rFonts w:ascii="Times New Roman;serif" w:hAnsi="Times New Roman;serif"/>
          <w:b w:val="false"/>
          <w:color w:val="000000"/>
          <w:sz w:val="20"/>
        </w:rPr>
        <w:t>The value of forward foreign exchange contracts fluctuates based on exchange rate fluctuations for currencies stated in the foreign exchange contracts.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we include a price index provision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our remaining businesses, contractual price adjustment mechanisms are in place for key commodities including stainless steel and zinc for most large U.S. customers, but not all. For those customers not covered by contractual mechanisms, we have successfully implemented surcharges and general price increases to share the impact of price changes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37</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customers. Like our other businesses, there is exposure to short-term volatility due to a lag in the timing of implementing price increases.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polypropylene and other inputs.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Certain raw materials and commodities we use to manufacture our products are subject to tariffs. There is uncertainty regarding how recently enacted tariffs and potential future tariffs may affect the price of these raw materials and commodities. We are constantly assessing potential supply chain vulnerability and implementing strategies (i.e. surcharges) to mitigate potential tariff impacts. We are also utilizing local supply chains where possible to reduce supply and cost risks. Additionally, we continue to explore alternative supply sources and evaluate shifts in demand. Further discussion of our industry risks is included within our Annual Report on Form 10-K for the fiscal year ended October 31, 2025 and the section entitled </w:t>
      </w:r>
      <w:r>
        <w:rPr>
          <w:color w:val="000000"/>
        </w:rPr>
        <w:t>“</w:t>
      </w:r>
      <w:r>
        <w:rPr>
          <w:rFonts w:ascii="Times New Roman;serif" w:hAnsi="Times New Roman;serif"/>
          <w:b w:val="false"/>
          <w:i/>
          <w:color w:val="000000"/>
          <w:sz w:val="20"/>
        </w:rPr>
        <w:t xml:space="preserve">Item 1A. Risk Factors” </w:t>
      </w:r>
      <w:r>
        <w:rPr>
          <w:rFonts w:ascii="Times New Roman;serif" w:hAnsi="Times New Roman;serif"/>
          <w:b w:val="false"/>
          <w:color w:val="000000"/>
          <w:sz w:val="20"/>
        </w:rPr>
        <w:t xml:space="preserve">within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Item 4. Controls and Procedures</w:t>
      </w:r>
    </w:p>
    <w:p>
      <w:pPr>
        <w:pStyle w:val="TextBody"/>
        <w:bidi w:val="0"/>
        <w:spacing w:lineRule="auto" w:line="256" w:before="16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July 31, 2026.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our Annual Report on Form 10-K for the year ended October 31, 2025, we identified a material weakness in our internal controls over financial reporting in the design and operation of controls over the preparation and review of our Statement of Cash Flows as of October 31, 2024 which remained unremediated through the year ended October 31, 2025. During the nine months ended July 31, 2026, we implemented remediation efforts related to this material weakness and will continue to monitor the effectiveness of these procedures through testing of the related controls for an appropriate period of time. Until such time and as of July 31, 2026, our Chief Executive Officer and Chief Financial Officer have concluded that our disclosure controls and procedures were not effective.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actively engaged in remediation efforts to address the identified material weakness related to the Statement of Cash Flows. We will continue to monitor the effectiveness of these procedures and expect to conclude with our October 31, 2026 control evaluation. These efforts include: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Enhanced review procedures over the preparation and validation of the statement of cash flows;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Enhanced review of the non-cash transaction checklist to improve classification accuracy;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Strengthening of quarterly and annual close procedures through additional review controls;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Provision of targeted training for finance personnel involved in the financial close and reporting process.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the identified material weakness, our management has concluded that the financial statements included in this Form 10-Q fairly present in all material respects the financial position, results of operations and cash flows for the periods presented in conformity with generally accepted accounting principles. </w:t>
      </w:r>
    </w:p>
    <w:p>
      <w:pPr>
        <w:pStyle w:val="TextBody"/>
        <w:bidi w:val="0"/>
        <w:spacing w:lineRule="auto" w:line="288" w:before="16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July 31, 2026, we implemented additional review procedures for the Statement of Cash Flow as part of our remediation efforts. We will continue to monitor the effectiveness of our efforts as part of our ongoing evaluation of internal control over financial reporting.</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than the ongoing remediation efforts, there have been no changes in our internal control over financial reporting (as defined in Rules 13a-15(f) and 15d-15(f) under the 1934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38</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Item 1A. Risk Factors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risk factors disclosed in our Annual Report on Form 10-K for the fiscal year ended October 31, 2025 (Part I, Item 1A), additional risks and uncertainties are set forth below.</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Company Risks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Challenges related to the development, adoption and use of artificial intelligence (“AI”) technologies, whether by us or by third parties, could result in competitive disadvantage, operational risks and reputational harm.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AI technologies are rapidly evolving and are increasingly being adopted across companies to enhance operational efficiencies, lower costs, improve forecasting and pricing capabilities, accelerate product innovation, and enhance customer engagement. The development, deployment and oversight of AI technologies may require significant investment, introduce operational disruptions or involve inherent risks, including inaccurate, incomplete or unintended outputs. If we are unable to effectively evaluate, implement or utilize AI technologies where appropriate, we may be at a competitive disadvantage, which could adversely affect our business, financial condition, and 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our suppliers, vendors and other third parties may incorporate AI into their systems or offerings and their use could introduce operational, data security or reputational risks to our business. The use of AI by us or others associated with our Company may create data privacy concerns, intellectual property risks, and cybersecurity vulnerabilities. In addition, the legal and regulatory landscape governing AI is rapidly evolving and is uncertain. Compliance with new or changing laws, regulations or industry standards may increase costs, require modifications to business practices or limit the use of certain AI applications. Any failure to appropriately manage AI-related risks could adversely affect our operations, reputation and long-term competitive position.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Consolidations, restructurings, bankruptcies or reorganizations involving our customers, distributors or suppliers could adversely affect our business, results of operations, financial condition and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customers, distributors and suppliers operate in industries that may be affected by changes in general economic conditions, housing and residential repair and remodeling activity, inflation, interest rates, availability of credit, labor availability and other market conditions. Consolidations, restructurings, bankruptcies or reorganizations involving our customers, distributors, suppliers or other participants in the building products industry could result in a reduction in demand for our products, increased customer or supplier concentration, changes in purchasing patterns, pricing or payment terms, supply disruptions, or increased credit risk. We generally extend credit to customers based on an evaluation of their financial condition. If a customer becomes insolvent, files for bankruptcy or otherwise is unable or unwilling to pay amounts owed to us or take delivery of previously ordered products, our ability to collect receivables could be adversely affected and we may be required to record reserves or write-downs related to accounts receivable, inventory or other assets. Our inability to collect receivables from one or more significant customers, or from a group of customers, or significant write-downs of inventory or other assets, could have a material adverse effect on our business,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Item 2. Unregistered Sales of Equity Securities and Use of Proceeds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we repurchased common stock as follows:</w:t>
      </w:r>
    </w:p>
    <w:tbl>
      <w:tblPr>
        <w:tblW w:w="10205" w:type="dxa"/>
        <w:jc w:val="left"/>
        <w:tblInd w:w="0" w:type="dxa"/>
        <w:tblLayout w:type="fixed"/>
        <w:tblCellMar>
          <w:top w:w="28" w:type="dxa"/>
          <w:left w:w="28" w:type="dxa"/>
          <w:bottom w:w="28" w:type="dxa"/>
          <w:right w:w="28" w:type="dxa"/>
        </w:tblCellMar>
      </w:tblPr>
      <w:tblGrid>
        <w:gridCol w:w="247"/>
        <w:gridCol w:w="218"/>
        <w:gridCol w:w="220"/>
        <w:gridCol w:w="109"/>
        <w:gridCol w:w="109"/>
        <w:gridCol w:w="109"/>
        <w:gridCol w:w="561"/>
        <w:gridCol w:w="446"/>
        <w:gridCol w:w="448"/>
        <w:gridCol w:w="109"/>
        <w:gridCol w:w="109"/>
        <w:gridCol w:w="109"/>
        <w:gridCol w:w="296"/>
        <w:gridCol w:w="864"/>
        <w:gridCol w:w="152"/>
        <w:gridCol w:w="109"/>
        <w:gridCol w:w="109"/>
        <w:gridCol w:w="109"/>
        <w:gridCol w:w="848"/>
        <w:gridCol w:w="764"/>
        <w:gridCol w:w="766"/>
        <w:gridCol w:w="109"/>
        <w:gridCol w:w="109"/>
        <w:gridCol w:w="109"/>
        <w:gridCol w:w="446"/>
        <w:gridCol w:w="2287"/>
        <w:gridCol w:w="334"/>
      </w:tblGrid>
      <w:tr>
        <w:trPr/>
        <w:tc>
          <w:tcPr>
            <w:tcW w:w="2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 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 Total Number of Shares Purchased as Part of Publicly Announced Plans 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 Maximum US Dollars Remaining that May Yet Be Used to Purchase Shares Under the Plans or Programs </w:t>
            </w:r>
            <w:r>
              <w:rPr>
                <w:rFonts w:ascii="Times New Roman;serif" w:hAnsi="Times New Roman;serif"/>
                <w:b/>
                <w:color w:val="000000"/>
                <w:sz w:val="10"/>
              </w:rPr>
              <w:t xml:space="preserve">(1) </w:t>
            </w:r>
          </w:p>
        </w:tc>
      </w:tr>
      <w:tr>
        <w:trPr/>
        <w:tc>
          <w:tcPr>
            <w:tcW w:w="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30,446,832 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30,446,832 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99,786 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28,740,098 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99,786 </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99,786 </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In December 2021, our Board of Directors approved a stock repurchase program that authorized the repurchase of up to $75.0 million worth of shares of our common stock. Repurchases under the new program are made in open market transactions or</w:t>
      </w:r>
      <w:r>
        <w:rPr>
          <w:color w:val="000000"/>
          <w:shd w:fill="FFFFFF" w:val="clear"/>
        </w:rPr>
        <w:t xml:space="preserve"> </w:t>
      </w:r>
      <w:r>
        <w:rPr>
          <w:rFonts w:ascii="Times New Roman;serif" w:hAnsi="Times New Roman;serif"/>
          <w:b w:val="false"/>
          <w:color w:val="000000"/>
          <w:sz w:val="20"/>
          <w:shd w:fill="FFFFFF" w:val="clear"/>
        </w:rPr>
        <w:t xml:space="preserve">privately negotiated transactions, subject to market conditions, applicable legal requirements and other relevant factors. The program does not have an expiration date or a limit on the number of shares that may be purchased.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39</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Item 5. Other Information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Item 6. Exhibits</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exhibits required to be furnished pursuant to Item 6 are listed in the Exhibit Index filed herewith, which Exhibit Index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435"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09"/>
        <w:gridCol w:w="109"/>
        <w:gridCol w:w="109"/>
        <w:gridCol w:w="1444"/>
        <w:gridCol w:w="1444"/>
        <w:gridCol w:w="20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QUANEX BUILDING PRODUCTS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Scott M. Zuehlke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Scott M. Zuehlke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Senior Vice President - Chief Financial Officer &amp; Treasurer </w:t>
              <w:b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41</w:t>
                      </w:r>
                    </w:p>
                  </w:txbxContent>
                </v:textbox>
                <w10:wrap type="none"/>
              </v:rect>
            </w:pict>
          </mc:Fallback>
        </mc:AlternateContent>
      </w:r>
    </w:p>
    <w:p>
      <w:pPr>
        <w:pStyle w:val="TextBody"/>
        <w:bidi w:val="0"/>
        <w:spacing w:lineRule="auto" w:line="288" w:before="0" w:after="0"/>
        <w:jc w:val="left"/>
        <w:rPr/>
      </w:pPr>
      <w:hyperlink w:anchor="idf6b3d21203444648a4a7b1932c8b5be_7">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16"/>
        <w:gridCol w:w="278"/>
        <w:gridCol w:w="280"/>
        <w:gridCol w:w="109"/>
        <w:gridCol w:w="109"/>
        <w:gridCol w:w="109"/>
        <w:gridCol w:w="3033"/>
        <w:gridCol w:w="2833"/>
        <w:gridCol w:w="2763"/>
        <w:gridCol w:w="109"/>
        <w:gridCol w:w="109"/>
        <w:gridCol w:w="157"/>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 of Exhibits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80"/>
                  <w:sz w:val="20"/>
                  <w:u w:val="single"/>
                </w:rPr>
                <w:t>Rule 2.7 Announcement dated as of April 22,</w:t>
              </w:r>
            </w:hyperlink>
            <w:hyperlink r:id="rId4">
              <w:r>
                <w:rPr>
                  <w:rStyle w:val="InternetLink"/>
                  <w:rFonts w:ascii="Times New Roman;serif" w:hAnsi="Times New Roman;serif"/>
                  <w:b w:val="false"/>
                  <w:color w:val="000080"/>
                  <w:sz w:val="20"/>
                  <w:u w:val="single"/>
                </w:rPr>
                <w:t xml:space="preserve"> 2024</w:t>
              </w:r>
            </w:hyperlink>
            <w:hyperlink r:id="rId5">
              <w:r>
                <w:rPr>
                  <w:rStyle w:val="InternetLink"/>
                  <w:rFonts w:ascii="Times New Roman;serif" w:hAnsi="Times New Roman;serif"/>
                  <w:b w:val="false"/>
                  <w:color w:val="000080"/>
                  <w:sz w:val="20"/>
                  <w:u w:val="single"/>
                </w:rPr>
                <w:t xml:space="preserve"> as filed as Exhibit 2.1 to the Registrant’s Current Report on Form 8-K (Reg. No. 001-33913), as filed with the Securities and Exchange Commission on April 22, 2024,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Co-operation Agreement dated as of April 22, 2024, as filed as Exhibit 2.2 to the Registrant’s Current Report on Form 8-K (Reg. No. 001-33913), as filed with the Securities and Exchange Commission on April 22, 2024,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Form of Deed of Irrevocable Undertaking dated as of April 22, 2024, as filed as Exhibit 2.3 to the Registrant’s Current Report on Form 8-K (Reg. No. 001-33913), as filed with the Securities and Exchange Commission on April 22, 2024,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Restated Certificate of Incorporation of the Registrant dated as of March 4, 2016, filed as Exhibit 3.1 of the Registrant’s Current Report on Form 8-K (Reg. No. 001-33913) as filed with the Securities and Exchange Commission on March 7, 2016,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Fifth Amended and Restated Bylaws of the Registrant dated as of February 26, 2026, filed as Exhibit 3.1 of the Registrant’s Current Report on Form 8-K (Reg. No. 001-33913) as filed with the Securities and Exchange Commission on March 3, 2026,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80"/>
                  <w:sz w:val="20"/>
                  <w:u w:val="single"/>
                </w:rPr>
                <w:t xml:space="preserve">Form of Registrant’s Common Stock certificate, filed as Exhibit 4.1 of Amendment No. 1 to the Registrant’s </w:t>
              </w:r>
            </w:hyperlink>
            <w:hyperlink r:id="rId16">
              <w:r>
                <w:rPr>
                  <w:rStyle w:val="InternetLink"/>
                  <w:rFonts w:ascii="Times New Roman;serif" w:hAnsi="Times New Roman;serif"/>
                  <w:b w:val="false"/>
                  <w:color w:val="000080"/>
                  <w:sz w:val="20"/>
                  <w:u w:val="single"/>
                </w:rPr>
                <w:t>Quarterly Report</w:t>
              </w:r>
            </w:hyperlink>
            <w:hyperlink r:id="rId17">
              <w:r>
                <w:rPr>
                  <w:rStyle w:val="InternetLink"/>
                  <w:rFonts w:ascii="Times New Roman;serif" w:hAnsi="Times New Roman;serif"/>
                  <w:b w:val="false"/>
                  <w:color w:val="000080"/>
                  <w:sz w:val="20"/>
                  <w:u w:val="single"/>
                </w:rPr>
                <w:t xml:space="preserve"> on Form 10-Q (Reg. No. 001-33913) as filed with the Securities and Exchange Commission on February 14, 2008,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100" w:after="283"/>
              <w:jc w:val="both"/>
              <w:rPr/>
            </w:pPr>
            <w:hyperlink r:id="rId19">
              <w:r>
                <w:rPr>
                  <w:rStyle w:val="InternetLink"/>
                  <w:rFonts w:ascii="Times New Roman;serif" w:hAnsi="Times New Roman;serif"/>
                  <w:b w:val="false"/>
                  <w:color w:val="0000FF"/>
                  <w:sz w:val="20"/>
                  <w:u w:val="single"/>
                </w:rPr>
                <w:t>Second Amended and Restated Credit Agreement dated as of July 6, 2022, by and among the Company; the lenders party thereto; and Wells Fargo Bank, National Association, as Agent; filed as Exhibit 10.1 of the Registrant's Current Report on Form 8-K (Reg. No. 001-33913) as filed with the Securities and Exchange Commission on July 6, 2022,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80"/>
                  <w:sz w:val="20"/>
                  <w:u w:val="single"/>
                </w:rPr>
                <w:t>Amendment No.</w:t>
              </w:r>
            </w:hyperlink>
            <w:hyperlink r:id="rId22">
              <w:r>
                <w:rPr>
                  <w:rStyle w:val="InternetLink"/>
                  <w:rFonts w:ascii="Times New Roman;serif" w:hAnsi="Times New Roman;serif"/>
                  <w:b w:val="false"/>
                  <w:color w:val="000080"/>
                  <w:sz w:val="20"/>
                  <w:u w:val="single"/>
                </w:rPr>
                <w:t xml:space="preserve"> </w:t>
              </w:r>
            </w:hyperlink>
            <w:hyperlink r:id="rId23">
              <w:r>
                <w:rPr>
                  <w:rStyle w:val="InternetLink"/>
                  <w:rFonts w:ascii="Times New Roman;serif" w:hAnsi="Times New Roman;serif"/>
                  <w:b w:val="false"/>
                  <w:color w:val="000080"/>
                  <w:sz w:val="20"/>
                  <w:u w:val="single"/>
                </w:rPr>
                <w:t>1 to the Second Amended and Restated Credit Agreement among the Company (acting as borrower), the Company subsidiaries acting as guarantors thereto, Wells Fargo Bank, National Association as agent, swingline lender and issuing lender, and the other parties thereto, dated as of June 12, 2024, filed as Exhibit 10.1 to the Registrant’s Current Report on Form 8-K (Reg. No. 001-33913), as filed with the Securities and Exchange Commission on June 12, 2024, and incorporated herein by reference.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nx07312026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x07312026ex311.htm">
              <w:r>
                <w:rPr>
                  <w:rStyle w:val="InternetLink"/>
                  <w:rFonts w:ascii="Times New Roman;serif" w:hAnsi="Times New Roman;serif"/>
                  <w:b w:val="false"/>
                  <w:color w:val="0000FF"/>
                  <w:sz w:val="20"/>
                  <w:u w:val="single"/>
                </w:rPr>
                <w:t>Certification by chief executive officer pursuant to Rule 13a-14(a)/15d-14(a).</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nx07312026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x07312026ex312.htm">
              <w:r>
                <w:rPr>
                  <w:rStyle w:val="InternetLink"/>
                  <w:rFonts w:ascii="Times New Roman;serif" w:hAnsi="Times New Roman;serif"/>
                  <w:b w:val="false"/>
                  <w:color w:val="0000FF"/>
                  <w:sz w:val="20"/>
                  <w:u w:val="single"/>
                </w:rPr>
                <w:t>Certification by chief financial officer pursuant to Rule 13a-14(a)/15d-14(a).</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nx07312026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x07312026ex321.htm">
              <w:r>
                <w:rPr>
                  <w:rStyle w:val="InternetLink"/>
                  <w:rFonts w:ascii="Times New Roman;serif" w:hAnsi="Times New Roman;serif"/>
                  <w:b w:val="false"/>
                  <w:color w:val="0000FF"/>
                  <w:sz w:val="20"/>
                  <w:u w:val="single"/>
                </w:rPr>
                <w:t>Certification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CHIEF EXECUTIVE OFFICER CERTIFICATION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 George L. Wilson,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Quanex Building Products Corporation (the “Registrant”);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September 4, 2026 </w:t>
      </w:r>
    </w:p>
    <w:p>
      <w:pPr>
        <w:pStyle w:val="TextBody"/>
        <w:bidi w:val="0"/>
        <w:spacing w:lineRule="auto" w:line="288" w:before="0" w:after="0"/>
        <w:jc w:val="left"/>
        <w:rPr>
          <w:color w:val="000000"/>
        </w:rPr>
      </w:pPr>
      <w:r>
        <w:rPr>
          <w:color w:val="000000"/>
        </w:rPr>
        <w:t> </w:t>
      </w:r>
    </w:p>
    <w:tbl>
      <w:tblPr>
        <w:tblW w:w="5486" w:type="dxa"/>
        <w:jc w:val="center"/>
        <w:tblInd w:w="0" w:type="dxa"/>
        <w:tblLayout w:type="fixed"/>
        <w:tblCellMar>
          <w:top w:w="28" w:type="dxa"/>
          <w:left w:w="28" w:type="dxa"/>
          <w:bottom w:w="28" w:type="dxa"/>
          <w:right w:w="28" w:type="dxa"/>
        </w:tblCellMar>
      </w:tblPr>
      <w:tblGrid>
        <w:gridCol w:w="1847"/>
        <w:gridCol w:w="1628"/>
        <w:gridCol w:w="1639"/>
        <w:gridCol w:w="109"/>
        <w:gridCol w:w="109"/>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George L. Wilson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George L. Wilson</w:t>
              <w:br/>
              <w:t>Chairman of the Board, President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CHIEF FINANCIAL OFFICER CERTIFICATION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 Scott M. Zuehlke,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Quanex Building Products Corporation (the “Registrant”);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September 4, 2026 </w:t>
      </w:r>
    </w:p>
    <w:p>
      <w:pPr>
        <w:pStyle w:val="TextBody"/>
        <w:bidi w:val="0"/>
        <w:spacing w:lineRule="auto" w:line="288" w:before="0" w:after="0"/>
        <w:jc w:val="left"/>
        <w:rPr>
          <w:color w:val="000000"/>
        </w:rPr>
      </w:pPr>
      <w:r>
        <w:rPr>
          <w:color w:val="000000"/>
        </w:rPr>
        <w:t> </w:t>
      </w:r>
    </w:p>
    <w:tbl>
      <w:tblPr>
        <w:tblW w:w="5381" w:type="dxa"/>
        <w:jc w:val="center"/>
        <w:tblInd w:w="0" w:type="dxa"/>
        <w:tblLayout w:type="fixed"/>
        <w:tblCellMar>
          <w:top w:w="28" w:type="dxa"/>
          <w:left w:w="28" w:type="dxa"/>
          <w:bottom w:w="28" w:type="dxa"/>
          <w:right w:w="28" w:type="dxa"/>
        </w:tblCellMar>
      </w:tblPr>
      <w:tblGrid>
        <w:gridCol w:w="1812"/>
        <w:gridCol w:w="1591"/>
        <w:gridCol w:w="1606"/>
        <w:gridCol w:w="109"/>
        <w:gridCol w:w="109"/>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Scott M. Zuehlke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Scott M. Zuehlke</w:t>
              <w:br/>
              <w:t>Senior Vice President - Chief Financial Officer and Treasurer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Pursuant To Section 906 of the Sarbanes-Oxley Act of 2002</w:t>
      </w:r>
    </w:p>
    <w:p>
      <w:pPr>
        <w:pStyle w:val="TextBody"/>
        <w:bidi w:val="0"/>
        <w:spacing w:lineRule="auto" w:line="288" w:before="1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hereby certify that the accompanying Quarterly Report on Form 10-Q of Quanex Building Products Corporation for the quarter ended July 31, 2026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pStyle w:val="TextBody"/>
        <w:bidi w:val="0"/>
        <w:spacing w:before="160" w:after="283"/>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September 4, 2026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91"/>
        <w:gridCol w:w="1565"/>
        <w:gridCol w:w="1570"/>
        <w:gridCol w:w="109"/>
        <w:gridCol w:w="109"/>
        <w:gridCol w:w="109"/>
        <w:gridCol w:w="1463"/>
        <w:gridCol w:w="1444"/>
        <w:gridCol w:w="2045"/>
      </w:tblGrid>
      <w:tr>
        <w:trPr/>
        <w:tc>
          <w:tcPr>
            <w:tcW w:w="179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4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George L. Wilson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M. Zuehlke</w:t>
            </w:r>
          </w:p>
        </w:tc>
      </w:tr>
      <w:tr>
        <w:trPr/>
        <w:tc>
          <w:tcPr>
            <w:tcW w:w="4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George L. Wilson</w:t>
            </w:r>
          </w:p>
          <w:p>
            <w:pPr>
              <w:pStyle w:val="TableContents"/>
              <w:bidi w:val="0"/>
              <w:spacing w:lineRule="auto" w:line="240" w:before="0" w:after="0"/>
              <w:jc w:val="center"/>
              <w:rPr/>
            </w:pPr>
            <w:r>
              <w:rPr>
                <w:rFonts w:ascii="Times New Roman;serif" w:hAnsi="Times New Roman;serif"/>
                <w:b w:val="false"/>
                <w:i/>
                <w:color w:val="000000"/>
                <w:sz w:val="20"/>
              </w:rPr>
              <w:t>Chairman of the Board, President and</w:t>
            </w:r>
            <w:r>
              <w:rPr>
                <w:color w:val="000000"/>
              </w:rPr>
              <w:t xml:space="preserve"> </w:t>
            </w:r>
            <w:r>
              <w:rPr>
                <w:rFonts w:ascii="Times New Roman;serif" w:hAnsi="Times New Roman;serif"/>
                <w:b w:val="false"/>
                <w:i/>
                <w:color w:val="000000"/>
                <w:sz w:val="20"/>
              </w:rPr>
              <w:t>Chief Executive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Scott M. Zuehlke</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President—Chief Financial Officer and Treasurer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3221/000110465924049723/tm2412350d1_ex2-1.htm" TargetMode="External"/><Relationship Id="rId3" Type="http://schemas.openxmlformats.org/officeDocument/2006/relationships/hyperlink" Target="https://www.sec.gov/Archives/edgar/data/1423221/000110465924049723/tm2412350d1_ex2-1.htm" TargetMode="External"/><Relationship Id="rId4" Type="http://schemas.openxmlformats.org/officeDocument/2006/relationships/hyperlink" Target="https://www.sec.gov/Archives/edgar/data/1423221/000110465924049723/tm2412350d1_ex2-1.htm" TargetMode="External"/><Relationship Id="rId5" Type="http://schemas.openxmlformats.org/officeDocument/2006/relationships/hyperlink" Target="https://www.sec.gov/Archives/edgar/data/1423221/000110465924049723/tm2412350d1_ex2-1.htm" TargetMode="External"/><Relationship Id="rId6" Type="http://schemas.openxmlformats.org/officeDocument/2006/relationships/hyperlink" Target="https://www.sec.gov/Archives/edgar/data/1423221/000110465924049723/tm2412350d1_ex2-2.htm" TargetMode="External"/><Relationship Id="rId7" Type="http://schemas.openxmlformats.org/officeDocument/2006/relationships/hyperlink" Target="https://www.sec.gov/Archives/edgar/data/1423221/000110465924049723/tm2412350d1_ex2-2.htm" TargetMode="External"/><Relationship Id="rId8" Type="http://schemas.openxmlformats.org/officeDocument/2006/relationships/hyperlink" Target="https://www.sec.gov/Archives/edgar/data/1423221/000110465924049723/tm2412350d1_ex2-3.htm" TargetMode="External"/><Relationship Id="rId9" Type="http://schemas.openxmlformats.org/officeDocument/2006/relationships/hyperlink" Target="https://www.sec.gov/Archives/edgar/data/1423221/000110465924049723/tm2412350d1_ex2-3.htm" TargetMode="External"/><Relationship Id="rId10" Type="http://schemas.openxmlformats.org/officeDocument/2006/relationships/hyperlink" Target="https://www.sec.gov/Archives/edgar/data/1423221/000119312516495257/d156158dex31.htm" TargetMode="External"/><Relationship Id="rId11" Type="http://schemas.openxmlformats.org/officeDocument/2006/relationships/hyperlink" Target="https://www.sec.gov/Archives/edgar/data/1423221/000119312516495257/d156158dex31.htm" TargetMode="External"/><Relationship Id="rId12" Type="http://schemas.openxmlformats.org/officeDocument/2006/relationships/hyperlink" Target="https://www.sec.gov/Archives/edgar/data/1423221/000110465926022858/tm267884d1_ex3-1.htm" TargetMode="External"/><Relationship Id="rId13" Type="http://schemas.openxmlformats.org/officeDocument/2006/relationships/hyperlink" Target="https://www.sec.gov/Archives/edgar/data/1423221/000110465926022858/tm267884d1_ex3-1.htm" TargetMode="External"/><Relationship Id="rId14" Type="http://schemas.openxmlformats.org/officeDocument/2006/relationships/hyperlink" Target="https://www.sec.gov/Archives/edgar/data/1423221/000095012908000988/h52992a1exv4w1.htm" TargetMode="External"/><Relationship Id="rId15" Type="http://schemas.openxmlformats.org/officeDocument/2006/relationships/hyperlink" Target="https://www.sec.gov/Archives/edgar/data/1423221/000095012908000988/h52992a1exv4w1.htm" TargetMode="External"/><Relationship Id="rId16" Type="http://schemas.openxmlformats.org/officeDocument/2006/relationships/hyperlink" Target="https://www.sec.gov/Archives/edgar/data/1423221/000095012908000988/h52992a1exv4w1.htm" TargetMode="External"/><Relationship Id="rId17" Type="http://schemas.openxmlformats.org/officeDocument/2006/relationships/hyperlink" Target="https://www.sec.gov/Archives/edgar/data/1423221/000095012908000988/h52992a1exv4w1.htm" TargetMode="External"/><Relationship Id="rId18" Type="http://schemas.openxmlformats.org/officeDocument/2006/relationships/hyperlink" Target="https://www.sec.gov/Archives/edgar/data/1423221/000110465922077705/tm2220473d1_ex10-1.htm" TargetMode="External"/><Relationship Id="rId19" Type="http://schemas.openxmlformats.org/officeDocument/2006/relationships/hyperlink" Target="https://www.sec.gov/Archives/edgar/data/1423221/000110465922077705/tm2220473d1_ex10-1.htm" TargetMode="External"/><Relationship Id="rId20" Type="http://schemas.openxmlformats.org/officeDocument/2006/relationships/hyperlink" Target="https://www.sec.gov/Archives/edgar/data/1423221/000110465924071335/tm2417183d1_ex10-1.htm" TargetMode="External"/><Relationship Id="rId21" Type="http://schemas.openxmlformats.org/officeDocument/2006/relationships/hyperlink" Target="https://www.sec.gov/Archives/edgar/data/1423221/000110465924071335/tm2417183d1_ex10-1.htm" TargetMode="External"/><Relationship Id="rId22" Type="http://schemas.openxmlformats.org/officeDocument/2006/relationships/hyperlink" Target="https://www.sec.gov/Archives/edgar/data/1423221/000110465924071335/tm2417183d1_ex10-1.htm" TargetMode="External"/><Relationship Id="rId23" Type="http://schemas.openxmlformats.org/officeDocument/2006/relationships/hyperlink" Target="https://www.sec.gov/Archives/edgar/data/1423221/000110465924071335/tm2417183d1_ex10-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21147</Words>
  <Characters>119947</Characters>
  <CharactersWithSpaces>139591</CharactersWithSpaces>
  <Paragraphs>2963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