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166370</wp:posOffset>
            </wp:positionH>
            <wp:positionV relativeFrom="page">
              <wp:posOffset>363220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277495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6" w:lineRule="exact"/>
        <w:rPr>
          <w:sz w:val="24"/>
          <w:szCs w:val="24"/>
          <w:color w:val="auto"/>
        </w:rPr>
      </w:pPr>
    </w:p>
    <w:p>
      <w:pPr>
        <w:ind w:left="3580"/>
        <w:spacing w:after="0"/>
        <w:rPr>
          <w:sz w:val="20"/>
          <w:szCs w:val="20"/>
          <w:color w:val="auto"/>
        </w:rPr>
      </w:pPr>
      <w:r>
        <w:rPr>
          <w:rFonts w:ascii="Arial" w:cs="Arial" w:eastAsia="Arial" w:hAnsi="Arial"/>
          <w:sz w:val="18"/>
          <w:szCs w:val="18"/>
          <w:color w:val="auto"/>
        </w:rPr>
        <w:t>________________________________________________</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2" w:lineRule="exact"/>
        <w:rPr>
          <w:sz w:val="24"/>
          <w:szCs w:val="24"/>
          <w:color w:val="auto"/>
        </w:rPr>
      </w:pPr>
    </w:p>
    <w:p>
      <w:pPr>
        <w:ind w:left="3580"/>
        <w:spacing w:after="0"/>
        <w:rPr>
          <w:sz w:val="20"/>
          <w:szCs w:val="20"/>
          <w:color w:val="auto"/>
        </w:rPr>
      </w:pPr>
      <w:r>
        <w:rPr>
          <w:rFonts w:ascii="Arial" w:cs="Arial" w:eastAsia="Arial" w:hAnsi="Arial"/>
          <w:sz w:val="18"/>
          <w:szCs w:val="18"/>
          <w:color w:val="auto"/>
        </w:rPr>
        <w:t>________________________________________________</w:t>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(Mark One)</w:t>
      </w:r>
    </w:p>
    <w:p>
      <w:pPr>
        <w:spacing w:after="0" w:line="167" w:lineRule="exact"/>
        <w:rPr>
          <w:sz w:val="24"/>
          <w:szCs w:val="24"/>
          <w:color w:val="auto"/>
        </w:rPr>
      </w:pPr>
    </w:p>
    <w:p>
      <w:pPr>
        <w:ind w:left="740" w:hanging="428"/>
        <w:spacing w:after="0"/>
        <w:tabs>
          <w:tab w:leader="none" w:pos="740" w:val="left"/>
        </w:tabs>
        <w:numPr>
          <w:ilvl w:val="0"/>
          <w:numId w:val="1"/>
        </w:numPr>
        <w:rPr>
          <w:rFonts w:ascii="Arial" w:cs="Arial" w:eastAsia="Arial" w:hAnsi="Arial"/>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22" w:lineRule="exact"/>
        <w:rPr>
          <w:rFonts w:ascii="Arial" w:cs="Arial" w:eastAsia="Arial" w:hAnsi="Arial"/>
          <w:sz w:val="22"/>
          <w:szCs w:val="22"/>
          <w:color w:val="auto"/>
        </w:rPr>
      </w:pPr>
    </w:p>
    <w:p>
      <w:pPr>
        <w:ind w:left="3960"/>
        <w:spacing w:after="0"/>
        <w:rPr>
          <w:rFonts w:ascii="Arial" w:cs="Arial" w:eastAsia="Arial" w:hAnsi="Arial"/>
          <w:sz w:val="22"/>
          <w:szCs w:val="22"/>
          <w:color w:val="auto"/>
        </w:rPr>
      </w:pPr>
      <w:r>
        <w:rPr>
          <w:rFonts w:ascii="Arial" w:cs="Arial" w:eastAsia="Arial" w:hAnsi="Arial"/>
          <w:sz w:val="18"/>
          <w:szCs w:val="18"/>
          <w:b w:val="1"/>
          <w:bCs w:val="1"/>
          <w:color w:val="auto"/>
        </w:rPr>
        <w:t>For the quarterly period ended April 30, 2019</w:t>
      </w:r>
    </w:p>
    <w:p>
      <w:pPr>
        <w:spacing w:after="0" w:line="3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94" w:lineRule="exact"/>
        <w:rPr>
          <w:sz w:val="24"/>
          <w:szCs w:val="24"/>
          <w:color w:val="auto"/>
        </w:rPr>
      </w:pPr>
    </w:p>
    <w:p>
      <w:pPr>
        <w:ind w:left="740" w:hanging="469"/>
        <w:spacing w:after="0"/>
        <w:tabs>
          <w:tab w:leader="none" w:pos="74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77" w:lineRule="exact"/>
        <w:rPr>
          <w:sz w:val="24"/>
          <w:szCs w:val="24"/>
          <w:color w:val="auto"/>
        </w:rPr>
      </w:pPr>
    </w:p>
    <w:p>
      <w:pPr>
        <w:ind w:left="394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1-33913</w:t>
      </w:r>
    </w:p>
    <w:p>
      <w:pPr>
        <w:spacing w:after="0" w:line="9"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________________________________________________</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QUANEX BUILDING PRODUCTS CORPORATION</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7" w:lineRule="exact"/>
        <w:rPr>
          <w:sz w:val="24"/>
          <w:szCs w:val="24"/>
          <w:color w:val="auto"/>
        </w:rPr>
      </w:pPr>
    </w:p>
    <w:p>
      <w:pPr>
        <w:ind w:left="3580"/>
        <w:spacing w:after="0"/>
        <w:rPr>
          <w:sz w:val="20"/>
          <w:szCs w:val="20"/>
          <w:color w:val="auto"/>
        </w:rPr>
      </w:pPr>
      <w:r>
        <w:rPr>
          <w:rFonts w:ascii="Arial" w:cs="Arial" w:eastAsia="Arial" w:hAnsi="Arial"/>
          <w:sz w:val="18"/>
          <w:szCs w:val="18"/>
          <w:color w:val="auto"/>
        </w:rPr>
        <w:t>________________________________________________</w:t>
      </w:r>
    </w:p>
    <w:p>
      <w:pPr>
        <w:spacing w:after="0" w:line="171" w:lineRule="exact"/>
        <w:rPr>
          <w:sz w:val="24"/>
          <w:szCs w:val="24"/>
          <w:color w:val="auto"/>
        </w:rPr>
      </w:pPr>
    </w:p>
    <w:tbl>
      <w:tblPr>
        <w:tblLayout w:type="fixed"/>
        <w:tblInd w:w="1880" w:type="dxa"/>
        <w:tblCellMar>
          <w:top w:w="0" w:type="dxa"/>
          <w:left w:w="0" w:type="dxa"/>
          <w:bottom w:w="0" w:type="dxa"/>
          <w:right w:w="0" w:type="dxa"/>
        </w:tblCellMar>
      </w:tblPr>
      <w:tr>
        <w:trPr>
          <w:trHeight w:val="210"/>
        </w:trPr>
        <w:tc>
          <w:tcPr>
            <w:tcW w:w="4000" w:type="dxa"/>
            <w:vAlign w:val="bottom"/>
          </w:tcPr>
          <w:p>
            <w:pPr>
              <w:jc w:val="center"/>
              <w:ind w:right="2045"/>
              <w:spacing w:after="0"/>
              <w:rPr>
                <w:sz w:val="20"/>
                <w:szCs w:val="20"/>
                <w:color w:val="auto"/>
              </w:rPr>
            </w:pPr>
            <w:r>
              <w:rPr>
                <w:rFonts w:ascii="Arial" w:cs="Arial" w:eastAsia="Arial" w:hAnsi="Arial"/>
                <w:sz w:val="16"/>
                <w:szCs w:val="16"/>
                <w:b w:val="1"/>
                <w:bCs w:val="1"/>
                <w:color w:val="auto"/>
                <w:w w:val="99"/>
              </w:rPr>
              <w:t>DELAWARE</w:t>
            </w:r>
          </w:p>
        </w:tc>
        <w:tc>
          <w:tcPr>
            <w:tcW w:w="3240" w:type="dxa"/>
            <w:vAlign w:val="bottom"/>
          </w:tcPr>
          <w:p>
            <w:pPr>
              <w:jc w:val="center"/>
              <w:ind w:left="2065"/>
              <w:spacing w:after="0"/>
              <w:rPr>
                <w:sz w:val="20"/>
                <w:szCs w:val="20"/>
                <w:color w:val="auto"/>
              </w:rPr>
            </w:pPr>
            <w:r>
              <w:rPr>
                <w:rFonts w:ascii="Arial" w:cs="Arial" w:eastAsia="Arial" w:hAnsi="Arial"/>
                <w:sz w:val="16"/>
                <w:szCs w:val="16"/>
                <w:b w:val="1"/>
                <w:bCs w:val="1"/>
                <w:color w:val="auto"/>
                <w:w w:val="91"/>
              </w:rPr>
              <w:t>26-1561397</w:t>
            </w:r>
          </w:p>
        </w:tc>
      </w:tr>
      <w:tr>
        <w:trPr>
          <w:trHeight w:val="199"/>
        </w:trPr>
        <w:tc>
          <w:tcPr>
            <w:tcW w:w="4000" w:type="dxa"/>
            <w:vAlign w:val="bottom"/>
          </w:tcPr>
          <w:p>
            <w:pPr>
              <w:jc w:val="center"/>
              <w:ind w:right="2045"/>
              <w:spacing w:after="0"/>
              <w:rPr>
                <w:sz w:val="20"/>
                <w:szCs w:val="20"/>
                <w:color w:val="auto"/>
              </w:rPr>
            </w:pPr>
            <w:r>
              <w:rPr>
                <w:rFonts w:ascii="Arial" w:cs="Arial" w:eastAsia="Arial" w:hAnsi="Arial"/>
                <w:sz w:val="14"/>
                <w:szCs w:val="14"/>
                <w:b w:val="1"/>
                <w:bCs w:val="1"/>
                <w:color w:val="auto"/>
                <w:w w:val="93"/>
              </w:rPr>
              <w:t>(State or other jurisdiction of</w:t>
            </w:r>
          </w:p>
        </w:tc>
        <w:tc>
          <w:tcPr>
            <w:tcW w:w="3240" w:type="dxa"/>
            <w:vAlign w:val="bottom"/>
          </w:tcPr>
          <w:p>
            <w:pPr>
              <w:jc w:val="center"/>
              <w:ind w:left="2045"/>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000" w:type="dxa"/>
            <w:vAlign w:val="bottom"/>
          </w:tcPr>
          <w:p>
            <w:pPr>
              <w:jc w:val="center"/>
              <w:ind w:right="2045"/>
              <w:spacing w:after="0"/>
              <w:rPr>
                <w:sz w:val="20"/>
                <w:szCs w:val="20"/>
                <w:color w:val="auto"/>
              </w:rPr>
            </w:pPr>
            <w:r>
              <w:rPr>
                <w:rFonts w:ascii="Arial" w:cs="Arial" w:eastAsia="Arial" w:hAnsi="Arial"/>
                <w:sz w:val="14"/>
                <w:szCs w:val="14"/>
                <w:b w:val="1"/>
                <w:bCs w:val="1"/>
                <w:color w:val="auto"/>
                <w:w w:val="94"/>
              </w:rPr>
              <w:t>incorporation or organization)</w:t>
            </w:r>
          </w:p>
        </w:tc>
        <w:tc>
          <w:tcPr>
            <w:tcW w:w="3240" w:type="dxa"/>
            <w:vAlign w:val="bottom"/>
          </w:tcPr>
          <w:p>
            <w:pPr>
              <w:jc w:val="center"/>
              <w:ind w:left="2045"/>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1800 West Loop South, Suite 1500, Houston, Texas 77027</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(713) 961-4600</w:t>
      </w:r>
    </w:p>
    <w:p>
      <w:pPr>
        <w:spacing w:after="0" w:line="8"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6" w:lineRule="exact"/>
        <w:rPr>
          <w:sz w:val="24"/>
          <w:szCs w:val="24"/>
          <w:color w:val="auto"/>
        </w:rPr>
      </w:pPr>
    </w:p>
    <w:tbl>
      <w:tblPr>
        <w:tblLayout w:type="fixed"/>
        <w:tblInd w:w="60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2960" w:type="dxa"/>
            <w:vAlign w:val="bottom"/>
            <w:gridSpan w:val="2"/>
          </w:tcPr>
          <w:p>
            <w:pPr>
              <w:jc w:val="center"/>
              <w:ind w:right="1880"/>
              <w:spacing w:after="0"/>
              <w:rPr>
                <w:sz w:val="20"/>
                <w:szCs w:val="20"/>
                <w:color w:val="auto"/>
              </w:rPr>
            </w:pPr>
            <w:r>
              <w:rPr>
                <w:rFonts w:ascii="Arial" w:cs="Arial" w:eastAsia="Arial" w:hAnsi="Arial"/>
                <w:sz w:val="14"/>
                <w:szCs w:val="14"/>
                <w:b w:val="1"/>
                <w:bCs w:val="1"/>
                <w:color w:val="auto"/>
                <w:w w:val="89"/>
              </w:rPr>
              <w:t>Title of each class</w:t>
            </w:r>
          </w:p>
        </w:tc>
        <w:tc>
          <w:tcPr>
            <w:tcW w:w="372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92"/>
              </w:rPr>
              <w:t>Trading Symbol(s)</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64"/>
        </w:trPr>
        <w:tc>
          <w:tcPr>
            <w:tcW w:w="3940" w:type="dxa"/>
            <w:vAlign w:val="bottom"/>
            <w:gridSpan w:val="3"/>
          </w:tcPr>
          <w:p>
            <w:pPr>
              <w:jc w:val="center"/>
              <w:ind w:right="900"/>
              <w:spacing w:after="0"/>
              <w:rPr>
                <w:sz w:val="20"/>
                <w:szCs w:val="20"/>
                <w:color w:val="auto"/>
              </w:rPr>
            </w:pPr>
            <w:r>
              <w:rPr>
                <w:rFonts w:ascii="Arial" w:cs="Arial" w:eastAsia="Arial" w:hAnsi="Arial"/>
                <w:sz w:val="18"/>
                <w:szCs w:val="18"/>
                <w:color w:val="auto"/>
                <w:w w:val="89"/>
              </w:rPr>
              <w:t>Common Stock, par value $0.01 per share</w:t>
            </w:r>
          </w:p>
        </w:tc>
        <w:tc>
          <w:tcPr>
            <w:tcW w:w="900" w:type="dxa"/>
            <w:vAlign w:val="bottom"/>
          </w:tcPr>
          <w:p>
            <w:pPr>
              <w:spacing w:after="0"/>
              <w:rPr>
                <w:sz w:val="22"/>
                <w:szCs w:val="22"/>
                <w:color w:val="auto"/>
              </w:rPr>
            </w:pPr>
          </w:p>
        </w:tc>
        <w:tc>
          <w:tcPr>
            <w:tcW w:w="2820" w:type="dxa"/>
            <w:vAlign w:val="bottom"/>
            <w:gridSpan w:val="2"/>
          </w:tcPr>
          <w:p>
            <w:pPr>
              <w:jc w:val="center"/>
              <w:ind w:right="1680"/>
              <w:spacing w:after="0"/>
              <w:rPr>
                <w:sz w:val="20"/>
                <w:szCs w:val="20"/>
                <w:color w:val="auto"/>
              </w:rPr>
            </w:pPr>
            <w:r>
              <w:rPr>
                <w:rFonts w:ascii="Arial" w:cs="Arial" w:eastAsia="Arial" w:hAnsi="Arial"/>
                <w:sz w:val="18"/>
                <w:szCs w:val="18"/>
                <w:color w:val="auto"/>
              </w:rPr>
              <w:t>NX</w:t>
            </w: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4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95"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Large accelerated filer</w:t>
            </w:r>
          </w:p>
        </w:tc>
        <w:tc>
          <w:tcPr>
            <w:tcW w:w="6100" w:type="dxa"/>
            <w:vAlign w:val="bottom"/>
          </w:tcPr>
          <w:p>
            <w:pPr>
              <w:ind w:left="500"/>
              <w:spacing w:after="0"/>
              <w:rPr>
                <w:sz w:val="20"/>
                <w:szCs w:val="20"/>
                <w:color w:val="auto"/>
              </w:rPr>
            </w:pPr>
            <w:r>
              <w:rPr>
                <w:rFonts w:ascii="Arial" w:cs="Arial" w:eastAsia="Arial" w:hAnsi="Arial"/>
                <w:sz w:val="18"/>
                <w:szCs w:val="18"/>
                <w:color w:val="auto"/>
              </w:rPr>
              <w:t>x</w:t>
            </w:r>
          </w:p>
        </w:tc>
        <w:tc>
          <w:tcPr>
            <w:tcW w:w="2720" w:type="dxa"/>
            <w:vAlign w:val="bottom"/>
          </w:tcPr>
          <w:p>
            <w:pPr>
              <w:ind w:left="10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r>
      <w:tr>
        <w:trPr>
          <w:trHeight w:val="270"/>
        </w:trPr>
        <w:tc>
          <w:tcPr>
            <w:tcW w:w="2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Non-accelerated filer</w:t>
            </w:r>
          </w:p>
        </w:tc>
        <w:tc>
          <w:tcPr>
            <w:tcW w:w="6100" w:type="dxa"/>
            <w:vAlign w:val="bottom"/>
          </w:tcPr>
          <w:p>
            <w:pPr>
              <w:ind w:left="500"/>
              <w:spacing w:after="0"/>
              <w:rPr>
                <w:sz w:val="20"/>
                <w:szCs w:val="20"/>
                <w:color w:val="auto"/>
              </w:rPr>
            </w:pPr>
            <w:r>
              <w:rPr>
                <w:rFonts w:ascii="Arial" w:cs="Arial" w:eastAsia="Arial" w:hAnsi="Arial"/>
                <w:sz w:val="18"/>
                <w:szCs w:val="18"/>
                <w:color w:val="auto"/>
              </w:rPr>
              <w:t>o (Do not check if a smaller reporting company)</w:t>
            </w:r>
          </w:p>
        </w:tc>
        <w:tc>
          <w:tcPr>
            <w:tcW w:w="2720" w:type="dxa"/>
            <w:vAlign w:val="bottom"/>
          </w:tcPr>
          <w:p>
            <w:pPr>
              <w:ind w:left="100"/>
              <w:spacing w:after="0"/>
              <w:rPr>
                <w:sz w:val="20"/>
                <w:szCs w:val="20"/>
                <w:color w:val="auto"/>
              </w:rPr>
            </w:pPr>
            <w:r>
              <w:rPr>
                <w:rFonts w:ascii="Arial" w:cs="Arial" w:eastAsia="Arial" w:hAnsi="Arial"/>
                <w:sz w:val="18"/>
                <w:szCs w:val="18"/>
                <w:color w:val="auto"/>
              </w:rPr>
              <w:t>Smaller reporting company</w:t>
            </w:r>
          </w:p>
        </w:tc>
        <w:tc>
          <w:tcPr>
            <w:tcW w:w="40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r>
      <w:tr>
        <w:trPr>
          <w:trHeight w:val="270"/>
        </w:trPr>
        <w:tc>
          <w:tcPr>
            <w:tcW w:w="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6100" w:type="dxa"/>
            <w:vAlign w:val="bottom"/>
          </w:tcPr>
          <w:p>
            <w:pPr>
              <w:spacing w:after="0"/>
              <w:rPr>
                <w:sz w:val="23"/>
                <w:szCs w:val="23"/>
                <w:color w:val="auto"/>
              </w:rPr>
            </w:pPr>
          </w:p>
        </w:tc>
        <w:tc>
          <w:tcPr>
            <w:tcW w:w="2720" w:type="dxa"/>
            <w:vAlign w:val="bottom"/>
          </w:tcPr>
          <w:p>
            <w:pPr>
              <w:ind w:left="100"/>
              <w:spacing w:after="0"/>
              <w:rPr>
                <w:sz w:val="20"/>
                <w:szCs w:val="20"/>
                <w:color w:val="auto"/>
              </w:rPr>
            </w:pPr>
            <w:r>
              <w:rPr>
                <w:rFonts w:ascii="Arial" w:cs="Arial" w:eastAsia="Arial" w:hAnsi="Arial"/>
                <w:sz w:val="18"/>
                <w:szCs w:val="18"/>
                <w:color w:val="auto"/>
              </w:rPr>
              <w:t>Emerging growth company</w:t>
            </w:r>
          </w:p>
        </w:tc>
        <w:tc>
          <w:tcPr>
            <w:tcW w:w="40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r>
      <w:tr>
        <w:trPr>
          <w:trHeight w:val="249"/>
        </w:trPr>
        <w:tc>
          <w:tcPr>
            <w:tcW w:w="20" w:type="dxa"/>
            <w:vAlign w:val="bottom"/>
          </w:tcPr>
          <w:p>
            <w:pPr>
              <w:spacing w:after="0"/>
              <w:rPr>
                <w:sz w:val="21"/>
                <w:szCs w:val="21"/>
                <w:color w:val="auto"/>
              </w:rPr>
            </w:pPr>
          </w:p>
        </w:tc>
        <w:tc>
          <w:tcPr>
            <w:tcW w:w="10980" w:type="dxa"/>
            <w:vAlign w:val="bottom"/>
            <w:gridSpan w:val="3"/>
          </w:tcPr>
          <w:p>
            <w:pPr>
              <w:ind w:left="20"/>
              <w:spacing w:after="0"/>
              <w:rPr>
                <w:sz w:val="20"/>
                <w:szCs w:val="20"/>
                <w:color w:val="auto"/>
              </w:rPr>
            </w:pPr>
            <w:r>
              <w:rPr>
                <w:rFonts w:ascii="Arial" w:cs="Arial" w:eastAsia="Arial" w:hAnsi="Arial"/>
                <w:sz w:val="18"/>
                <w:szCs w:val="18"/>
                <w:color w:val="auto"/>
                <w:w w:val="93"/>
              </w:rPr>
              <w:t>If an emerging growth company, indicate by check mark if the registrant has elected not to use the extended transition period for complying with any</w:t>
            </w:r>
          </w:p>
        </w:tc>
        <w:tc>
          <w:tcPr>
            <w:tcW w:w="40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20" w:type="dxa"/>
            <w:vAlign w:val="bottom"/>
          </w:tcPr>
          <w:p>
            <w:pPr>
              <w:spacing w:after="0"/>
              <w:rPr>
                <w:sz w:val="20"/>
                <w:szCs w:val="20"/>
                <w:color w:val="auto"/>
              </w:rPr>
            </w:pPr>
          </w:p>
        </w:tc>
        <w:tc>
          <w:tcPr>
            <w:tcW w:w="8260" w:type="dxa"/>
            <w:vAlign w:val="bottom"/>
            <w:gridSpan w:val="2"/>
          </w:tcPr>
          <w:p>
            <w:pPr>
              <w:ind w:left="20"/>
              <w:spacing w:after="0"/>
              <w:rPr>
                <w:sz w:val="20"/>
                <w:szCs w:val="20"/>
                <w:color w:val="auto"/>
              </w:rPr>
            </w:pPr>
            <w:r>
              <w:rPr>
                <w:rFonts w:ascii="Arial" w:cs="Arial" w:eastAsia="Arial" w:hAnsi="Arial"/>
                <w:sz w:val="18"/>
                <w:szCs w:val="18"/>
                <w:color w:val="auto"/>
              </w:rPr>
              <w:t>new or revised financial accounting standards provided pursuant to Section 13(a) of the Securities Act.</w:t>
            </w:r>
          </w:p>
        </w:tc>
        <w:tc>
          <w:tcPr>
            <w:tcW w:w="27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83"/>
        </w:trPr>
        <w:tc>
          <w:tcPr>
            <w:tcW w:w="8280" w:type="dxa"/>
            <w:vAlign w:val="bottom"/>
            <w:gridSpan w:val="3"/>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72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tc>
        <w:tc>
          <w:tcPr>
            <w:tcW w:w="400" w:type="dxa"/>
            <w:vAlign w:val="bottom"/>
          </w:tcPr>
          <w:p>
            <w:pPr>
              <w:spacing w:after="0"/>
              <w:rPr>
                <w:sz w:val="24"/>
                <w:szCs w:val="24"/>
                <w:color w:val="auto"/>
              </w:rPr>
            </w:pPr>
          </w:p>
        </w:tc>
      </w:tr>
      <w:tr>
        <w:trPr>
          <w:trHeight w:val="230"/>
        </w:trPr>
        <w:tc>
          <w:tcPr>
            <w:tcW w:w="8280" w:type="dxa"/>
            <w:vAlign w:val="bottom"/>
            <w:gridSpan w:val="3"/>
          </w:tcPr>
          <w:p>
            <w:pPr>
              <w:spacing w:after="0"/>
              <w:rPr>
                <w:sz w:val="20"/>
                <w:szCs w:val="20"/>
                <w:color w:val="auto"/>
              </w:rPr>
            </w:pPr>
            <w:r>
              <w:rPr>
                <w:rFonts w:ascii="Arial" w:cs="Arial" w:eastAsia="Arial" w:hAnsi="Arial"/>
                <w:sz w:val="18"/>
                <w:szCs w:val="18"/>
                <w:color w:val="auto"/>
                <w:w w:val="98"/>
              </w:rPr>
              <w:t>The number of shares outstanding of the registrant's Common Stock as of June 3, 2019 was 33,121,513.</w:t>
            </w:r>
          </w:p>
        </w:tc>
        <w:tc>
          <w:tcPr>
            <w:tcW w:w="27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135"/>
        </w:trPr>
        <w:tc>
          <w:tcPr>
            <w:tcW w:w="20" w:type="dxa"/>
            <w:vAlign w:val="bottom"/>
          </w:tcPr>
          <w:p>
            <w:pPr>
              <w:spacing w:after="0"/>
              <w:rPr>
                <w:sz w:val="11"/>
                <w:szCs w:val="11"/>
                <w:color w:val="auto"/>
              </w:rPr>
            </w:pPr>
          </w:p>
        </w:tc>
        <w:tc>
          <w:tcPr>
            <w:tcW w:w="2160" w:type="dxa"/>
            <w:vAlign w:val="bottom"/>
            <w:tcBorders>
              <w:bottom w:val="single" w:sz="8" w:color="auto"/>
            </w:tcBorders>
          </w:tcPr>
          <w:p>
            <w:pPr>
              <w:spacing w:after="0"/>
              <w:rPr>
                <w:sz w:val="11"/>
                <w:szCs w:val="11"/>
                <w:color w:val="auto"/>
              </w:rPr>
            </w:pPr>
          </w:p>
        </w:tc>
        <w:tc>
          <w:tcPr>
            <w:tcW w:w="6100" w:type="dxa"/>
            <w:vAlign w:val="bottom"/>
            <w:tcBorders>
              <w:bottom w:val="single" w:sz="8" w:color="auto"/>
            </w:tcBorders>
          </w:tcPr>
          <w:p>
            <w:pPr>
              <w:spacing w:after="0"/>
              <w:rPr>
                <w:sz w:val="11"/>
                <w:szCs w:val="11"/>
                <w:color w:val="auto"/>
              </w:rPr>
            </w:pPr>
          </w:p>
        </w:tc>
        <w:tc>
          <w:tcPr>
            <w:tcW w:w="27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6100" w:type="dxa"/>
            <w:vAlign w:val="bottom"/>
            <w:tcBorders>
              <w:bottom w:val="single" w:sz="8" w:color="auto"/>
            </w:tcBorders>
          </w:tcPr>
          <w:p>
            <w:pPr>
              <w:spacing w:after="0"/>
              <w:rPr>
                <w:sz w:val="10"/>
                <w:szCs w:val="10"/>
                <w:color w:val="auto"/>
              </w:rPr>
            </w:pPr>
          </w:p>
        </w:tc>
        <w:tc>
          <w:tcPr>
            <w:tcW w:w="27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612"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0" w:type="dxa"/>
            <w:vAlign w:val="bottom"/>
            <w:gridSpan w:val="10"/>
          </w:tcPr>
          <w:p>
            <w:pPr>
              <w:jc w:val="center"/>
              <w:ind w:right="1380"/>
              <w:spacing w:after="0"/>
              <w:rPr>
                <w:sz w:val="20"/>
                <w:szCs w:val="20"/>
                <w:color w:val="auto"/>
              </w:rPr>
            </w:pPr>
            <w:r>
              <w:rPr>
                <w:rFonts w:ascii="Arial" w:cs="Arial" w:eastAsia="Arial" w:hAnsi="Arial"/>
                <w:sz w:val="18"/>
                <w:szCs w:val="18"/>
                <w:b w:val="1"/>
                <w:bCs w:val="1"/>
                <w:color w:val="auto"/>
              </w:rPr>
              <w:t>QUANEX BUILDING PRODUCTS CORPORATION</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240" w:type="dxa"/>
            <w:vAlign w:val="bottom"/>
            <w:gridSpan w:val="9"/>
          </w:tcPr>
          <w:p>
            <w:pPr>
              <w:jc w:val="center"/>
              <w:ind w:right="4140"/>
              <w:spacing w:after="0"/>
              <w:rPr>
                <w:sz w:val="20"/>
                <w:szCs w:val="20"/>
                <w:color w:val="auto"/>
              </w:rPr>
            </w:pPr>
            <w:r>
              <w:rPr>
                <w:rFonts w:ascii="Arial" w:cs="Arial" w:eastAsia="Arial" w:hAnsi="Arial"/>
                <w:sz w:val="18"/>
                <w:szCs w:val="18"/>
                <w:b w:val="1"/>
                <w:bCs w:val="1"/>
                <w:color w:val="auto"/>
              </w:rPr>
              <w:t>INDEX</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00"/>
        </w:trPr>
        <w:tc>
          <w:tcPr>
            <w:tcW w:w="1180" w:type="dxa"/>
            <w:vAlign w:val="bottom"/>
          </w:tcPr>
          <w:p>
            <w:pPr>
              <w:spacing w:after="0"/>
              <w:rPr>
                <w:sz w:val="20"/>
                <w:szCs w:val="20"/>
                <w:color w:val="auto"/>
              </w:rPr>
            </w:pPr>
            <w:r>
              <w:rPr>
                <w:rFonts w:ascii="Arial" w:cs="Arial" w:eastAsia="Arial" w:hAnsi="Arial"/>
                <w:sz w:val="18"/>
                <w:szCs w:val="18"/>
                <w:color w:val="auto"/>
              </w:rPr>
              <w:t>PART I.</w:t>
            </w:r>
          </w:p>
        </w:tc>
        <w:tc>
          <w:tcPr>
            <w:tcW w:w="9360" w:type="dxa"/>
            <w:vAlign w:val="bottom"/>
            <w:gridSpan w:val="11"/>
          </w:tcPr>
          <w:p>
            <w:pPr>
              <w:spacing w:after="0"/>
              <w:rPr>
                <w:rFonts w:ascii="Arial" w:cs="Arial" w:eastAsia="Arial" w:hAnsi="Arial"/>
                <w:sz w:val="18"/>
                <w:szCs w:val="18"/>
                <w:color w:val="auto"/>
              </w:rPr>
            </w:pPr>
            <w:hyperlink w:anchor="page3">
              <w:r>
                <w:rPr>
                  <w:rFonts w:ascii="Arial" w:cs="Arial" w:eastAsia="Arial" w:hAnsi="Arial"/>
                  <w:sz w:val="18"/>
                  <w:szCs w:val="18"/>
                  <w:color w:val="auto"/>
                </w:rPr>
                <w:t>FINANCIAL INFORMATION</w:t>
              </w:r>
            </w:hyperlink>
          </w:p>
        </w:tc>
        <w:tc>
          <w:tcPr>
            <w:tcW w:w="80" w:type="dxa"/>
            <w:vAlign w:val="bottom"/>
          </w:tcPr>
          <w:p>
            <w:pPr>
              <w:spacing w:after="0"/>
              <w:rPr>
                <w:sz w:val="24"/>
                <w:szCs w:val="24"/>
                <w:color w:val="auto"/>
              </w:rPr>
            </w:pPr>
          </w:p>
        </w:tc>
        <w:tc>
          <w:tcPr>
            <w:tcW w:w="10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r>
      <w:tr>
        <w:trPr>
          <w:trHeight w:val="520"/>
        </w:trPr>
        <w:tc>
          <w:tcPr>
            <w:tcW w:w="1180" w:type="dxa"/>
            <w:vAlign w:val="bottom"/>
          </w:tcPr>
          <w:p>
            <w:pPr>
              <w:ind w:left="120"/>
              <w:spacing w:after="0"/>
              <w:rPr>
                <w:sz w:val="20"/>
                <w:szCs w:val="20"/>
                <w:color w:val="auto"/>
              </w:rPr>
            </w:pPr>
            <w:r>
              <w:rPr>
                <w:rFonts w:ascii="Arial" w:cs="Arial" w:eastAsia="Arial" w:hAnsi="Arial"/>
                <w:sz w:val="18"/>
                <w:szCs w:val="18"/>
                <w:b w:val="1"/>
                <w:bCs w:val="1"/>
                <w:color w:val="auto"/>
              </w:rPr>
              <w:t>Item 1:</w:t>
            </w:r>
          </w:p>
        </w:tc>
        <w:tc>
          <w:tcPr>
            <w:tcW w:w="9360" w:type="dxa"/>
            <w:vAlign w:val="bottom"/>
            <w:gridSpan w:val="11"/>
          </w:tcPr>
          <w:p>
            <w:pPr>
              <w:spacing w:after="0"/>
              <w:rPr>
                <w:sz w:val="20"/>
                <w:szCs w:val="20"/>
                <w:color w:val="auto"/>
              </w:rPr>
            </w:pPr>
            <w:r>
              <w:rPr>
                <w:rFonts w:ascii="Arial" w:cs="Arial" w:eastAsia="Arial" w:hAnsi="Arial"/>
                <w:sz w:val="18"/>
                <w:szCs w:val="18"/>
                <w:b w:val="1"/>
                <w:bCs w:val="1"/>
                <w:color w:val="auto"/>
              </w:rPr>
              <w:t>Financial Statements (Unaudited)</w:t>
            </w:r>
          </w:p>
        </w:tc>
        <w:tc>
          <w:tcPr>
            <w:tcW w:w="80" w:type="dxa"/>
            <w:vAlign w:val="bottom"/>
          </w:tcPr>
          <w:p>
            <w:pPr>
              <w:spacing w:after="0"/>
              <w:rPr>
                <w:sz w:val="24"/>
                <w:szCs w:val="24"/>
                <w:color w:val="auto"/>
              </w:rPr>
            </w:pPr>
          </w:p>
        </w:tc>
        <w:tc>
          <w:tcPr>
            <w:tcW w:w="10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r>
      <w:tr>
        <w:trPr>
          <w:trHeight w:val="439"/>
        </w:trPr>
        <w:tc>
          <w:tcPr>
            <w:tcW w:w="1180" w:type="dxa"/>
            <w:vAlign w:val="bottom"/>
          </w:tcPr>
          <w:p>
            <w:pPr>
              <w:spacing w:after="0"/>
              <w:rPr>
                <w:sz w:val="24"/>
                <w:szCs w:val="24"/>
                <w:color w:val="auto"/>
              </w:rPr>
            </w:pPr>
          </w:p>
        </w:tc>
        <w:tc>
          <w:tcPr>
            <w:tcW w:w="9360" w:type="dxa"/>
            <w:vAlign w:val="bottom"/>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 xml:space="preserve">Condensed Consolidated Balance Sheets – </w:t>
              </w:r>
            </w:hyperlink>
            <w:r>
              <w:rPr>
                <w:rFonts w:ascii="Arial" w:cs="Arial" w:eastAsia="Arial" w:hAnsi="Arial"/>
                <w:sz w:val="18"/>
                <w:szCs w:val="18"/>
                <w:color w:val="0000FF"/>
              </w:rPr>
              <w:t>April</w:t>
            </w:r>
            <w:r>
              <w:rPr>
                <w:rFonts w:ascii="Arial" w:cs="Arial" w:eastAsia="Arial" w:hAnsi="Arial"/>
                <w:sz w:val="18"/>
                <w:szCs w:val="18"/>
                <w:color w:val="0000EE"/>
              </w:rPr>
              <w:t xml:space="preserve"> </w:t>
            </w:r>
            <w:r>
              <w:rPr>
                <w:rFonts w:ascii="Arial" w:cs="Arial" w:eastAsia="Arial" w:hAnsi="Arial"/>
                <w:sz w:val="18"/>
                <w:szCs w:val="18"/>
                <w:color w:val="0000FF"/>
              </w:rPr>
              <w:t>30, 2019 and October 31, 2018</w:t>
            </w:r>
          </w:p>
        </w:tc>
        <w:tc>
          <w:tcPr>
            <w:tcW w:w="18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1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39"/>
        </w:trPr>
        <w:tc>
          <w:tcPr>
            <w:tcW w:w="1180" w:type="dxa"/>
            <w:vAlign w:val="bottom"/>
          </w:tcPr>
          <w:p>
            <w:pPr>
              <w:spacing w:after="0"/>
              <w:rPr>
                <w:sz w:val="24"/>
                <w:szCs w:val="24"/>
                <w:color w:val="auto"/>
              </w:rPr>
            </w:pPr>
          </w:p>
        </w:tc>
        <w:tc>
          <w:tcPr>
            <w:tcW w:w="9360" w:type="dxa"/>
            <w:vAlign w:val="bottom"/>
            <w:gridSpan w:val="1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 xml:space="preserve">Condensed Consolidated Statements of (Loss) Income – Three </w:t>
              </w:r>
            </w:hyperlink>
            <w:r>
              <w:rPr>
                <w:rFonts w:ascii="Arial" w:cs="Arial" w:eastAsia="Arial" w:hAnsi="Arial"/>
                <w:sz w:val="18"/>
                <w:szCs w:val="18"/>
                <w:color w:val="0000FF"/>
              </w:rPr>
              <w:t>and</w:t>
            </w:r>
            <w:r>
              <w:rPr>
                <w:rFonts w:ascii="Arial" w:cs="Arial" w:eastAsia="Arial" w:hAnsi="Arial"/>
                <w:sz w:val="18"/>
                <w:szCs w:val="18"/>
                <w:color w:val="0000EE"/>
              </w:rPr>
              <w:t xml:space="preserve"> </w:t>
            </w:r>
            <w:r>
              <w:rPr>
                <w:rFonts w:ascii="Arial" w:cs="Arial" w:eastAsia="Arial" w:hAnsi="Arial"/>
                <w:sz w:val="18"/>
                <w:szCs w:val="18"/>
                <w:color w:val="0000FF"/>
              </w:rPr>
              <w:t>Six Months Ended April 30, 2019 and 2018</w:t>
            </w:r>
          </w:p>
        </w:tc>
        <w:tc>
          <w:tcPr>
            <w:tcW w:w="18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20"/>
        </w:trPr>
        <w:tc>
          <w:tcPr>
            <w:tcW w:w="1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54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39"/>
        </w:trPr>
        <w:tc>
          <w:tcPr>
            <w:tcW w:w="1180" w:type="dxa"/>
            <w:vAlign w:val="bottom"/>
          </w:tcPr>
          <w:p>
            <w:pPr>
              <w:spacing w:after="0"/>
              <w:rPr>
                <w:sz w:val="24"/>
                <w:szCs w:val="24"/>
                <w:color w:val="auto"/>
              </w:rPr>
            </w:pPr>
          </w:p>
        </w:tc>
        <w:tc>
          <w:tcPr>
            <w:tcW w:w="9360" w:type="dxa"/>
            <w:vAlign w:val="bottom"/>
            <w:gridSpan w:val="11"/>
          </w:tcPr>
          <w:p>
            <w:pPr>
              <w:spacing w:after="0"/>
              <w:rPr>
                <w:sz w:val="20"/>
                <w:szCs w:val="20"/>
                <w:color w:val="auto"/>
              </w:rPr>
            </w:pPr>
            <w:r>
              <w:rPr>
                <w:rFonts w:ascii="Arial" w:cs="Arial" w:eastAsia="Arial" w:hAnsi="Arial"/>
                <w:sz w:val="18"/>
                <w:szCs w:val="18"/>
                <w:color w:val="0000FF"/>
                <w:w w:val="96"/>
              </w:rPr>
              <w:t>Condensed Consolidated Statements of Comprehensive (Loss) Income - Three and Six Months Ended April 30, 2019 and</w:t>
            </w:r>
          </w:p>
        </w:tc>
        <w:tc>
          <w:tcPr>
            <w:tcW w:w="18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196"/>
        </w:trPr>
        <w:tc>
          <w:tcPr>
            <w:tcW w:w="118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18"/>
                <w:szCs w:val="18"/>
                <w:color w:val="0000FF"/>
                <w:w w:val="84"/>
              </w:rPr>
              <w:t>2018</w:t>
            </w:r>
          </w:p>
        </w:tc>
        <w:tc>
          <w:tcPr>
            <w:tcW w:w="276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980" w:type="dxa"/>
            <w:vAlign w:val="bottom"/>
            <w:tcBorders>
              <w:top w:val="single" w:sz="8" w:color="0000FF"/>
            </w:tcBorders>
          </w:tcPr>
          <w:p>
            <w:pPr>
              <w:spacing w:after="0"/>
              <w:rPr>
                <w:sz w:val="17"/>
                <w:szCs w:val="17"/>
                <w:color w:val="auto"/>
              </w:rPr>
            </w:pPr>
          </w:p>
        </w:tc>
        <w:tc>
          <w:tcPr>
            <w:tcW w:w="11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98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r>
      <w:tr>
        <w:trPr>
          <w:trHeight w:val="439"/>
        </w:trPr>
        <w:tc>
          <w:tcPr>
            <w:tcW w:w="1180" w:type="dxa"/>
            <w:vAlign w:val="bottom"/>
          </w:tcPr>
          <w:p>
            <w:pPr>
              <w:spacing w:after="0"/>
              <w:rPr>
                <w:sz w:val="24"/>
                <w:szCs w:val="24"/>
                <w:color w:val="auto"/>
              </w:rPr>
            </w:pPr>
          </w:p>
        </w:tc>
        <w:tc>
          <w:tcPr>
            <w:tcW w:w="9360" w:type="dxa"/>
            <w:vAlign w:val="bottom"/>
            <w:gridSpan w:val="1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 xml:space="preserve">Condensed Consolidated Statements of Cash Flows – </w:t>
              </w:r>
            </w:hyperlink>
            <w:r>
              <w:rPr>
                <w:rFonts w:ascii="Arial" w:cs="Arial" w:eastAsia="Arial" w:hAnsi="Arial"/>
                <w:sz w:val="18"/>
                <w:szCs w:val="18"/>
                <w:color w:val="0000FF"/>
              </w:rPr>
              <w:t>Six</w:t>
            </w:r>
            <w:r>
              <w:rPr>
                <w:rFonts w:ascii="Arial" w:cs="Arial" w:eastAsia="Arial" w:hAnsi="Arial"/>
                <w:sz w:val="18"/>
                <w:szCs w:val="18"/>
                <w:color w:val="0000EE"/>
              </w:rPr>
              <w:t xml:space="preserve"> </w:t>
            </w:r>
            <w:r>
              <w:rPr>
                <w:rFonts w:ascii="Arial" w:cs="Arial" w:eastAsia="Arial" w:hAnsi="Arial"/>
                <w:sz w:val="18"/>
                <w:szCs w:val="18"/>
                <w:color w:val="0000FF"/>
              </w:rPr>
              <w:t>Months Ended April 30, 2019 and 2018</w:t>
            </w:r>
          </w:p>
        </w:tc>
        <w:tc>
          <w:tcPr>
            <w:tcW w:w="180" w:type="dxa"/>
            <w:vAlign w:val="bottom"/>
            <w:gridSpan w:val="3"/>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r>
      <w:tr>
        <w:trPr>
          <w:trHeight w:val="20"/>
        </w:trPr>
        <w:tc>
          <w:tcPr>
            <w:tcW w:w="1180" w:type="dxa"/>
            <w:vAlign w:val="bottom"/>
          </w:tcPr>
          <w:p>
            <w:pPr>
              <w:spacing w:after="0" w:line="20" w:lineRule="exact"/>
              <w:rPr>
                <w:sz w:val="1"/>
                <w:szCs w:val="1"/>
                <w:color w:val="auto"/>
              </w:rPr>
            </w:pPr>
          </w:p>
        </w:tc>
        <w:tc>
          <w:tcPr>
            <w:tcW w:w="3900" w:type="dxa"/>
            <w:vAlign w:val="bottom"/>
            <w:gridSpan w:val="3"/>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39"/>
        </w:trPr>
        <w:tc>
          <w:tcPr>
            <w:tcW w:w="1180" w:type="dxa"/>
            <w:vAlign w:val="bottom"/>
          </w:tcPr>
          <w:p>
            <w:pPr>
              <w:spacing w:after="0"/>
              <w:rPr>
                <w:sz w:val="24"/>
                <w:szCs w:val="24"/>
                <w:color w:val="auto"/>
              </w:rPr>
            </w:pPr>
          </w:p>
        </w:tc>
        <w:tc>
          <w:tcPr>
            <w:tcW w:w="9360" w:type="dxa"/>
            <w:vAlign w:val="bottom"/>
            <w:gridSpan w:val="1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 xml:space="preserve">Condensed Consolidated Statement of Stockholders’ Equity – </w:t>
              </w:r>
            </w:hyperlink>
            <w:r>
              <w:rPr>
                <w:rFonts w:ascii="Arial" w:cs="Arial" w:eastAsia="Arial" w:hAnsi="Arial"/>
                <w:sz w:val="18"/>
                <w:szCs w:val="18"/>
                <w:color w:val="0000FF"/>
              </w:rPr>
              <w:t>Six</w:t>
            </w:r>
            <w:r>
              <w:rPr>
                <w:rFonts w:ascii="Arial" w:cs="Arial" w:eastAsia="Arial" w:hAnsi="Arial"/>
                <w:sz w:val="18"/>
                <w:szCs w:val="18"/>
                <w:color w:val="0000EE"/>
              </w:rPr>
              <w:t xml:space="preserve"> </w:t>
            </w:r>
            <w:r>
              <w:rPr>
                <w:rFonts w:ascii="Arial" w:cs="Arial" w:eastAsia="Arial" w:hAnsi="Arial"/>
                <w:sz w:val="18"/>
                <w:szCs w:val="18"/>
                <w:color w:val="0000FF"/>
              </w:rPr>
              <w:t>Months Ended April 30, 2019</w:t>
            </w:r>
          </w:p>
        </w:tc>
        <w:tc>
          <w:tcPr>
            <w:tcW w:w="180" w:type="dxa"/>
            <w:vAlign w:val="bottom"/>
            <w:gridSpan w:val="3"/>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5</w:t>
              </w:r>
            </w:hyperlink>
          </w:p>
        </w:tc>
      </w:tr>
      <w:tr>
        <w:trPr>
          <w:trHeight w:val="20"/>
        </w:trPr>
        <w:tc>
          <w:tcPr>
            <w:tcW w:w="1180" w:type="dxa"/>
            <w:vAlign w:val="bottom"/>
          </w:tcPr>
          <w:p>
            <w:pPr>
              <w:spacing w:after="0" w:line="20" w:lineRule="exact"/>
              <w:rPr>
                <w:sz w:val="1"/>
                <w:szCs w:val="1"/>
                <w:color w:val="auto"/>
              </w:rPr>
            </w:pPr>
          </w:p>
        </w:tc>
        <w:tc>
          <w:tcPr>
            <w:tcW w:w="4520" w:type="dxa"/>
            <w:vAlign w:val="bottom"/>
            <w:tcBorders>
              <w:right w:val="single" w:sz="8" w:color="0000FF"/>
            </w:tcBorders>
            <w:gridSpan w:val="4"/>
            <w:shd w:val="clear" w:color="auto" w:fill="0000EE"/>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39"/>
        </w:trPr>
        <w:tc>
          <w:tcPr>
            <w:tcW w:w="1180" w:type="dxa"/>
            <w:vAlign w:val="bottom"/>
          </w:tcPr>
          <w:p>
            <w:pPr>
              <w:spacing w:after="0"/>
              <w:rPr>
                <w:sz w:val="24"/>
                <w:szCs w:val="24"/>
                <w:color w:val="auto"/>
              </w:rPr>
            </w:pPr>
          </w:p>
        </w:tc>
        <w:tc>
          <w:tcPr>
            <w:tcW w:w="4800" w:type="dxa"/>
            <w:vAlign w:val="bottom"/>
            <w:gridSpan w:val="5"/>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Unaudited Condensed Consolidated Financial Statements</w:t>
              </w:r>
            </w:hyperlink>
          </w:p>
        </w:tc>
        <w:tc>
          <w:tcPr>
            <w:tcW w:w="4560" w:type="dxa"/>
            <w:vAlign w:val="bottom"/>
            <w:gridSpan w:val="6"/>
          </w:tcPr>
          <w:p>
            <w:pPr>
              <w:spacing w:after="0"/>
              <w:rPr>
                <w:sz w:val="24"/>
                <w:szCs w:val="24"/>
                <w:color w:val="auto"/>
              </w:rPr>
            </w:pPr>
          </w:p>
        </w:tc>
        <w:tc>
          <w:tcPr>
            <w:tcW w:w="180" w:type="dxa"/>
            <w:vAlign w:val="bottom"/>
            <w:gridSpan w:val="3"/>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6</w:t>
              </w:r>
            </w:hyperlink>
          </w:p>
        </w:tc>
      </w:tr>
      <w:tr>
        <w:trPr>
          <w:trHeight w:val="20"/>
        </w:trPr>
        <w:tc>
          <w:tcPr>
            <w:tcW w:w="1180" w:type="dxa"/>
            <w:vAlign w:val="bottom"/>
          </w:tcPr>
          <w:p>
            <w:pPr>
              <w:spacing w:after="0" w:line="20" w:lineRule="exact"/>
              <w:rPr>
                <w:sz w:val="1"/>
                <w:szCs w:val="1"/>
                <w:color w:val="auto"/>
              </w:rPr>
            </w:pPr>
          </w:p>
        </w:tc>
        <w:tc>
          <w:tcPr>
            <w:tcW w:w="4800" w:type="dxa"/>
            <w:vAlign w:val="bottom"/>
            <w:gridSpan w:val="5"/>
            <w:shd w:val="clear" w:color="auto" w:fill="0000EE"/>
          </w:tcPr>
          <w:p>
            <w:pPr>
              <w:spacing w:after="0" w:line="20" w:lineRule="exact"/>
              <w:rPr>
                <w:sz w:val="1"/>
                <w:szCs w:val="1"/>
                <w:color w:val="auto"/>
              </w:rPr>
            </w:pPr>
          </w:p>
        </w:tc>
        <w:tc>
          <w:tcPr>
            <w:tcW w:w="456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520"/>
        </w:trPr>
        <w:tc>
          <w:tcPr>
            <w:tcW w:w="1180" w:type="dxa"/>
            <w:vAlign w:val="bottom"/>
          </w:tcPr>
          <w:p>
            <w:pPr>
              <w:ind w:left="120"/>
              <w:spacing w:after="0"/>
              <w:rPr>
                <w:sz w:val="20"/>
                <w:szCs w:val="20"/>
                <w:color w:val="auto"/>
              </w:rPr>
            </w:pPr>
            <w:r>
              <w:rPr>
                <w:rFonts w:ascii="Arial" w:cs="Arial" w:eastAsia="Arial" w:hAnsi="Arial"/>
                <w:sz w:val="18"/>
                <w:szCs w:val="18"/>
                <w:b w:val="1"/>
                <w:bCs w:val="1"/>
                <w:color w:val="auto"/>
              </w:rPr>
              <w:t>Item 2:</w:t>
            </w:r>
          </w:p>
        </w:tc>
        <w:tc>
          <w:tcPr>
            <w:tcW w:w="9360" w:type="dxa"/>
            <w:vAlign w:val="bottom"/>
            <w:gridSpan w:val="11"/>
          </w:tcPr>
          <w:p>
            <w:pPr>
              <w:spacing w:after="0"/>
              <w:rPr>
                <w:rFonts w:ascii="Arial" w:cs="Arial" w:eastAsia="Arial" w:hAnsi="Arial"/>
                <w:sz w:val="18"/>
                <w:szCs w:val="18"/>
                <w:b w:val="1"/>
                <w:bCs w:val="1"/>
                <w:color w:val="auto"/>
              </w:rPr>
            </w:pPr>
            <w:hyperlink w:anchor="page28">
              <w:r>
                <w:rPr>
                  <w:rFonts w:ascii="Arial" w:cs="Arial" w:eastAsia="Arial" w:hAnsi="Arial"/>
                  <w:sz w:val="18"/>
                  <w:szCs w:val="18"/>
                  <w:b w:val="1"/>
                  <w:bCs w:val="1"/>
                  <w:color w:val="auto"/>
                </w:rPr>
                <w:t>Management’s Discussion and Analysis of Financial Condition and Results of Operations</w:t>
              </w:r>
            </w:hyperlink>
          </w:p>
        </w:tc>
        <w:tc>
          <w:tcPr>
            <w:tcW w:w="18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26</w:t>
              </w:r>
            </w:hyperlink>
          </w:p>
        </w:tc>
      </w:tr>
      <w:tr>
        <w:trPr>
          <w:trHeight w:val="520"/>
        </w:trPr>
        <w:tc>
          <w:tcPr>
            <w:tcW w:w="1180" w:type="dxa"/>
            <w:vAlign w:val="bottom"/>
          </w:tcPr>
          <w:p>
            <w:pPr>
              <w:ind w:left="120"/>
              <w:spacing w:after="0"/>
              <w:rPr>
                <w:sz w:val="20"/>
                <w:szCs w:val="20"/>
                <w:color w:val="auto"/>
              </w:rPr>
            </w:pPr>
            <w:r>
              <w:rPr>
                <w:rFonts w:ascii="Arial" w:cs="Arial" w:eastAsia="Arial" w:hAnsi="Arial"/>
                <w:sz w:val="18"/>
                <w:szCs w:val="18"/>
                <w:b w:val="1"/>
                <w:bCs w:val="1"/>
                <w:color w:val="auto"/>
              </w:rPr>
              <w:t>Item 3:</w:t>
            </w:r>
          </w:p>
        </w:tc>
        <w:tc>
          <w:tcPr>
            <w:tcW w:w="9360" w:type="dxa"/>
            <w:vAlign w:val="bottom"/>
            <w:gridSpan w:val="11"/>
          </w:tcPr>
          <w:p>
            <w:pPr>
              <w:spacing w:after="0"/>
              <w:rPr>
                <w:rFonts w:ascii="Arial" w:cs="Arial" w:eastAsia="Arial" w:hAnsi="Arial"/>
                <w:sz w:val="18"/>
                <w:szCs w:val="18"/>
                <w:b w:val="1"/>
                <w:bCs w:val="1"/>
                <w:color w:val="auto"/>
              </w:rPr>
            </w:pPr>
            <w:hyperlink w:anchor="page40">
              <w:r>
                <w:rPr>
                  <w:rFonts w:ascii="Arial" w:cs="Arial" w:eastAsia="Arial" w:hAnsi="Arial"/>
                  <w:sz w:val="18"/>
                  <w:szCs w:val="18"/>
                  <w:b w:val="1"/>
                  <w:bCs w:val="1"/>
                  <w:color w:val="auto"/>
                </w:rPr>
                <w:t>Quantitative and Qualitative Disclosures About Market Risk</w:t>
              </w:r>
            </w:hyperlink>
          </w:p>
        </w:tc>
        <w:tc>
          <w:tcPr>
            <w:tcW w:w="18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40">
              <w:r>
                <w:rPr>
                  <w:rFonts w:ascii="Arial" w:cs="Arial" w:eastAsia="Arial" w:hAnsi="Arial"/>
                  <w:sz w:val="18"/>
                  <w:szCs w:val="18"/>
                  <w:color w:val="0000EE"/>
                  <w:w w:val="79"/>
                </w:rPr>
                <w:t>38</w:t>
              </w:r>
            </w:hyperlink>
          </w:p>
        </w:tc>
      </w:tr>
      <w:tr>
        <w:trPr>
          <w:trHeight w:val="520"/>
        </w:trPr>
        <w:tc>
          <w:tcPr>
            <w:tcW w:w="1180" w:type="dxa"/>
            <w:vAlign w:val="bottom"/>
          </w:tcPr>
          <w:p>
            <w:pPr>
              <w:ind w:left="120"/>
              <w:spacing w:after="0"/>
              <w:rPr>
                <w:sz w:val="20"/>
                <w:szCs w:val="20"/>
                <w:color w:val="auto"/>
              </w:rPr>
            </w:pPr>
            <w:r>
              <w:rPr>
                <w:rFonts w:ascii="Arial" w:cs="Arial" w:eastAsia="Arial" w:hAnsi="Arial"/>
                <w:sz w:val="18"/>
                <w:szCs w:val="18"/>
                <w:b w:val="1"/>
                <w:bCs w:val="1"/>
                <w:color w:val="auto"/>
              </w:rPr>
              <w:t>Item 4:</w:t>
            </w:r>
          </w:p>
        </w:tc>
        <w:tc>
          <w:tcPr>
            <w:tcW w:w="9360" w:type="dxa"/>
            <w:vAlign w:val="bottom"/>
            <w:gridSpan w:val="11"/>
          </w:tcPr>
          <w:p>
            <w:pPr>
              <w:spacing w:after="0"/>
              <w:rPr>
                <w:rFonts w:ascii="Arial" w:cs="Arial" w:eastAsia="Arial" w:hAnsi="Arial"/>
                <w:sz w:val="18"/>
                <w:szCs w:val="18"/>
                <w:b w:val="1"/>
                <w:bCs w:val="1"/>
                <w:color w:val="auto"/>
              </w:rPr>
            </w:pPr>
            <w:hyperlink w:anchor="page41">
              <w:r>
                <w:rPr>
                  <w:rFonts w:ascii="Arial" w:cs="Arial" w:eastAsia="Arial" w:hAnsi="Arial"/>
                  <w:sz w:val="18"/>
                  <w:szCs w:val="18"/>
                  <w:b w:val="1"/>
                  <w:bCs w:val="1"/>
                  <w:color w:val="auto"/>
                </w:rPr>
                <w:t>Controls and Procedures</w:t>
              </w:r>
            </w:hyperlink>
          </w:p>
        </w:tc>
        <w:tc>
          <w:tcPr>
            <w:tcW w:w="18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41">
              <w:r>
                <w:rPr>
                  <w:rFonts w:ascii="Arial" w:cs="Arial" w:eastAsia="Arial" w:hAnsi="Arial"/>
                  <w:sz w:val="18"/>
                  <w:szCs w:val="18"/>
                  <w:color w:val="0000EE"/>
                  <w:w w:val="79"/>
                </w:rPr>
                <w:t>39</w:t>
              </w:r>
            </w:hyperlink>
          </w:p>
        </w:tc>
      </w:tr>
      <w:tr>
        <w:trPr>
          <w:trHeight w:val="520"/>
        </w:trPr>
        <w:tc>
          <w:tcPr>
            <w:tcW w:w="1180" w:type="dxa"/>
            <w:vAlign w:val="bottom"/>
          </w:tcPr>
          <w:p>
            <w:pPr>
              <w:spacing w:after="0"/>
              <w:rPr>
                <w:sz w:val="20"/>
                <w:szCs w:val="20"/>
                <w:color w:val="auto"/>
              </w:rPr>
            </w:pPr>
            <w:r>
              <w:rPr>
                <w:rFonts w:ascii="Arial" w:cs="Arial" w:eastAsia="Arial" w:hAnsi="Arial"/>
                <w:sz w:val="18"/>
                <w:szCs w:val="18"/>
                <w:color w:val="auto"/>
              </w:rPr>
              <w:t>PART II.</w:t>
            </w:r>
          </w:p>
        </w:tc>
        <w:tc>
          <w:tcPr>
            <w:tcW w:w="9360" w:type="dxa"/>
            <w:vAlign w:val="bottom"/>
            <w:gridSpan w:val="11"/>
          </w:tcPr>
          <w:p>
            <w:pPr>
              <w:spacing w:after="0"/>
              <w:rPr>
                <w:rFonts w:ascii="Arial" w:cs="Arial" w:eastAsia="Arial" w:hAnsi="Arial"/>
                <w:sz w:val="18"/>
                <w:szCs w:val="18"/>
                <w:color w:val="auto"/>
              </w:rPr>
            </w:pPr>
            <w:hyperlink w:anchor="page42">
              <w:r>
                <w:rPr>
                  <w:rFonts w:ascii="Arial" w:cs="Arial" w:eastAsia="Arial" w:hAnsi="Arial"/>
                  <w:sz w:val="18"/>
                  <w:szCs w:val="18"/>
                  <w:color w:val="auto"/>
                </w:rPr>
                <w:t>OTHER INFORMATION</w:t>
              </w:r>
            </w:hyperlink>
          </w:p>
        </w:tc>
        <w:tc>
          <w:tcPr>
            <w:tcW w:w="18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40</w:t>
              </w:r>
            </w:hyperlink>
          </w:p>
        </w:tc>
      </w:tr>
      <w:tr>
        <w:trPr>
          <w:trHeight w:val="520"/>
        </w:trPr>
        <w:tc>
          <w:tcPr>
            <w:tcW w:w="1180" w:type="dxa"/>
            <w:vAlign w:val="bottom"/>
          </w:tcPr>
          <w:p>
            <w:pPr>
              <w:ind w:left="120"/>
              <w:spacing w:after="0"/>
              <w:rPr>
                <w:sz w:val="20"/>
                <w:szCs w:val="20"/>
                <w:color w:val="auto"/>
              </w:rPr>
            </w:pPr>
            <w:r>
              <w:rPr>
                <w:rFonts w:ascii="Arial" w:cs="Arial" w:eastAsia="Arial" w:hAnsi="Arial"/>
                <w:sz w:val="18"/>
                <w:szCs w:val="18"/>
                <w:b w:val="1"/>
                <w:bCs w:val="1"/>
                <w:color w:val="auto"/>
              </w:rPr>
              <w:t>Item 2:</w:t>
            </w:r>
          </w:p>
        </w:tc>
        <w:tc>
          <w:tcPr>
            <w:tcW w:w="9360" w:type="dxa"/>
            <w:vAlign w:val="bottom"/>
            <w:gridSpan w:val="11"/>
          </w:tcPr>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tc>
        <w:tc>
          <w:tcPr>
            <w:tcW w:w="18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40</w:t>
              </w:r>
            </w:hyperlink>
          </w:p>
        </w:tc>
      </w:tr>
      <w:tr>
        <w:trPr>
          <w:trHeight w:val="520"/>
        </w:trPr>
        <w:tc>
          <w:tcPr>
            <w:tcW w:w="1180" w:type="dxa"/>
            <w:vAlign w:val="bottom"/>
          </w:tcPr>
          <w:p>
            <w:pPr>
              <w:ind w:left="120"/>
              <w:spacing w:after="0"/>
              <w:rPr>
                <w:sz w:val="20"/>
                <w:szCs w:val="20"/>
                <w:color w:val="auto"/>
              </w:rPr>
            </w:pPr>
            <w:r>
              <w:rPr>
                <w:rFonts w:ascii="Arial" w:cs="Arial" w:eastAsia="Arial" w:hAnsi="Arial"/>
                <w:sz w:val="18"/>
                <w:szCs w:val="18"/>
                <w:b w:val="1"/>
                <w:bCs w:val="1"/>
                <w:color w:val="auto"/>
              </w:rPr>
              <w:t>Item 6:</w:t>
            </w:r>
          </w:p>
        </w:tc>
        <w:tc>
          <w:tcPr>
            <w:tcW w:w="9360" w:type="dxa"/>
            <w:vAlign w:val="bottom"/>
            <w:gridSpan w:val="11"/>
          </w:tcPr>
          <w:p>
            <w:pPr>
              <w:spacing w:after="0"/>
              <w:rPr>
                <w:rFonts w:ascii="Arial" w:cs="Arial" w:eastAsia="Arial" w:hAnsi="Arial"/>
                <w:sz w:val="18"/>
                <w:szCs w:val="18"/>
                <w:b w:val="1"/>
                <w:bCs w:val="1"/>
                <w:color w:val="auto"/>
              </w:rPr>
            </w:pPr>
            <w:hyperlink w:anchor="page42">
              <w:r>
                <w:rPr>
                  <w:rFonts w:ascii="Arial" w:cs="Arial" w:eastAsia="Arial" w:hAnsi="Arial"/>
                  <w:sz w:val="18"/>
                  <w:szCs w:val="18"/>
                  <w:b w:val="1"/>
                  <w:bCs w:val="1"/>
                  <w:color w:val="auto"/>
                </w:rPr>
                <w:t>Exhibits</w:t>
              </w:r>
            </w:hyperlink>
          </w:p>
        </w:tc>
        <w:tc>
          <w:tcPr>
            <w:tcW w:w="18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40</w:t>
              </w:r>
            </w:hyperlink>
          </w:p>
        </w:tc>
      </w:tr>
    </w:tbl>
    <w:p>
      <w:pPr>
        <w:sectPr>
          <w:pgSz w:w="11900" w:h="16838" w:orient="portrait"/>
          <w:cols w:equalWidth="0" w:num="1">
            <w:col w:w="10720"/>
          </w:cols>
          <w:pgMar w:left="600" w:top="364" w:right="57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April 30,</w:t>
            </w:r>
          </w:p>
        </w:tc>
        <w:tc>
          <w:tcPr>
            <w:tcW w:w="260" w:type="dxa"/>
            <w:vAlign w:val="bottom"/>
          </w:tcPr>
          <w:p>
            <w:pPr>
              <w:spacing w:after="0"/>
              <w:rPr>
                <w:sz w:val="14"/>
                <w:szCs w:val="14"/>
                <w:color w:val="auto"/>
              </w:rPr>
            </w:pPr>
          </w:p>
        </w:tc>
        <w:tc>
          <w:tcPr>
            <w:tcW w:w="1000" w:type="dxa"/>
            <w:vAlign w:val="bottom"/>
          </w:tcPr>
          <w:p>
            <w:pPr>
              <w:jc w:val="right"/>
              <w:ind w:right="191"/>
              <w:spacing w:after="0"/>
              <w:rPr>
                <w:sz w:val="20"/>
                <w:szCs w:val="20"/>
                <w:color w:val="auto"/>
              </w:rPr>
            </w:pPr>
            <w:r>
              <w:rPr>
                <w:rFonts w:ascii="Arial" w:cs="Arial" w:eastAsia="Arial" w:hAnsi="Arial"/>
                <w:sz w:val="14"/>
                <w:szCs w:val="14"/>
                <w:b w:val="1"/>
                <w:bCs w:val="1"/>
                <w:color w:val="auto"/>
                <w:w w:val="90"/>
              </w:rPr>
              <w:t>October 31,</w:t>
            </w:r>
          </w:p>
        </w:tc>
      </w:tr>
      <w:tr>
        <w:trPr>
          <w:trHeight w:val="192"/>
        </w:trPr>
        <w:tc>
          <w:tcPr>
            <w:tcW w:w="8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152"/>
        </w:trPr>
        <w:tc>
          <w:tcPr>
            <w:tcW w:w="8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0" w:type="dxa"/>
            <w:vAlign w:val="bottom"/>
            <w:gridSpan w:val="4"/>
          </w:tcPr>
          <w:p>
            <w:pPr>
              <w:jc w:val="right"/>
              <w:ind w:right="391"/>
              <w:spacing w:after="0" w:line="153" w:lineRule="exact"/>
              <w:rPr>
                <w:sz w:val="20"/>
                <w:szCs w:val="20"/>
                <w:color w:val="auto"/>
              </w:rPr>
            </w:pPr>
            <w:r>
              <w:rPr>
                <w:rFonts w:ascii="Arial" w:cs="Arial" w:eastAsia="Arial" w:hAnsi="Arial"/>
                <w:sz w:val="14"/>
                <w:szCs w:val="14"/>
                <w:b w:val="1"/>
                <w:bCs w:val="1"/>
                <w:color w:val="auto"/>
              </w:rPr>
              <w:t>(In thousands, except share</w:t>
            </w:r>
          </w:p>
        </w:tc>
      </w:tr>
      <w:tr>
        <w:trPr>
          <w:trHeight w:val="186"/>
        </w:trPr>
        <w:tc>
          <w:tcPr>
            <w:tcW w:w="8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amounts)</w:t>
            </w:r>
          </w:p>
        </w:tc>
        <w:tc>
          <w:tcPr>
            <w:tcW w:w="1000" w:type="dxa"/>
            <w:vAlign w:val="bottom"/>
          </w:tcPr>
          <w:p>
            <w:pPr>
              <w:spacing w:after="0"/>
              <w:rPr>
                <w:sz w:val="16"/>
                <w:szCs w:val="16"/>
                <w:color w:val="auto"/>
              </w:rPr>
            </w:pPr>
          </w:p>
        </w:tc>
      </w:tr>
      <w:tr>
        <w:trPr>
          <w:trHeight w:val="230"/>
        </w:trPr>
        <w:tc>
          <w:tcPr>
            <w:tcW w:w="8800" w:type="dxa"/>
            <w:vAlign w:val="bottom"/>
          </w:tcPr>
          <w:p>
            <w:pPr>
              <w:ind w:left="4140"/>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96"/>
        </w:trPr>
        <w:tc>
          <w:tcPr>
            <w:tcW w:w="88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20,262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29,003</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Accounts receivable, net of allowance for doubtful accounts of $425 and $325</w:t>
            </w: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80,646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84,014</w:t>
            </w: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 net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86,581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70,730</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8,458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7,296</w:t>
            </w: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195,947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191,043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Property, plant and equipment, net of accumulated depreciation of $304,366 and $288,607</w:t>
            </w: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197,182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201,370</w:t>
            </w: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190,638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219,627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114,921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121,919</w:t>
            </w: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8,354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9,255</w:t>
            </w:r>
          </w:p>
        </w:tc>
      </w:tr>
      <w:tr>
        <w:trPr>
          <w:trHeight w:val="237"/>
        </w:trPr>
        <w:tc>
          <w:tcPr>
            <w:tcW w:w="880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707,042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743,214</w:t>
            </w:r>
          </w:p>
        </w:tc>
      </w:tr>
      <w:tr>
        <w:trPr>
          <w:trHeight w:val="67"/>
        </w:trPr>
        <w:tc>
          <w:tcPr>
            <w:tcW w:w="88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185"/>
        </w:trPr>
        <w:tc>
          <w:tcPr>
            <w:tcW w:w="8800" w:type="dxa"/>
            <w:vAlign w:val="bottom"/>
            <w:shd w:val="clear" w:color="auto" w:fill="CCEEFF"/>
          </w:tcPr>
          <w:p>
            <w:pPr>
              <w:ind w:left="2840"/>
              <w:spacing w:after="0"/>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66"/>
        </w:trPr>
        <w:tc>
          <w:tcPr>
            <w:tcW w:w="88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48,743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52,389</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31,554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45,968</w:t>
            </w: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2,780</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Current maturities of long-term debt</w:t>
            </w: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1,224</w:t>
            </w: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84,350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102,361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224,743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209,332</w:t>
            </w: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pension and postretirement benefits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16,417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17,510</w:t>
            </w: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14,847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14,571</w:t>
            </w:r>
          </w:p>
        </w:tc>
      </w:tr>
      <w:tr>
        <w:trPr>
          <w:trHeight w:val="237"/>
        </w:trPr>
        <w:tc>
          <w:tcPr>
            <w:tcW w:w="88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346,154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347,992</w:t>
            </w: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 no par value, shares authorized 1,000,000; issued and outstanding - none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800" w:type="dxa"/>
            <w:vAlign w:val="bottom"/>
          </w:tcPr>
          <w:p>
            <w:pPr>
              <w:ind w:left="380"/>
              <w:spacing w:after="0"/>
              <w:rPr>
                <w:sz w:val="20"/>
                <w:szCs w:val="20"/>
                <w:color w:val="auto"/>
              </w:rPr>
            </w:pPr>
            <w:r>
              <w:rPr>
                <w:rFonts w:ascii="Arial" w:cs="Arial" w:eastAsia="Arial" w:hAnsi="Arial"/>
                <w:sz w:val="18"/>
                <w:szCs w:val="18"/>
                <w:color w:val="auto"/>
                <w:w w:val="92"/>
              </w:rPr>
              <w:t>Common stock, $0.01 par value, shares authorized 125,000,000; issued 37,403,044 and 37,433,817, respectively;</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800" w:type="dxa"/>
            <w:vAlign w:val="bottom"/>
          </w:tcPr>
          <w:p>
            <w:pPr>
              <w:ind w:left="380"/>
              <w:spacing w:after="0"/>
              <w:rPr>
                <w:sz w:val="20"/>
                <w:szCs w:val="20"/>
                <w:color w:val="auto"/>
              </w:rPr>
            </w:pPr>
            <w:r>
              <w:rPr>
                <w:rFonts w:ascii="Arial" w:cs="Arial" w:eastAsia="Arial" w:hAnsi="Arial"/>
                <w:sz w:val="18"/>
                <w:szCs w:val="18"/>
                <w:color w:val="auto"/>
              </w:rPr>
              <w:t>outstanding 33,121,513 and 33,339,032, respectively</w:t>
            </w:r>
          </w:p>
        </w:tc>
        <w:tc>
          <w:tcPr>
            <w:tcW w:w="22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374</w:t>
            </w: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paid-in-capital</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253,679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254,678</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210,406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243,904</w:t>
            </w: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(30,705)</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Less: Treasury stock at cost, 4,281,531 and 4,094,785 shares, respectively</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(75,444)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(73,029)</w:t>
            </w: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360,888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395,222</w:t>
            </w:r>
          </w:p>
        </w:tc>
      </w:tr>
      <w:tr>
        <w:trPr>
          <w:trHeight w:val="237"/>
        </w:trPr>
        <w:tc>
          <w:tcPr>
            <w:tcW w:w="880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707,042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743,214</w:t>
            </w:r>
          </w:p>
        </w:tc>
      </w:tr>
      <w:tr>
        <w:trPr>
          <w:trHeight w:val="27"/>
        </w:trPr>
        <w:tc>
          <w:tcPr>
            <w:tcW w:w="8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(LOSS)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780" w:type="dxa"/>
            <w:vAlign w:val="bottom"/>
          </w:tcPr>
          <w:p>
            <w:pPr>
              <w:spacing w:after="0"/>
              <w:rPr>
                <w:sz w:val="16"/>
                <w:szCs w:val="16"/>
                <w:color w:val="auto"/>
              </w:rPr>
            </w:pPr>
          </w:p>
        </w:tc>
      </w:tr>
      <w:tr>
        <w:trPr>
          <w:trHeight w:val="276"/>
        </w:trPr>
        <w:tc>
          <w:tcPr>
            <w:tcW w:w="57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4"/>
                <w:szCs w:val="14"/>
                <w:b w:val="1"/>
                <w:bCs w:val="1"/>
                <w:color w:val="auto"/>
              </w:rPr>
              <w:t>April 30,</w:t>
            </w:r>
          </w:p>
        </w:tc>
        <w:tc>
          <w:tcPr>
            <w:tcW w:w="9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April 30,</w:t>
            </w:r>
          </w:p>
        </w:tc>
        <w:tc>
          <w:tcPr>
            <w:tcW w:w="780" w:type="dxa"/>
            <w:vAlign w:val="bottom"/>
            <w:tcBorders>
              <w:bottom w:val="single" w:sz="8" w:color="auto"/>
            </w:tcBorders>
          </w:tcPr>
          <w:p>
            <w:pPr>
              <w:spacing w:after="0"/>
              <w:rPr>
                <w:sz w:val="24"/>
                <w:szCs w:val="24"/>
                <w:color w:val="auto"/>
              </w:rPr>
            </w:pPr>
          </w:p>
        </w:tc>
      </w:tr>
      <w:tr>
        <w:trPr>
          <w:trHeight w:val="264"/>
        </w:trPr>
        <w:tc>
          <w:tcPr>
            <w:tcW w:w="57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89"/>
              </w:rPr>
              <w:t>2018</w:t>
            </w:r>
          </w:p>
        </w:tc>
      </w:tr>
      <w:tr>
        <w:trPr>
          <w:trHeight w:val="196"/>
        </w:trPr>
        <w:tc>
          <w:tcPr>
            <w:tcW w:w="5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40" w:type="dxa"/>
            <w:vAlign w:val="bottom"/>
            <w:gridSpan w:val="6"/>
          </w:tcPr>
          <w:p>
            <w:pPr>
              <w:ind w:left="100"/>
              <w:spacing w:after="0"/>
              <w:rPr>
                <w:sz w:val="20"/>
                <w:szCs w:val="20"/>
                <w:color w:val="auto"/>
              </w:rPr>
            </w:pPr>
            <w:r>
              <w:rPr>
                <w:rFonts w:ascii="Arial" w:cs="Arial" w:eastAsia="Arial" w:hAnsi="Arial"/>
                <w:sz w:val="14"/>
                <w:szCs w:val="14"/>
                <w:b w:val="1"/>
                <w:bCs w:val="1"/>
                <w:color w:val="auto"/>
              </w:rPr>
              <w:t>(In thousands, except per share amounts)</w:t>
            </w: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6"/>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218,203</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214,212</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415,011</w:t>
            </w:r>
          </w:p>
        </w:tc>
        <w:tc>
          <w:tcPr>
            <w:tcW w:w="2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405,878</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Cost and expenses: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sales (excluding 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171,378</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169,030</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329,935</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323,546</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23,722</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23,863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51,748</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47,971</w:t>
            </w:r>
          </w:p>
        </w:tc>
      </w:tr>
      <w:tr>
        <w:trPr>
          <w:trHeight w:val="27"/>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charges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608</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12,404</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13,310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24,976</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26,583</w:t>
            </w:r>
          </w:p>
        </w:tc>
      </w:tr>
      <w:tr>
        <w:trPr>
          <w:trHeight w:val="27"/>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Asset impairment charges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29,978</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29,978</w:t>
            </w:r>
          </w:p>
        </w:tc>
        <w:tc>
          <w:tcPr>
            <w:tcW w:w="2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Operating (loss) income</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(19,363)</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7,767</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(21,813)</w:t>
            </w:r>
          </w:p>
        </w:tc>
        <w:tc>
          <w:tcPr>
            <w:tcW w:w="2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7,170</w:t>
            </w:r>
          </w:p>
        </w:tc>
      </w:tr>
      <w:tr>
        <w:trPr>
          <w:trHeight w:val="27"/>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Non-operating (expense) income: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(2,602)</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(5,044)</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(4,943)</w:t>
            </w:r>
          </w:p>
        </w:tc>
      </w:tr>
      <w:tr>
        <w:trPr>
          <w:trHeight w:val="27"/>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264</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w:t>
            </w:r>
          </w:p>
        </w:tc>
        <w:tc>
          <w:tcPr>
            <w:tcW w:w="2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689</w:t>
            </w: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(Loss) income before income taxes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(22,019)</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5,529</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(26,655)</w:t>
            </w:r>
          </w:p>
        </w:tc>
        <w:tc>
          <w:tcPr>
            <w:tcW w:w="2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2,916</w:t>
            </w:r>
          </w:p>
        </w:tc>
      </w:tr>
      <w:tr>
        <w:trPr>
          <w:trHeight w:val="27"/>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2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6,167</w:t>
            </w:r>
          </w:p>
        </w:tc>
      </w:tr>
      <w:tr>
        <w:trPr>
          <w:trHeight w:val="297"/>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(23,974)</w:t>
            </w:r>
          </w:p>
        </w:tc>
        <w:tc>
          <w:tcPr>
            <w:tcW w:w="2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4,136</w:t>
            </w:r>
          </w:p>
        </w:tc>
        <w:tc>
          <w:tcPr>
            <w:tcW w:w="2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(27,623)</w:t>
            </w:r>
          </w:p>
        </w:tc>
        <w:tc>
          <w:tcPr>
            <w:tcW w:w="2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9,083</w:t>
            </w:r>
          </w:p>
        </w:tc>
      </w:tr>
      <w:tr>
        <w:trPr>
          <w:trHeight w:val="311"/>
        </w:trPr>
        <w:tc>
          <w:tcPr>
            <w:tcW w:w="57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Basic (loss) income per common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(0.73)</w:t>
            </w:r>
          </w:p>
        </w:tc>
        <w:tc>
          <w:tcPr>
            <w:tcW w:w="220" w:type="dxa"/>
            <w:vAlign w:val="bottom"/>
          </w:tcPr>
          <w:p>
            <w:pPr>
              <w:spacing w:after="0"/>
              <w:rPr>
                <w:sz w:val="21"/>
                <w:szCs w:val="21"/>
                <w:color w:val="auto"/>
              </w:rPr>
            </w:pP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0.12</w:t>
            </w:r>
          </w:p>
        </w:tc>
        <w:tc>
          <w:tcPr>
            <w:tcW w:w="2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(0.84)</w:t>
            </w:r>
          </w:p>
        </w:tc>
        <w:tc>
          <w:tcPr>
            <w:tcW w:w="2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0.26</w:t>
            </w:r>
          </w:p>
        </w:tc>
      </w:tr>
      <w:tr>
        <w:trPr>
          <w:trHeight w:val="27"/>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324"/>
        </w:trPr>
        <w:tc>
          <w:tcPr>
            <w:tcW w:w="57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Diluted (loss) income per common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(0.73)</w:t>
            </w:r>
          </w:p>
        </w:tc>
        <w:tc>
          <w:tcPr>
            <w:tcW w:w="220" w:type="dxa"/>
            <w:vAlign w:val="bottom"/>
          </w:tcPr>
          <w:p>
            <w:pPr>
              <w:spacing w:after="0"/>
              <w:rPr>
                <w:sz w:val="21"/>
                <w:szCs w:val="21"/>
                <w:color w:val="auto"/>
              </w:rPr>
            </w:pP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0.12</w:t>
            </w:r>
          </w:p>
        </w:tc>
        <w:tc>
          <w:tcPr>
            <w:tcW w:w="2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(0.84)</w:t>
            </w:r>
          </w:p>
        </w:tc>
        <w:tc>
          <w:tcPr>
            <w:tcW w:w="2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0.26</w:t>
            </w:r>
          </w:p>
        </w:tc>
      </w:tr>
      <w:tr>
        <w:trPr>
          <w:trHeight w:val="27"/>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324"/>
        </w:trPr>
        <w:tc>
          <w:tcPr>
            <w:tcW w:w="57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32,951</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34,796</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33,026</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34,731</w:t>
            </w:r>
          </w:p>
        </w:tc>
      </w:tr>
      <w:tr>
        <w:trPr>
          <w:trHeight w:val="243"/>
        </w:trPr>
        <w:tc>
          <w:tcPr>
            <w:tcW w:w="5720" w:type="dxa"/>
            <w:vAlign w:val="bottom"/>
          </w:tcPr>
          <w:p>
            <w:pPr>
              <w:ind w:left="60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32,951</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35,115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33,026</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35,166</w:t>
            </w:r>
          </w:p>
        </w:tc>
      </w:tr>
      <w:tr>
        <w:trPr>
          <w:trHeight w:val="27"/>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324"/>
        </w:trPr>
        <w:tc>
          <w:tcPr>
            <w:tcW w:w="57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5720" w:type="dxa"/>
            <w:vAlign w:val="bottom"/>
          </w:tcPr>
          <w:p>
            <w:pPr>
              <w:ind w:left="720"/>
              <w:spacing w:after="0"/>
              <w:rPr>
                <w:sz w:val="20"/>
                <w:szCs w:val="20"/>
                <w:color w:val="auto"/>
              </w:rPr>
            </w:pPr>
            <w:r>
              <w:rPr>
                <w:rFonts w:ascii="Arial" w:cs="Arial" w:eastAsia="Arial" w:hAnsi="Arial"/>
                <w:sz w:val="18"/>
                <w:szCs w:val="18"/>
                <w:color w:val="auto"/>
              </w:rPr>
              <w:t>Cash dividends per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0.08</w:t>
            </w:r>
          </w:p>
        </w:tc>
        <w:tc>
          <w:tcPr>
            <w:tcW w:w="220" w:type="dxa"/>
            <w:vAlign w:val="bottom"/>
          </w:tcPr>
          <w:p>
            <w:pPr>
              <w:spacing w:after="0"/>
              <w:rPr>
                <w:sz w:val="21"/>
                <w:szCs w:val="21"/>
                <w:color w:val="auto"/>
              </w:rPr>
            </w:pP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0.04</w:t>
            </w:r>
          </w:p>
        </w:tc>
        <w:tc>
          <w:tcPr>
            <w:tcW w:w="2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0.16</w:t>
            </w:r>
          </w:p>
        </w:tc>
        <w:tc>
          <w:tcPr>
            <w:tcW w:w="2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0.08</w:t>
            </w: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QUANEX BUILDING PRODUCTS CORPORATION CONDENSED CONSOLIDATED STATEMENTS OF COMPREHENSIVE (LOSS) INCOME (Unaudited)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1740" w:type="dxa"/>
            <w:vAlign w:val="bottom"/>
            <w:gridSpan w:val="4"/>
          </w:tcPr>
          <w:p>
            <w:pPr>
              <w:jc w:val="right"/>
              <w:ind w:right="293"/>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74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640" w:type="dxa"/>
            <w:vAlign w:val="bottom"/>
            <w:tcBorders>
              <w:bottom w:val="single" w:sz="8" w:color="auto"/>
            </w:tcBorders>
          </w:tcPr>
          <w:p>
            <w:pPr>
              <w:spacing w:after="0"/>
              <w:rPr>
                <w:sz w:val="24"/>
                <w:szCs w:val="24"/>
                <w:color w:val="auto"/>
              </w:rPr>
            </w:pPr>
          </w:p>
        </w:tc>
      </w:tr>
      <w:tr>
        <w:trPr>
          <w:trHeight w:val="264"/>
        </w:trPr>
        <w:tc>
          <w:tcPr>
            <w:tcW w:w="74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r>
      <w:tr>
        <w:trPr>
          <w:trHeight w:val="196"/>
        </w:trPr>
        <w:tc>
          <w:tcPr>
            <w:tcW w:w="7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gridSpan w:val="5"/>
          </w:tcPr>
          <w:p>
            <w:pPr>
              <w:ind w:left="26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(23,974)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4,136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(27,623)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9,083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i w:val="1"/>
                <w:iCs w:val="1"/>
                <w:color w:val="auto"/>
              </w:rPr>
              <w:t>Other comprehensive income:</w:t>
            </w: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(loss) gain</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5,822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Change in pension from net unamortized loss adjustment (pretax)</w:t>
            </w:r>
          </w:p>
        </w:tc>
        <w:tc>
          <w:tcPr>
            <w:tcW w:w="1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pension from net unamortized loss adjustment tax benefit (expense)</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2,578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5,125</w:t>
            </w:r>
          </w:p>
        </w:tc>
      </w:tr>
      <w:tr>
        <w:trPr>
          <w:trHeight w:val="27"/>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(25,458)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(25,045)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4"/>
              </w:rPr>
              <w:t>14,208</w:t>
            </w: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p>
      <w:pPr>
        <w:jc w:val="center"/>
        <w:ind w:left="8720"/>
        <w:spacing w:after="0"/>
        <w:rPr>
          <w:sz w:val="20"/>
          <w:szCs w:val="20"/>
          <w:color w:val="auto"/>
        </w:rPr>
      </w:pPr>
      <w:r>
        <w:rPr>
          <w:rFonts w:ascii="Arial" w:cs="Arial" w:eastAsia="Arial" w:hAnsi="Arial"/>
          <w:sz w:val="14"/>
          <w:szCs w:val="14"/>
          <w:b w:val="1"/>
          <w:bCs w:val="1"/>
          <w:color w:val="auto"/>
        </w:rPr>
        <w:t>Six Months Ended</w:t>
      </w:r>
    </w:p>
    <w:p>
      <w:pPr>
        <w:spacing w:after="0" w:line="42" w:lineRule="exact"/>
        <w:rPr>
          <w:sz w:val="20"/>
          <w:szCs w:val="20"/>
          <w:color w:val="auto"/>
        </w:rPr>
      </w:pPr>
    </w:p>
    <w:p>
      <w:pPr>
        <w:jc w:val="center"/>
        <w:ind w:left="8720"/>
        <w:spacing w:after="0"/>
        <w:rPr>
          <w:sz w:val="20"/>
          <w:szCs w:val="20"/>
          <w:color w:val="auto"/>
        </w:rPr>
      </w:pPr>
      <w:r>
        <w:rPr>
          <w:rFonts w:ascii="Arial" w:cs="Arial" w:eastAsia="Arial" w:hAnsi="Arial"/>
          <w:sz w:val="14"/>
          <w:szCs w:val="14"/>
          <w:b w:val="1"/>
          <w:bCs w:val="1"/>
          <w:color w:val="auto"/>
        </w:rPr>
        <w:t>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23495</wp:posOffset>
            </wp:positionV>
            <wp:extent cx="17322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190"/>
        </w:trPr>
        <w:tc>
          <w:tcPr>
            <w:tcW w:w="8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6"/>
                <w:szCs w:val="16"/>
                <w:color w:val="auto"/>
              </w:rPr>
            </w:pPr>
          </w:p>
        </w:tc>
      </w:tr>
      <w:tr>
        <w:trPr>
          <w:trHeight w:val="249"/>
        </w:trPr>
        <w:tc>
          <w:tcPr>
            <w:tcW w:w="8700" w:type="dxa"/>
            <w:vAlign w:val="bottom"/>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33"/>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(27,623)</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9,083</w:t>
            </w: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Adjustments to reconcile net (loss) income to cash provided by operating activities: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24,976</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26,583</w:t>
            </w:r>
          </w:p>
        </w:tc>
      </w:tr>
      <w:tr>
        <w:trPr>
          <w:trHeight w:val="243"/>
        </w:trPr>
        <w:tc>
          <w:tcPr>
            <w:tcW w:w="870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1,043</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211</w:t>
            </w:r>
          </w:p>
        </w:tc>
      </w:tr>
      <w:tr>
        <w:trPr>
          <w:trHeight w:val="27"/>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income tax</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(8,087)</w:t>
            </w:r>
          </w:p>
        </w:tc>
      </w:tr>
      <w:tr>
        <w:trPr>
          <w:trHeight w:val="243"/>
        </w:trPr>
        <w:tc>
          <w:tcPr>
            <w:tcW w:w="8700" w:type="dxa"/>
            <w:vAlign w:val="bottom"/>
          </w:tcPr>
          <w:p>
            <w:pPr>
              <w:ind w:left="500"/>
              <w:spacing w:after="0"/>
              <w:rPr>
                <w:sz w:val="20"/>
                <w:szCs w:val="20"/>
                <w:color w:val="auto"/>
              </w:rPr>
            </w:pPr>
            <w:r>
              <w:rPr>
                <w:rFonts w:ascii="Arial" w:cs="Arial" w:eastAsia="Arial" w:hAnsi="Arial"/>
                <w:sz w:val="18"/>
                <w:szCs w:val="18"/>
                <w:color w:val="auto"/>
              </w:rPr>
              <w:t>Asset impairment charges</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29,978</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1,078</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Changes in assets and liabilities: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Decrease in 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3,479</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3,357</w:t>
            </w:r>
          </w:p>
        </w:tc>
      </w:tr>
      <w:tr>
        <w:trPr>
          <w:trHeight w:val="243"/>
        </w:trPr>
        <w:tc>
          <w:tcPr>
            <w:tcW w:w="8700" w:type="dxa"/>
            <w:vAlign w:val="bottom"/>
          </w:tcPr>
          <w:p>
            <w:pPr>
              <w:ind w:left="500"/>
              <w:spacing w:after="0"/>
              <w:rPr>
                <w:sz w:val="20"/>
                <w:szCs w:val="20"/>
                <w:color w:val="auto"/>
              </w:rPr>
            </w:pPr>
            <w:r>
              <w:rPr>
                <w:rFonts w:ascii="Arial" w:cs="Arial" w:eastAsia="Arial" w:hAnsi="Arial"/>
                <w:sz w:val="18"/>
                <w:szCs w:val="18"/>
                <w:color w:val="auto"/>
              </w:rPr>
              <w:t>Increase in inventory</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(15,522)</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(4,623)</w:t>
            </w:r>
          </w:p>
        </w:tc>
      </w:tr>
      <w:tr>
        <w:trPr>
          <w:trHeight w:val="27"/>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Increase in 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w:t>
            </w:r>
          </w:p>
        </w:tc>
      </w:tr>
      <w:tr>
        <w:trPr>
          <w:trHeight w:val="243"/>
        </w:trPr>
        <w:tc>
          <w:tcPr>
            <w:tcW w:w="8700" w:type="dxa"/>
            <w:vAlign w:val="bottom"/>
          </w:tcPr>
          <w:p>
            <w:pPr>
              <w:ind w:left="500"/>
              <w:spacing w:after="0"/>
              <w:rPr>
                <w:sz w:val="20"/>
                <w:szCs w:val="20"/>
                <w:color w:val="auto"/>
              </w:rPr>
            </w:pPr>
            <w:r>
              <w:rPr>
                <w:rFonts w:ascii="Arial" w:cs="Arial" w:eastAsia="Arial" w:hAnsi="Arial"/>
                <w:sz w:val="18"/>
                <w:szCs w:val="18"/>
                <w:color w:val="auto"/>
              </w:rPr>
              <w:t>(Decrease) increase in accounts payable</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(2,617)</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378</w:t>
            </w:r>
          </w:p>
        </w:tc>
      </w:tr>
      <w:tr>
        <w:trPr>
          <w:trHeight w:val="27"/>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Decrease in accrued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(14,716)</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(5,220)</w:t>
            </w:r>
          </w:p>
        </w:tc>
      </w:tr>
      <w:tr>
        <w:trPr>
          <w:trHeight w:val="243"/>
        </w:trPr>
        <w:tc>
          <w:tcPr>
            <w:tcW w:w="8700" w:type="dxa"/>
            <w:vAlign w:val="bottom"/>
          </w:tcPr>
          <w:p>
            <w:pPr>
              <w:ind w:left="500"/>
              <w:spacing w:after="0"/>
              <w:rPr>
                <w:sz w:val="20"/>
                <w:szCs w:val="20"/>
                <w:color w:val="auto"/>
              </w:rPr>
            </w:pPr>
            <w:r>
              <w:rPr>
                <w:rFonts w:ascii="Arial" w:cs="Arial" w:eastAsia="Arial" w:hAnsi="Arial"/>
                <w:sz w:val="18"/>
                <w:szCs w:val="18"/>
                <w:color w:val="auto"/>
              </w:rPr>
              <w:t>Increase in income taxes payable</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183</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25</w:t>
            </w:r>
          </w:p>
        </w:tc>
      </w:tr>
      <w:tr>
        <w:trPr>
          <w:trHeight w:val="27"/>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Increase in deferred pension and postretirement benefits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1,567</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1,457</w:t>
            </w:r>
          </w:p>
        </w:tc>
      </w:tr>
      <w:tr>
        <w:trPr>
          <w:trHeight w:val="243"/>
        </w:trPr>
        <w:tc>
          <w:tcPr>
            <w:tcW w:w="8700" w:type="dxa"/>
            <w:vAlign w:val="bottom"/>
          </w:tcPr>
          <w:p>
            <w:pPr>
              <w:ind w:left="500"/>
              <w:spacing w:after="0"/>
              <w:rPr>
                <w:sz w:val="20"/>
                <w:szCs w:val="20"/>
                <w:color w:val="auto"/>
              </w:rPr>
            </w:pPr>
            <w:r>
              <w:rPr>
                <w:rFonts w:ascii="Arial" w:cs="Arial" w:eastAsia="Arial" w:hAnsi="Arial"/>
                <w:sz w:val="18"/>
                <w:szCs w:val="18"/>
                <w:color w:val="auto"/>
              </w:rPr>
              <w:t>Decrease in other long-term liabilities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37"/>
        </w:trPr>
        <w:tc>
          <w:tcPr>
            <w:tcW w:w="8700" w:type="dxa"/>
            <w:vAlign w:val="bottom"/>
          </w:tcPr>
          <w:p>
            <w:pPr>
              <w:ind w:left="40"/>
              <w:spacing w:after="0"/>
              <w:rPr>
                <w:sz w:val="20"/>
                <w:szCs w:val="20"/>
                <w:color w:val="auto"/>
              </w:rPr>
            </w:pPr>
            <w:r>
              <w:rPr>
                <w:rFonts w:ascii="Arial" w:cs="Arial" w:eastAsia="Arial" w:hAnsi="Arial"/>
                <w:sz w:val="18"/>
                <w:szCs w:val="18"/>
                <w:color w:val="auto"/>
              </w:rPr>
              <w:t>Cash provided by operating activities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21,615</w:t>
            </w:r>
          </w:p>
        </w:tc>
      </w:tr>
      <w:tr>
        <w:trPr>
          <w:trHeight w:val="27"/>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(13,022)</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(15,213)</w:t>
            </w:r>
          </w:p>
        </w:tc>
      </w:tr>
      <w:tr>
        <w:trPr>
          <w:trHeight w:val="27"/>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disposition of capital assets</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w:t>
            </w:r>
          </w:p>
        </w:tc>
      </w:tr>
      <w:tr>
        <w:trPr>
          <w:trHeight w:val="237"/>
        </w:trPr>
        <w:tc>
          <w:tcPr>
            <w:tcW w:w="8700" w:type="dxa"/>
            <w:vAlign w:val="bottom"/>
          </w:tcPr>
          <w:p>
            <w:pPr>
              <w:ind w:left="40"/>
              <w:spacing w:after="0"/>
              <w:rPr>
                <w:sz w:val="20"/>
                <w:szCs w:val="20"/>
                <w:color w:val="auto"/>
              </w:rPr>
            </w:pPr>
            <w:r>
              <w:rPr>
                <w:rFonts w:ascii="Arial" w:cs="Arial" w:eastAsia="Arial" w:hAnsi="Arial"/>
                <w:sz w:val="18"/>
                <w:szCs w:val="18"/>
                <w:color w:val="auto"/>
              </w:rPr>
              <w:t>Cash used for investing activities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(12,724)</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(15,033)</w:t>
            </w:r>
          </w:p>
        </w:tc>
      </w:tr>
      <w:tr>
        <w:trPr>
          <w:trHeight w:val="27"/>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Borrowings under credit facilities</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57,500</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21,500</w:t>
            </w:r>
          </w:p>
        </w:tc>
      </w:tr>
      <w:tr>
        <w:trPr>
          <w:trHeight w:val="27"/>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Repayments of credit facility borrowings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(42,500)</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(34,000)</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Repayments of other long-term debt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(784)</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(442)</w:t>
            </w:r>
          </w:p>
        </w:tc>
      </w:tr>
      <w:tr>
        <w:trPr>
          <w:trHeight w:val="27"/>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dividends paid</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(5,335)</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Issuance of common stock</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2,564</w:t>
            </w:r>
          </w:p>
        </w:tc>
      </w:tr>
      <w:tr>
        <w:trPr>
          <w:trHeight w:val="27"/>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Payroll tax paid to settle shares forfeited upon vesting of stock</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Purchase of treasury stock</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(4,702)</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for)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3,884</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(13,884)</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8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(8,741)</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(7,357)</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29,003</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17,455</w:t>
            </w:r>
          </w:p>
        </w:tc>
      </w:tr>
      <w:tr>
        <w:trPr>
          <w:trHeight w:val="27"/>
        </w:trPr>
        <w:tc>
          <w:tcPr>
            <w:tcW w:w="8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20,262</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10,098</w:t>
            </w:r>
          </w:p>
        </w:tc>
      </w:tr>
      <w:tr>
        <w:trPr>
          <w:trHeight w:val="20"/>
        </w:trPr>
        <w:tc>
          <w:tcPr>
            <w:tcW w:w="8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440" w:right="2300"/>
        <w:spacing w:after="0" w:line="275" w:lineRule="auto"/>
        <w:rPr>
          <w:sz w:val="20"/>
          <w:szCs w:val="20"/>
          <w:color w:val="auto"/>
        </w:rPr>
      </w:pPr>
      <w:r>
        <w:rPr>
          <w:rFonts w:ascii="Arial" w:cs="Arial" w:eastAsia="Arial" w:hAnsi="Arial"/>
          <w:sz w:val="18"/>
          <w:szCs w:val="18"/>
          <w:b w:val="1"/>
          <w:bCs w:val="1"/>
          <w:color w:val="auto"/>
        </w:rPr>
        <w:t>QUANEX BUILDING PRODUCTS CORPORATION CONDENSED CONSOLIDATED STATEMENT OF STOCKHOLDERS’ EQUITY (Unaudited)</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center"/>
              <w:ind w:right="5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Treasury</w:t>
            </w: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300" w:type="dxa"/>
            <w:vAlign w:val="bottom"/>
            <w:vMerge w:val="restart"/>
          </w:tcPr>
          <w:p>
            <w:pPr>
              <w:spacing w:after="0"/>
              <w:rPr>
                <w:sz w:val="20"/>
                <w:szCs w:val="20"/>
                <w:color w:val="auto"/>
              </w:rPr>
            </w:pPr>
            <w:r>
              <w:rPr>
                <w:rFonts w:ascii="Arial" w:cs="Arial" w:eastAsia="Arial" w:hAnsi="Arial"/>
                <w:sz w:val="16"/>
                <w:szCs w:val="16"/>
                <w:b w:val="1"/>
                <w:bCs w:val="1"/>
                <w:color w:val="auto"/>
                <w:w w:val="92"/>
              </w:rPr>
              <w:t>Six Months Ended April 30, 2019</w:t>
            </w: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53"/>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2300" w:type="dxa"/>
            <w:vAlign w:val="bottom"/>
            <w:tcBorders>
              <w:bottom w:val="single" w:sz="8" w:color="auto"/>
            </w:tcBorders>
            <w:vMerge w:val="continue"/>
          </w:tcPr>
          <w:p>
            <w:pPr>
              <w:spacing w:after="0"/>
              <w:rPr>
                <w:sz w:val="11"/>
                <w:szCs w:val="11"/>
                <w:color w:val="auto"/>
              </w:rPr>
            </w:pPr>
          </w:p>
        </w:tc>
        <w:tc>
          <w:tcPr>
            <w:tcW w:w="1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tcPr>
          <w:p>
            <w:pPr>
              <w:jc w:val="center"/>
              <w:ind w:right="260"/>
              <w:spacing w:after="0" w:line="125" w:lineRule="exact"/>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1"/>
                <w:szCs w:val="11"/>
                <w:color w:val="auto"/>
              </w:rPr>
            </w:pPr>
          </w:p>
        </w:tc>
        <w:tc>
          <w:tcPr>
            <w:tcW w:w="960" w:type="dxa"/>
            <w:vAlign w:val="bottom"/>
            <w:gridSpan w:val="2"/>
          </w:tcPr>
          <w:p>
            <w:pPr>
              <w:jc w:val="center"/>
              <w:ind w:right="260"/>
              <w:spacing w:after="0" w:line="125" w:lineRule="exact"/>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1"/>
                <w:szCs w:val="11"/>
                <w:color w:val="auto"/>
              </w:rPr>
            </w:pPr>
          </w:p>
        </w:tc>
        <w:tc>
          <w:tcPr>
            <w:tcW w:w="940" w:type="dxa"/>
            <w:vAlign w:val="bottom"/>
            <w:gridSpan w:val="2"/>
          </w:tcPr>
          <w:p>
            <w:pPr>
              <w:ind w:left="60"/>
              <w:spacing w:after="0" w:line="125" w:lineRule="exact"/>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1"/>
                <w:szCs w:val="11"/>
                <w:color w:val="auto"/>
              </w:rPr>
            </w:pPr>
          </w:p>
        </w:tc>
        <w:tc>
          <w:tcPr>
            <w:tcW w:w="1200" w:type="dxa"/>
            <w:vAlign w:val="bottom"/>
            <w:gridSpan w:val="2"/>
          </w:tcPr>
          <w:p>
            <w:pPr>
              <w:jc w:val="center"/>
              <w:ind w:right="240"/>
              <w:spacing w:after="0" w:line="125" w:lineRule="exact"/>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1"/>
                <w:szCs w:val="11"/>
                <w:color w:val="auto"/>
              </w:rPr>
            </w:pPr>
          </w:p>
        </w:tc>
        <w:tc>
          <w:tcPr>
            <w:tcW w:w="940" w:type="dxa"/>
            <w:vAlign w:val="bottom"/>
            <w:gridSpan w:val="2"/>
          </w:tcPr>
          <w:p>
            <w:pPr>
              <w:jc w:val="center"/>
              <w:ind w:right="280"/>
              <w:spacing w:after="0" w:line="125" w:lineRule="exact"/>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1"/>
                <w:szCs w:val="11"/>
                <w:color w:val="auto"/>
              </w:rPr>
            </w:pPr>
          </w:p>
        </w:tc>
        <w:tc>
          <w:tcPr>
            <w:tcW w:w="980" w:type="dxa"/>
            <w:vAlign w:val="bottom"/>
          </w:tcPr>
          <w:p>
            <w:pPr>
              <w:jc w:val="center"/>
              <w:ind w:right="33"/>
              <w:spacing w:after="0" w:line="12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3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540" w:type="dxa"/>
            <w:vAlign w:val="bottom"/>
            <w:tcBorders>
              <w:bottom w:val="single" w:sz="8" w:color="auto"/>
            </w:tcBorders>
            <w:gridSpan w:val="11"/>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40" w:type="dxa"/>
            <w:vAlign w:val="bottom"/>
            <w:gridSpan w:val="11"/>
          </w:tcPr>
          <w:p>
            <w:pPr>
              <w:ind w:left="260"/>
              <w:spacing w:after="0"/>
              <w:rPr>
                <w:sz w:val="20"/>
                <w:szCs w:val="20"/>
                <w:color w:val="auto"/>
              </w:rPr>
            </w:pPr>
            <w:r>
              <w:rPr>
                <w:rFonts w:ascii="Arial" w:cs="Arial" w:eastAsia="Arial" w:hAnsi="Arial"/>
                <w:sz w:val="14"/>
                <w:szCs w:val="14"/>
                <w:b w:val="1"/>
                <w:bCs w:val="1"/>
                <w:color w:val="auto"/>
              </w:rPr>
              <w:t>(In thousands, no per share amounts shown except in verbiage)</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October 31, 2018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254,678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243,904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395,222</w:t>
            </w:r>
          </w:p>
        </w:tc>
        <w:tc>
          <w:tcPr>
            <w:tcW w:w="0" w:type="dxa"/>
            <w:vAlign w:val="bottom"/>
          </w:tcPr>
          <w:p>
            <w:pPr>
              <w:spacing w:after="0"/>
              <w:rPr>
                <w:sz w:val="1"/>
                <w:szCs w:val="1"/>
                <w:color w:val="auto"/>
              </w:rPr>
            </w:pPr>
          </w:p>
        </w:tc>
      </w:tr>
      <w:tr>
        <w:trPr>
          <w:trHeight w:val="243"/>
        </w:trPr>
        <w:tc>
          <w:tcPr>
            <w:tcW w:w="4280" w:type="dxa"/>
            <w:vAlign w:val="bottom"/>
            <w:gridSpan w:val="3"/>
          </w:tcPr>
          <w:p>
            <w:pPr>
              <w:ind w:left="4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(3,649)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4,066</w:t>
            </w:r>
          </w:p>
        </w:tc>
        <w:tc>
          <w:tcPr>
            <w:tcW w:w="0" w:type="dxa"/>
            <w:vAlign w:val="bottom"/>
          </w:tcPr>
          <w:p>
            <w:pPr>
              <w:spacing w:after="0"/>
              <w:rPr>
                <w:sz w:val="1"/>
                <w:szCs w:val="1"/>
                <w:color w:val="auto"/>
              </w:rPr>
            </w:pPr>
          </w:p>
        </w:tc>
      </w:tr>
      <w:tr>
        <w:trPr>
          <w:trHeight w:val="243"/>
        </w:trPr>
        <w:tc>
          <w:tcPr>
            <w:tcW w:w="4280" w:type="dxa"/>
            <w:vAlign w:val="bottom"/>
            <w:gridSpan w:val="3"/>
          </w:tcPr>
          <w:p>
            <w:pPr>
              <w:ind w:left="40"/>
              <w:spacing w:after="0"/>
              <w:rPr>
                <w:sz w:val="20"/>
                <w:szCs w:val="20"/>
                <w:color w:val="auto"/>
              </w:rPr>
            </w:pPr>
            <w:r>
              <w:rPr>
                <w:rFonts w:ascii="Arial" w:cs="Arial" w:eastAsia="Arial" w:hAnsi="Arial"/>
                <w:sz w:val="18"/>
                <w:szCs w:val="18"/>
                <w:color w:val="auto"/>
              </w:rPr>
              <w:t>Common dividends ($0.08 per share)</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(2,675)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Purchase of treasury stock</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43"/>
        </w:trPr>
        <w:tc>
          <w:tcPr>
            <w:tcW w:w="4280" w:type="dxa"/>
            <w:vAlign w:val="bottom"/>
            <w:gridSpan w:val="3"/>
          </w:tcPr>
          <w:p>
            <w:pPr>
              <w:ind w:left="40"/>
              <w:spacing w:after="0"/>
              <w:rPr>
                <w:sz w:val="20"/>
                <w:szCs w:val="20"/>
                <w:color w:val="auto"/>
              </w:rPr>
            </w:pPr>
            <w:r>
              <w:rPr>
                <w:rFonts w:ascii="Arial" w:cs="Arial" w:eastAsia="Arial" w:hAnsi="Arial"/>
                <w:sz w:val="18"/>
                <w:szCs w:val="18"/>
                <w:i w:val="1"/>
                <w:iCs w:val="1"/>
                <w:color w:val="auto"/>
              </w:rPr>
              <w:t>Stock-based compensation activity:</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Expense related to stock-based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40" w:type="dxa"/>
            <w:vAlign w:val="bottom"/>
            <w:gridSpan w:val="2"/>
          </w:tcPr>
          <w:p>
            <w:pPr>
              <w:ind w:left="140"/>
              <w:spacing w:after="0"/>
              <w:rPr>
                <w:sz w:val="20"/>
                <w:szCs w:val="20"/>
                <w:color w:val="auto"/>
              </w:rPr>
            </w:pPr>
            <w:r>
              <w:rPr>
                <w:rFonts w:ascii="Arial" w:cs="Arial" w:eastAsia="Arial" w:hAnsi="Arial"/>
                <w:sz w:val="18"/>
                <w:szCs w:val="18"/>
                <w:color w:val="auto"/>
              </w:rPr>
              <w:t>Stock options exercised</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Restricted stock awards granted</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8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January 31, 2019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252,931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237,049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390,873</w:t>
            </w:r>
          </w:p>
        </w:tc>
        <w:tc>
          <w:tcPr>
            <w:tcW w:w="0" w:type="dxa"/>
            <w:vAlign w:val="bottom"/>
          </w:tcPr>
          <w:p>
            <w:pPr>
              <w:spacing w:after="0"/>
              <w:rPr>
                <w:sz w:val="1"/>
                <w:szCs w:val="1"/>
                <w:color w:val="auto"/>
              </w:rPr>
            </w:pPr>
          </w:p>
        </w:tc>
      </w:tr>
      <w:tr>
        <w:trPr>
          <w:trHeight w:val="243"/>
        </w:trPr>
        <w:tc>
          <w:tcPr>
            <w:tcW w:w="4280" w:type="dxa"/>
            <w:vAlign w:val="bottom"/>
            <w:gridSpan w:val="3"/>
          </w:tcPr>
          <w:p>
            <w:pPr>
              <w:ind w:left="4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(23,974)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(23,974)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43"/>
        </w:trPr>
        <w:tc>
          <w:tcPr>
            <w:tcW w:w="4280" w:type="dxa"/>
            <w:vAlign w:val="bottom"/>
            <w:gridSpan w:val="3"/>
          </w:tcPr>
          <w:p>
            <w:pPr>
              <w:ind w:left="40"/>
              <w:spacing w:after="0"/>
              <w:rPr>
                <w:sz w:val="20"/>
                <w:szCs w:val="20"/>
                <w:color w:val="auto"/>
              </w:rPr>
            </w:pPr>
            <w:r>
              <w:rPr>
                <w:rFonts w:ascii="Arial" w:cs="Arial" w:eastAsia="Arial" w:hAnsi="Arial"/>
                <w:sz w:val="18"/>
                <w:szCs w:val="18"/>
                <w:color w:val="auto"/>
              </w:rPr>
              <w:t>Common dividends ($0.08 per share)</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(2,660)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Purchase of treasury stock</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(2,686)</w:t>
            </w:r>
          </w:p>
        </w:tc>
        <w:tc>
          <w:tcPr>
            <w:tcW w:w="0" w:type="dxa"/>
            <w:vAlign w:val="bottom"/>
          </w:tcPr>
          <w:p>
            <w:pPr>
              <w:spacing w:after="0"/>
              <w:rPr>
                <w:sz w:val="1"/>
                <w:szCs w:val="1"/>
                <w:color w:val="auto"/>
              </w:rPr>
            </w:pPr>
          </w:p>
        </w:tc>
      </w:tr>
      <w:tr>
        <w:trPr>
          <w:trHeight w:val="243"/>
        </w:trPr>
        <w:tc>
          <w:tcPr>
            <w:tcW w:w="4280" w:type="dxa"/>
            <w:vAlign w:val="bottom"/>
            <w:gridSpan w:val="3"/>
          </w:tcPr>
          <w:p>
            <w:pPr>
              <w:ind w:left="40"/>
              <w:spacing w:after="0"/>
              <w:rPr>
                <w:sz w:val="20"/>
                <w:szCs w:val="20"/>
                <w:color w:val="auto"/>
              </w:rPr>
            </w:pPr>
            <w:r>
              <w:rPr>
                <w:rFonts w:ascii="Arial" w:cs="Arial" w:eastAsia="Arial" w:hAnsi="Arial"/>
                <w:sz w:val="18"/>
                <w:szCs w:val="18"/>
                <w:i w:val="1"/>
                <w:iCs w:val="1"/>
                <w:color w:val="auto"/>
              </w:rPr>
              <w:t>Stock-based compensation activity:</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Expense related to stock-based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40" w:type="dxa"/>
            <w:vAlign w:val="bottom"/>
            <w:gridSpan w:val="2"/>
          </w:tcPr>
          <w:p>
            <w:pPr>
              <w:ind w:left="140"/>
              <w:spacing w:after="0"/>
              <w:rPr>
                <w:sz w:val="20"/>
                <w:szCs w:val="20"/>
                <w:color w:val="auto"/>
              </w:rPr>
            </w:pPr>
            <w:r>
              <w:rPr>
                <w:rFonts w:ascii="Arial" w:cs="Arial" w:eastAsia="Arial" w:hAnsi="Arial"/>
                <w:sz w:val="18"/>
                <w:szCs w:val="18"/>
                <w:color w:val="auto"/>
              </w:rPr>
              <w:t>Stock options exercised</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Restricted stock awards granted</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280" w:type="dxa"/>
            <w:vAlign w:val="bottom"/>
            <w:gridSpan w:val="3"/>
          </w:tcPr>
          <w:p>
            <w:pPr>
              <w:ind w:left="40"/>
              <w:spacing w:after="0"/>
              <w:rPr>
                <w:sz w:val="20"/>
                <w:szCs w:val="20"/>
                <w:color w:val="auto"/>
              </w:rPr>
            </w:pPr>
            <w:r>
              <w:rPr>
                <w:rFonts w:ascii="Arial" w:cs="Arial" w:eastAsia="Arial" w:hAnsi="Arial"/>
                <w:sz w:val="18"/>
                <w:szCs w:val="18"/>
                <w:color w:val="auto"/>
              </w:rPr>
              <w:t>Balance at April 30, 2019</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253,679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210,406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(28,127)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(75,444)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360,888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125" w:right="4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and Basis of Presentation</w:t>
      </w:r>
    </w:p>
    <w:p>
      <w:pPr>
        <w:spacing w:after="0" w:line="175"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Quanex Building Products Corporation is a component supplier to original equipment manufacturers (OEMs) in the building products industry. These components can be categorized as window and door (fenestration) components and kitchen and bath cabinet components. Examples of fenestration components include: (1) energy-efficient flexible insulating glass spacers, (2) extruded vinyl profiles, (3) window and door screens, and (4) precision-formed metal and wood products. We also manufacture cabinet doors and other components for OEMs in the kitchen and bathroom cabinet industry. In addition, we provide certain other non-fenestration components and products, which include solar panel sealants, trim moldings, vinyl decking, fencing, water retention barriers, and conservatory roof components. We have organized our business into three reportable business segments. For additional discussion of our reportable business segments, see Note 13, "Segment Information." We use low-cost, short lead-time production processes and engineering expertise to provide our customers with specialized products for their specific window, door, and cabinet applications. We believe these capabilities provide us with unique competitive advantages. We serve a primary customer base in North America and the U.K., and also serve customers in international markets through our operating plants in the U.K. and Germany, as well as through sales and marketing efforts in other countries.</w:t>
      </w:r>
    </w:p>
    <w:p>
      <w:pPr>
        <w:spacing w:after="0" w:line="11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Unless the context indicates otherwise, references to "Quanex", the "Company", "we", "us" and "our" refer to the consolidated business operations of Quanex Building Products Corporation and its subsidiaries.</w:t>
      </w:r>
    </w:p>
    <w:p>
      <w:pPr>
        <w:spacing w:after="0" w:line="116"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accompanying interim condensed consolidated financial statements include the accounts of Quanex Building Products Corporation. All intercompany accounts and transactions have been eliminated in consolidation. These financial statements have been prepared by us,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(U.S. GAAP) have been condensed or omitted pursuant to such rules and regulations. The condensed consolidated balance sheet as of October 31, 2018 was derived from audited financial information, but does not include all disclosures required by U.S. GAAP. The accompanying financial statements should be read in conjunction with the audited consolidated financial statements and the notes thereto, included in our Annual Report on Form 10-K for the fiscal year ended October 31, 2018. In our opinion, the accompanying financial statements contain all adjustments (which consist of normal recurring adjustments, except as disclosed herein) necessary to fairly present our financial position, results of operations and cash flows for the interim periods. The results of operations for the periods presented are not necessarily indicative of the results to be expected for the full year or for any future periods.</w:t>
      </w:r>
    </w:p>
    <w:p>
      <w:pPr>
        <w:spacing w:after="0" w:line="12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preparing financial statements, we make informed judgments and estimates that affect the reported amounts of assets and liabilities as of the date of the financial statements and affect the reported amounts of revenues and expenses during the reporting period. We review our estimates on an on-going basis, including those related to impairment of long lived assets and goodwill, contingencies and income taxes. Changes in facts and circumstances may result in revised estimates and actual results may differ from these estimates.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7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On November 1, 2018, we adopted Accounting Standards Codification Topic 606, “Revenue from Contracts with Customers” (ASC Topic 606) using the modified retrospective method and applying ASC Topic 606 to all revenue contracts with customers. Results for reporting periods beginning on or after November 1, 2018 are presented under ASC Topic 606. In accordance with the modified retrospective approach, prior period amounts were not adjusted and are reported under ASC Topic 605, “Revenue Recognition.” As a result of adoption, there was not a material impact on our consolidated financial statements. We expect the impact of the adoption of ASC Topic 606 to continue to be immaterial to our net income on an ongoing basis.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core principle of ASC Topic 606 is to recognize revenue that reflects the consideration we expect to receive for product sales when the promised items are transferred to customers. Revenue for product sales is recognized when control of the promised products is transferred to our customers, and we expect to be entitled to consideration in exchange for transferring those products. We account for a contract when a customer provides us with a firm purchase order that identifies the products to be provided, the payment terms for those services, and when collectability of the consideration due is probable.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 performance obligation is a promise to provide the customer with a good or service. Our performance obligations include product sales, with each product included in a customer contract being recognized as a separate performance obligation. For contracts with multiple performance obligations, the standalone selling price of each product is generally readily observable.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40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Revenue from product sales is recognized at a point in time when the product is transferred to the customer, in accordance with the shipping terms, which is generally upon shipment. We estimate a provision for sales returns and warranty allowances to account for product returns related to general returns and product nonconformance.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 and sales incentives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Pricing is established at or prior to the time of sale with our customers and we record sales at the agreed-upon net selling price, reflective of current and prospective discounts.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Practical expedients and exemptions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generally expense incremental costs of obtaining a contract when incurred because the amortization period would be less than one year.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Additionally, we do not disclose the value of unsatisfied performance obligations for contracts with an original expected length of one year or less.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costs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have elected to account for shipping and handling services as fulfillment services in accordance ASC Topic 606 guidance; accordingly, freight revenue will be combined with the product deliverable rather than being accounted for as a distinct performance obligation within the terms of the agreement. Shipping and handling costs incurred by us for the delivery of goods to customers are considered a cost to fulfill the contract and are included in Cost of sales in the accompanying Condensed Consolidated Statements of Income.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Deferred revenue, which is not significant, is recorded when we have remaining unsatisfied performance obligations for which we have received consideration. As of April 30, 2019, accounts receivables were $80.6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171"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We produce a wide variety of products that are used in the fenestration industry, including window spacer systems; extruded vinyl products; metal fabricated products; and astragals, thresholds and screens. In addition, we produce certain non-fenestration products, including kitchen and bath cabinet doors and components, flooring and trim moldings, solar edge tape, plastic decking, fencing, water retention barriers, conservatory roof components, and other products.</w:t>
      </w:r>
    </w:p>
    <w:p>
      <w:pPr>
        <w:spacing w:after="0" w:line="30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summarizes our product sales for the three and six months ended April 30, 2019 and April 30, 2018 into groupings by segment which we believe depicts how the nature, amount, timing and uncertainty of our revenues and cash flows are affected by economic factors. For further details regarding our results by segment, refer to Note 13, “Segment Information”.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20"/>
                <w:szCs w:val="20"/>
                <w:color w:val="auto"/>
              </w:rPr>
            </w:pPr>
          </w:p>
        </w:tc>
        <w:tc>
          <w:tcPr>
            <w:tcW w:w="1940" w:type="dxa"/>
            <w:vAlign w:val="bottom"/>
            <w:gridSpan w:val="4"/>
          </w:tcPr>
          <w:p>
            <w:pPr>
              <w:jc w:val="right"/>
              <w:ind w:right="331"/>
              <w:spacing w:after="0"/>
              <w:rPr>
                <w:sz w:val="20"/>
                <w:szCs w:val="20"/>
                <w:color w:val="auto"/>
              </w:rPr>
            </w:pPr>
            <w:r>
              <w:rPr>
                <w:rFonts w:ascii="Arial" w:cs="Arial" w:eastAsia="Arial" w:hAnsi="Arial"/>
                <w:sz w:val="16"/>
                <w:szCs w:val="16"/>
                <w:b w:val="1"/>
                <w:bCs w:val="1"/>
                <w:color w:val="auto"/>
              </w:rPr>
              <w:t>Six Months Ended</w:t>
            </w:r>
          </w:p>
        </w:tc>
      </w:tr>
      <w:tr>
        <w:trPr>
          <w:trHeight w:val="276"/>
        </w:trPr>
        <w:tc>
          <w:tcPr>
            <w:tcW w:w="69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740" w:type="dxa"/>
            <w:vAlign w:val="bottom"/>
            <w:tcBorders>
              <w:bottom w:val="single" w:sz="8" w:color="auto"/>
            </w:tcBorders>
          </w:tcPr>
          <w:p>
            <w:pPr>
              <w:spacing w:after="0"/>
              <w:rPr>
                <w:sz w:val="24"/>
                <w:szCs w:val="24"/>
                <w:color w:val="auto"/>
              </w:rPr>
            </w:pPr>
          </w:p>
        </w:tc>
      </w:tr>
      <w:tr>
        <w:trPr>
          <w:trHeight w:val="264"/>
        </w:trPr>
        <w:tc>
          <w:tcPr>
            <w:tcW w:w="69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2018</w:t>
            </w:r>
          </w:p>
        </w:tc>
      </w:tr>
      <w:tr>
        <w:trPr>
          <w:trHeight w:val="250"/>
        </w:trPr>
        <w:tc>
          <w:tcPr>
            <w:tcW w:w="6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gridSpan w:val="5"/>
          </w:tcPr>
          <w:p>
            <w:pPr>
              <w:ind w:left="36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North American Fenestration:</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United States - fenestration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99,144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97,005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193,029</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w w:val="95"/>
              </w:rPr>
              <w:t>184,787</w:t>
            </w: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 fenestration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15,906</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United States - non-fenestration</w:t>
            </w:r>
          </w:p>
        </w:tc>
        <w:tc>
          <w:tcPr>
            <w:tcW w:w="2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4,803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4,697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8,308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8,843</w:t>
            </w: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 non-fenestration</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3,303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3,558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6,756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7,347</w:t>
            </w:r>
          </w:p>
        </w:tc>
      </w:tr>
      <w:tr>
        <w:trPr>
          <w:trHeight w:val="237"/>
        </w:trPr>
        <w:tc>
          <w:tcPr>
            <w:tcW w:w="69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115,346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5"/>
              </w:rPr>
              <w:t>114,157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224,395</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5"/>
              </w:rPr>
              <w:t>216,883</w:t>
            </w: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European Fenestration: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International - fenestration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34,973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32,847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65,696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62,716</w:t>
            </w: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 non-fenestration</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5,977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11,181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10,104</w:t>
            </w:r>
          </w:p>
        </w:tc>
      </w:tr>
      <w:tr>
        <w:trPr>
          <w:trHeight w:val="237"/>
        </w:trPr>
        <w:tc>
          <w:tcPr>
            <w:tcW w:w="69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41,623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38,824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76,877</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72,820</w:t>
            </w: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North American Cabinet Components: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United States - fenestration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2,997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3,403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6,349</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6,850</w:t>
            </w: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 - non-fenestration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59,220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58,698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109,181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110,703</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International - non-fenestration</w:t>
            </w:r>
          </w:p>
        </w:tc>
        <w:tc>
          <w:tcPr>
            <w:tcW w:w="2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1,158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1,037</w:t>
            </w:r>
          </w:p>
        </w:tc>
      </w:tr>
      <w:tr>
        <w:trPr>
          <w:trHeight w:val="27"/>
        </w:trPr>
        <w:tc>
          <w:tcPr>
            <w:tcW w:w="6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62,836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62,668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116,688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118,590</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Unallocated Corporate &amp; Other</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(2,415)</w:t>
            </w:r>
          </w:p>
        </w:tc>
      </w:tr>
      <w:tr>
        <w:trPr>
          <w:trHeight w:val="237"/>
        </w:trPr>
        <w:tc>
          <w:tcPr>
            <w:tcW w:w="69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(2,949)</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(2,415)</w:t>
            </w:r>
          </w:p>
        </w:tc>
      </w:tr>
      <w:tr>
        <w:trPr>
          <w:trHeight w:val="27"/>
        </w:trPr>
        <w:tc>
          <w:tcPr>
            <w:tcW w:w="6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218,203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5"/>
              </w:rPr>
              <w:t>214,212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415,011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405,878</w:t>
            </w:r>
          </w:p>
        </w:tc>
      </w:tr>
      <w:tr>
        <w:trPr>
          <w:trHeight w:val="20"/>
        </w:trPr>
        <w:tc>
          <w:tcPr>
            <w:tcW w:w="6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accrue one-time severance costs pursuant to an approved plan of restructuring at the communication date, when affected employees have been notified of the potential severance and sufficient information has been provided for the employee to calculate severance benefits, in the event the employee is involuntarily terminated. In addition, we accrue costs associated with the termination of contractual commitments including operating leases at the time the lease is terminated pursuant to the lease provisions or in accordance with another agreement with the landlord. Otherwise, we continue to recognize operating lease expense through the cease-use date. After the cease-use date, we determine if our operating lease payments are at market. We assume sublet of the facility at the market rate. To the extent our lease obligations exceed the fair value rentals, we discount to arrive at the present value and record a liability. If the facility is not sublet, we expense the amount of the rental in the current period. For other costs directly related to the restructuring effort, such as equipment moving costs, we expense in the period incurred.</w:t>
      </w:r>
    </w:p>
    <w:p>
      <w:pPr>
        <w:spacing w:after="0" w:line="12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We closed a kitchen and bathroom cabinet door business in Mexico in October 2016 and another plant in Lansing, Kansas in September 2017. We closed two U.S. vinyl operations plants in November 2016 and January 2017. Pursuant to these restructuring efforts, we expensed $0.1 million and $0.2 million during the three and six months ended April 30, 2019, respectively, and $0.2 million and $0.6 million, respectively, for the comparable prior year periods. We have not negotiated an exit from our lease obligation, which is deemed to be at fair market value, at our remaining closed plant location. We expect to continue to incur costs related to this operating lease during fiscal 2019 until we are able to sublet or otherwise exit the lease.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Change - Inventories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record inventory at the lower of cost or market value. Inventories are valued using the first-in first-out (FIFO) method. In the second quarter of 2019, we changed the method of inventory costing for certain inventory in two plants included in our North American Fenestration reportable business segment to the FIFO method from the last-in first-out (LIFO) method. We utilize the FIFO method to determine costs at all of our other operating locations. We believe that the FIFO method is preferable as it provides uniformity of inventory valuation across our global operations, aligns with a majority of our peers which use FIFO as their only inventory valuation method, and provides better matching of revenues and expenses. The impact of this change in accounting principle on the financial statements for each period presented is further explained in Note 2, “Inventories.”</w:t>
      </w:r>
    </w:p>
    <w:p>
      <w:pPr>
        <w:sectPr>
          <w:pgSz w:w="11900" w:h="16838" w:orient="portrait"/>
          <w:cols w:equalWidth="0" w:num="1">
            <w:col w:w="11420"/>
          </w:cols>
          <w:pgMar w:left="240" w:top="125"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Inventories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consisted of the following at April 30, 2019 and October 31,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April 30,</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434"/>
              <w:spacing w:after="0"/>
              <w:rPr>
                <w:sz w:val="20"/>
                <w:szCs w:val="20"/>
                <w:color w:val="auto"/>
              </w:rPr>
            </w:pPr>
            <w:r>
              <w:rPr>
                <w:rFonts w:ascii="Arial" w:cs="Arial" w:eastAsia="Arial" w:hAnsi="Arial"/>
                <w:sz w:val="14"/>
                <w:szCs w:val="14"/>
                <w:b w:val="1"/>
                <w:bCs w:val="1"/>
                <w:color w:val="auto"/>
                <w:w w:val="98"/>
              </w:rPr>
              <w:t>October 31,</w:t>
            </w:r>
          </w:p>
        </w:tc>
      </w:tr>
      <w:tr>
        <w:trPr>
          <w:trHeight w:val="192"/>
        </w:trPr>
        <w:tc>
          <w:tcPr>
            <w:tcW w:w="7780" w:type="dxa"/>
            <w:vAlign w:val="bottom"/>
          </w:tcPr>
          <w:p>
            <w:pPr>
              <w:spacing w:after="0"/>
              <w:rPr>
                <w:sz w:val="16"/>
                <w:szCs w:val="16"/>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2018</w:t>
            </w:r>
          </w:p>
        </w:tc>
      </w:tr>
      <w:tr>
        <w:trPr>
          <w:trHeight w:val="196"/>
        </w:trPr>
        <w:tc>
          <w:tcPr>
            <w:tcW w:w="7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300" w:type="dxa"/>
            <w:vAlign w:val="bottom"/>
          </w:tcPr>
          <w:p>
            <w:pPr>
              <w:spacing w:after="0"/>
              <w:rPr>
                <w:sz w:val="17"/>
                <w:szCs w:val="17"/>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7"/>
              </w:rPr>
              <w:t>42,886</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41,584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Finished goods and work in process</w:t>
            </w:r>
          </w:p>
        </w:tc>
        <w:tc>
          <w:tcPr>
            <w:tcW w:w="1120" w:type="dxa"/>
            <w:vAlign w:val="bottom"/>
          </w:tcPr>
          <w:p>
            <w:pPr>
              <w:spacing w:after="0"/>
              <w:rPr>
                <w:sz w:val="21"/>
                <w:szCs w:val="21"/>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w w:val="87"/>
              </w:rPr>
              <w:t>44,772</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31,727</w:t>
            </w:r>
          </w:p>
        </w:tc>
      </w:tr>
      <w:tr>
        <w:trPr>
          <w:trHeight w:val="27"/>
        </w:trPr>
        <w:tc>
          <w:tcPr>
            <w:tcW w:w="7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Supplies and other</w:t>
            </w:r>
          </w:p>
        </w:tc>
        <w:tc>
          <w:tcPr>
            <w:tcW w:w="1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3,075</w:t>
            </w:r>
          </w:p>
        </w:tc>
        <w:tc>
          <w:tcPr>
            <w:tcW w:w="2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1,794</w:t>
            </w:r>
          </w:p>
        </w:tc>
      </w:tr>
      <w:tr>
        <w:trPr>
          <w:trHeight w:val="237"/>
        </w:trPr>
        <w:tc>
          <w:tcPr>
            <w:tcW w:w="7780" w:type="dxa"/>
            <w:vAlign w:val="bottom"/>
          </w:tcPr>
          <w:p>
            <w:pPr>
              <w:ind w:left="380"/>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87"/>
              </w:rPr>
              <w:t>90,733</w:t>
            </w:r>
          </w:p>
        </w:tc>
        <w:tc>
          <w:tcPr>
            <w:tcW w:w="2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75,105</w:t>
            </w:r>
          </w:p>
        </w:tc>
      </w:tr>
      <w:tr>
        <w:trPr>
          <w:trHeight w:val="27"/>
        </w:trPr>
        <w:tc>
          <w:tcPr>
            <w:tcW w:w="7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Inventory reserves</w:t>
            </w:r>
          </w:p>
        </w:tc>
        <w:tc>
          <w:tcPr>
            <w:tcW w:w="1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4,152</w:t>
            </w:r>
          </w:p>
        </w:tc>
        <w:tc>
          <w:tcPr>
            <w:tcW w:w="2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4,375</w:t>
            </w:r>
          </w:p>
        </w:tc>
      </w:tr>
      <w:tr>
        <w:trPr>
          <w:trHeight w:val="257"/>
        </w:trPr>
        <w:tc>
          <w:tcPr>
            <w:tcW w:w="7780" w:type="dxa"/>
            <w:vAlign w:val="bottom"/>
          </w:tcPr>
          <w:p>
            <w:pPr>
              <w:ind w:left="600"/>
              <w:spacing w:after="0"/>
              <w:rPr>
                <w:sz w:val="20"/>
                <w:szCs w:val="20"/>
                <w:color w:val="auto"/>
              </w:rPr>
            </w:pPr>
            <w:r>
              <w:rPr>
                <w:rFonts w:ascii="Arial" w:cs="Arial" w:eastAsia="Arial" w:hAnsi="Arial"/>
                <w:sz w:val="18"/>
                <w:szCs w:val="18"/>
                <w:color w:val="auto"/>
              </w:rPr>
              <w:t>Inventories, net</w:t>
            </w:r>
          </w:p>
        </w:tc>
        <w:tc>
          <w:tcPr>
            <w:tcW w:w="1120" w:type="dxa"/>
            <w:vAlign w:val="bottom"/>
            <w:tcBorders>
              <w:top w:val="single" w:sz="8" w:color="auto"/>
              <w:bottom w:val="single" w:sz="8" w:color="auto"/>
            </w:tcBorders>
          </w:tcPr>
          <w:p>
            <w:pPr>
              <w:jc w:val="right"/>
              <w:ind w:right="919"/>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87"/>
              </w:rPr>
              <w:t>86,581</w:t>
            </w:r>
          </w:p>
        </w:tc>
        <w:tc>
          <w:tcPr>
            <w:tcW w:w="2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70,730</w:t>
            </w:r>
          </w:p>
        </w:tc>
      </w:tr>
      <w:tr>
        <w:trPr>
          <w:trHeight w:val="20"/>
        </w:trPr>
        <w:tc>
          <w:tcPr>
            <w:tcW w:w="77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Fixed costs related to excess manufacturing capacity, if any, have been expensed in the period they were incurred and, therefore, are not capitalized into inventory.</w:t>
      </w:r>
    </w:p>
    <w:p>
      <w:pPr>
        <w:spacing w:after="0" w:line="116"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 xml:space="preserve">As described in Note 1, “Nature of Operations and Basis of Presentation - </w:t>
      </w:r>
      <w:r>
        <w:rPr>
          <w:rFonts w:ascii="Arial" w:cs="Arial" w:eastAsia="Arial" w:hAnsi="Arial"/>
          <w:sz w:val="16"/>
          <w:szCs w:val="16"/>
          <w:i w:val="1"/>
          <w:iCs w:val="1"/>
          <w:color w:val="auto"/>
        </w:rPr>
        <w:t>Accounting Change - Inventories</w:t>
      </w:r>
      <w:r>
        <w:rPr>
          <w:rFonts w:ascii="Arial" w:cs="Arial" w:eastAsia="Arial" w:hAnsi="Arial"/>
          <w:sz w:val="16"/>
          <w:szCs w:val="16"/>
          <w:color w:val="auto"/>
        </w:rPr>
        <w:t>,” in the second quarter of 2019, we elected to change our method of accounting for certain inventory in our North American Fenestration reportable business segment from LIFO to FIFO. We applied this change in method of inventory costing by retrospectively adjusting the prior period financial statements. As a result of the retrospective application of the change in accounting principle, certain amounts in our condensed consolidated balance sheet as of October 31, 2018 were adjusted as follows: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As reported</w:t>
            </w:r>
          </w:p>
        </w:tc>
        <w:tc>
          <w:tcPr>
            <w:tcW w:w="19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Impact of change to FIFO</w:t>
            </w: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As adjusted</w:t>
            </w:r>
          </w:p>
        </w:tc>
      </w:tr>
      <w:tr>
        <w:trPr>
          <w:trHeight w:val="196"/>
        </w:trPr>
        <w:tc>
          <w:tcPr>
            <w:tcW w:w="5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4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5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69,365</w:t>
            </w:r>
          </w:p>
        </w:tc>
        <w:tc>
          <w:tcPr>
            <w:tcW w:w="4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1,365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70,730</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21"/>
                <w:szCs w:val="21"/>
                <w:color w:val="auto"/>
              </w:rPr>
            </w:pPr>
          </w:p>
        </w:tc>
        <w:tc>
          <w:tcPr>
            <w:tcW w:w="1500" w:type="dxa"/>
            <w:vAlign w:val="bottom"/>
          </w:tcPr>
          <w:p>
            <w:pPr>
              <w:jc w:val="right"/>
              <w:ind w:right="114"/>
              <w:spacing w:after="0"/>
              <w:rPr>
                <w:sz w:val="20"/>
                <w:szCs w:val="20"/>
                <w:color w:val="auto"/>
              </w:rPr>
            </w:pPr>
            <w:r>
              <w:rPr>
                <w:rFonts w:ascii="Arial" w:cs="Arial" w:eastAsia="Arial" w:hAnsi="Arial"/>
                <w:sz w:val="18"/>
                <w:szCs w:val="18"/>
                <w:color w:val="auto"/>
              </w:rPr>
              <w:t>17,215</w:t>
            </w:r>
          </w:p>
        </w:tc>
        <w:tc>
          <w:tcPr>
            <w:tcW w:w="420" w:type="dxa"/>
            <w:vAlign w:val="bottom"/>
          </w:tcPr>
          <w:p>
            <w:pPr>
              <w:spacing w:after="0"/>
              <w:rPr>
                <w:sz w:val="21"/>
                <w:szCs w:val="21"/>
                <w:color w:val="auto"/>
              </w:rPr>
            </w:pPr>
          </w:p>
        </w:tc>
        <w:tc>
          <w:tcPr>
            <w:tcW w:w="1540" w:type="dxa"/>
            <w:vAlign w:val="bottom"/>
            <w:gridSpan w:val="2"/>
          </w:tcPr>
          <w:p>
            <w:pPr>
              <w:jc w:val="right"/>
              <w:ind w:right="110"/>
              <w:spacing w:after="0"/>
              <w:rPr>
                <w:sz w:val="20"/>
                <w:szCs w:val="20"/>
                <w:color w:val="auto"/>
              </w:rPr>
            </w:pPr>
            <w:r>
              <w:rPr>
                <w:rFonts w:ascii="Arial" w:cs="Arial" w:eastAsia="Arial" w:hAnsi="Arial"/>
                <w:sz w:val="18"/>
                <w:szCs w:val="18"/>
                <w:color w:val="auto"/>
              </w:rPr>
              <w:t>295</w:t>
            </w:r>
          </w:p>
        </w:tc>
        <w:tc>
          <w:tcPr>
            <w:tcW w:w="260" w:type="dxa"/>
            <w:vAlign w:val="bottom"/>
          </w:tcPr>
          <w:p>
            <w:pPr>
              <w:spacing w:after="0"/>
              <w:rPr>
                <w:sz w:val="21"/>
                <w:szCs w:val="21"/>
                <w:color w:val="auto"/>
              </w:rPr>
            </w:pP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17,510</w:t>
            </w:r>
          </w:p>
        </w:tc>
      </w:tr>
      <w:tr>
        <w:trPr>
          <w:trHeight w:val="27"/>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242,834</w:t>
            </w:r>
          </w:p>
        </w:tc>
        <w:tc>
          <w:tcPr>
            <w:tcW w:w="4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1,070</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243,904</w:t>
            </w:r>
          </w:p>
        </w:tc>
      </w:tr>
      <w:tr>
        <w:trPr>
          <w:trHeight w:val="594"/>
        </w:trPr>
        <w:tc>
          <w:tcPr>
            <w:tcW w:w="5820" w:type="dxa"/>
            <w:vAlign w:val="bottom"/>
          </w:tcPr>
          <w:p>
            <w:pPr>
              <w:spacing w:after="0"/>
              <w:rPr>
                <w:sz w:val="20"/>
                <w:szCs w:val="20"/>
                <w:color w:val="auto"/>
              </w:rPr>
            </w:pPr>
            <w:r>
              <w:rPr>
                <w:rFonts w:ascii="Arial" w:cs="Arial" w:eastAsia="Arial" w:hAnsi="Arial"/>
                <w:sz w:val="18"/>
                <w:szCs w:val="18"/>
                <w:b w:val="1"/>
                <w:bCs w:val="1"/>
                <w:color w:val="auto"/>
              </w:rPr>
              <w:t>3. Goodwill and Intangible Assets</w:t>
            </w: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78"/>
        </w:trPr>
        <w:tc>
          <w:tcPr>
            <w:tcW w:w="5820" w:type="dxa"/>
            <w:vAlign w:val="bottom"/>
          </w:tcPr>
          <w:p>
            <w:pPr>
              <w:spacing w:after="0"/>
              <w:rPr>
                <w:sz w:val="20"/>
                <w:szCs w:val="20"/>
                <w:color w:val="auto"/>
              </w:rPr>
            </w:pPr>
            <w:r>
              <w:rPr>
                <w:rFonts w:ascii="Arial" w:cs="Arial" w:eastAsia="Arial" w:hAnsi="Arial"/>
                <w:sz w:val="18"/>
                <w:szCs w:val="18"/>
                <w:i w:val="1"/>
                <w:iCs w:val="1"/>
                <w:color w:val="auto"/>
              </w:rPr>
              <w:t>Goodwill</w:t>
            </w: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78"/>
        </w:trPr>
        <w:tc>
          <w:tcPr>
            <w:tcW w:w="8060" w:type="dxa"/>
            <w:vAlign w:val="bottom"/>
            <w:gridSpan w:val="4"/>
          </w:tcPr>
          <w:p>
            <w:pPr>
              <w:jc w:val="right"/>
              <w:ind w:right="56"/>
              <w:spacing w:after="0"/>
              <w:rPr>
                <w:sz w:val="20"/>
                <w:szCs w:val="20"/>
                <w:color w:val="auto"/>
              </w:rPr>
            </w:pPr>
            <w:r>
              <w:rPr>
                <w:rFonts w:ascii="Arial" w:cs="Arial" w:eastAsia="Arial" w:hAnsi="Arial"/>
                <w:sz w:val="18"/>
                <w:szCs w:val="18"/>
                <w:color w:val="auto"/>
                <w:w w:val="97"/>
              </w:rPr>
              <w:t>The change in the carrying amount of goodwill for the six months ended April 30, 2019 was as follows:</w:t>
            </w: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93"/>
        </w:trPr>
        <w:tc>
          <w:tcPr>
            <w:tcW w:w="5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gridSpan w:val="2"/>
          </w:tcPr>
          <w:p>
            <w:pPr>
              <w:jc w:val="center"/>
              <w:ind w:right="255"/>
              <w:spacing w:after="0"/>
              <w:rPr>
                <w:sz w:val="20"/>
                <w:szCs w:val="20"/>
                <w:color w:val="auto"/>
              </w:rPr>
            </w:pPr>
            <w:r>
              <w:rPr>
                <w:rFonts w:ascii="Arial" w:cs="Arial" w:eastAsia="Arial" w:hAnsi="Arial"/>
                <w:sz w:val="14"/>
                <w:szCs w:val="14"/>
                <w:b w:val="1"/>
                <w:bCs w:val="1"/>
                <w:color w:val="auto"/>
                <w:w w:val="92"/>
              </w:rPr>
              <w:t>Six Months Ended</w:t>
            </w:r>
          </w:p>
        </w:tc>
      </w:tr>
      <w:tr>
        <w:trPr>
          <w:trHeight w:val="209"/>
        </w:trPr>
        <w:tc>
          <w:tcPr>
            <w:tcW w:w="5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515"/>
              <w:spacing w:after="0"/>
              <w:rPr>
                <w:sz w:val="20"/>
                <w:szCs w:val="20"/>
                <w:color w:val="auto"/>
              </w:rPr>
            </w:pPr>
            <w:r>
              <w:rPr>
                <w:rFonts w:ascii="Arial" w:cs="Arial" w:eastAsia="Arial" w:hAnsi="Arial"/>
                <w:sz w:val="14"/>
                <w:szCs w:val="14"/>
                <w:b w:val="1"/>
                <w:bCs w:val="1"/>
                <w:color w:val="auto"/>
                <w:w w:val="97"/>
              </w:rPr>
              <w:t>April 30, 2019</w:t>
            </w:r>
          </w:p>
        </w:tc>
      </w:tr>
      <w:tr>
        <w:trPr>
          <w:trHeight w:val="250"/>
        </w:trPr>
        <w:tc>
          <w:tcPr>
            <w:tcW w:w="5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center"/>
              <w:ind w:right="515"/>
              <w:spacing w:after="0"/>
              <w:rPr>
                <w:sz w:val="20"/>
                <w:szCs w:val="20"/>
                <w:color w:val="auto"/>
              </w:rPr>
            </w:pPr>
            <w:r>
              <w:rPr>
                <w:rFonts w:ascii="Arial" w:cs="Arial" w:eastAsia="Arial" w:hAnsi="Arial"/>
                <w:sz w:val="14"/>
                <w:szCs w:val="14"/>
                <w:b w:val="1"/>
                <w:bCs w:val="1"/>
                <w:color w:val="auto"/>
                <w:w w:val="91"/>
              </w:rPr>
              <w:t>(In thousands)</w:t>
            </w:r>
          </w:p>
        </w:tc>
      </w:tr>
      <w:tr>
        <w:trPr>
          <w:trHeight w:val="25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as of November 1, 2018</w:t>
            </w: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219,627</w:t>
            </w:r>
          </w:p>
        </w:tc>
      </w:tr>
      <w:tr>
        <w:trPr>
          <w:trHeight w:val="243"/>
        </w:trPr>
        <w:tc>
          <w:tcPr>
            <w:tcW w:w="5820" w:type="dxa"/>
            <w:vAlign w:val="bottom"/>
          </w:tcPr>
          <w:p>
            <w:pPr>
              <w:ind w:left="380"/>
              <w:spacing w:after="0"/>
              <w:rPr>
                <w:sz w:val="20"/>
                <w:szCs w:val="20"/>
                <w:color w:val="auto"/>
              </w:rPr>
            </w:pPr>
            <w:r>
              <w:rPr>
                <w:rFonts w:ascii="Arial" w:cs="Arial" w:eastAsia="Arial" w:hAnsi="Arial"/>
                <w:sz w:val="18"/>
                <w:szCs w:val="18"/>
                <w:color w:val="auto"/>
              </w:rPr>
              <w:t>Goodwill impairment charge</w:t>
            </w: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(29,978)</w:t>
            </w:r>
          </w:p>
        </w:tc>
      </w:tr>
      <w:tr>
        <w:trPr>
          <w:trHeight w:val="27"/>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989</w:t>
            </w:r>
          </w:p>
        </w:tc>
      </w:tr>
      <w:tr>
        <w:trPr>
          <w:trHeight w:val="257"/>
        </w:trPr>
        <w:tc>
          <w:tcPr>
            <w:tcW w:w="5820" w:type="dxa"/>
            <w:vAlign w:val="bottom"/>
          </w:tcPr>
          <w:p>
            <w:pPr>
              <w:ind w:left="40"/>
              <w:spacing w:after="0"/>
              <w:rPr>
                <w:sz w:val="20"/>
                <w:szCs w:val="20"/>
                <w:color w:val="auto"/>
              </w:rPr>
            </w:pPr>
            <w:r>
              <w:rPr>
                <w:rFonts w:ascii="Arial" w:cs="Arial" w:eastAsia="Arial" w:hAnsi="Arial"/>
                <w:sz w:val="18"/>
                <w:szCs w:val="18"/>
                <w:color w:val="auto"/>
              </w:rPr>
              <w:t>Balance as of the end of the period</w:t>
            </w:r>
          </w:p>
        </w:tc>
        <w:tc>
          <w:tcPr>
            <w:tcW w:w="3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190,638</w:t>
            </w:r>
          </w:p>
        </w:tc>
      </w:tr>
      <w:tr>
        <w:trPr>
          <w:trHeight w:val="20"/>
        </w:trPr>
        <w:tc>
          <w:tcPr>
            <w:tcW w:w="5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At our last annual test date, August 31, 2018, we evaluated the recoverability of goodwill at each of our five reportable units with goodwill balances and determined that our goodwill was not impaired. For the reportable unit included in our NA Cabinet Components operating segment, we experienced financial performance for the year to date period ending March 31, 2019 that was below our annual budget. As a result, we developed a new long-range forecast for this reporting unit that was below its previous long-range forecast as a result of an industry-wide shift from semi-custom cabinets to stock cabinets. We determined that the combination of i) actual financial results below planned performance, ii) a downward revision of the long-range forecast, and iii) the historical narrow margin of fair value over carrying value in previous annual and interim goodwill assessments represented a triggering event that that would more likely than not indicate that the carrying value of a reporting unit was greater than its fair value. Therefore, we performed a quantitative assessment (previously referred to as step one) of the goodwill impairment test at March 31, 2019. The step one test was conducted using multiple valuation techniques, including a discounted cash flow analysis, which utilize Level 3 fair value inputs. During the six months ended April 30, 2019, we adopted a new accounting standard which</w:t>
      </w:r>
    </w:p>
    <w:p>
      <w:pPr>
        <w:sectPr>
          <w:pgSz w:w="11900" w:h="16838" w:orient="portrait"/>
          <w:cols w:equalWidth="0" w:num="1">
            <w:col w:w="11420"/>
          </w:cols>
          <w:pgMar w:left="240" w:top="125" w:right="239" w:bottom="1440" w:gutter="0" w:footer="0" w:header="0"/>
        </w:sect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4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removed the requirement to perform any further testing beyond the quantitative assessment, as further described in Note 15, "New Accounting Guidance." As a result of the step one test, we recorded an impairment charge of $30.0 million, reducing the goodwill balance applicable to the reporting unit included in our NA Cabinet Components operating segment from $113.7 million to $83.7 million. For a summary of the change in the carrying amount of goodwill by segment, see Note 13, "Segment Information."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Identifiable Intangible Assets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Amortizable intangible assets consisted of the following as of April 30, 2019 and October 31,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 2019</w:t>
            </w:r>
          </w:p>
        </w:tc>
        <w:tc>
          <w:tcPr>
            <w:tcW w:w="11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956"/>
              <w:spacing w:after="0"/>
              <w:rPr>
                <w:sz w:val="20"/>
                <w:szCs w:val="20"/>
                <w:color w:val="auto"/>
              </w:rPr>
            </w:pPr>
            <w:r>
              <w:rPr>
                <w:rFonts w:ascii="Arial" w:cs="Arial" w:eastAsia="Arial" w:hAnsi="Arial"/>
                <w:sz w:val="14"/>
                <w:szCs w:val="14"/>
                <w:b w:val="1"/>
                <w:bCs w:val="1"/>
                <w:color w:val="auto"/>
              </w:rPr>
              <w:t>October 31, 2018</w:t>
            </w:r>
          </w:p>
        </w:tc>
      </w:tr>
      <w:tr>
        <w:trPr>
          <w:trHeight w:val="152"/>
        </w:trPr>
        <w:tc>
          <w:tcPr>
            <w:tcW w:w="4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340" w:type="dxa"/>
            <w:vAlign w:val="bottom"/>
          </w:tcPr>
          <w:p>
            <w:pPr>
              <w:spacing w:after="0"/>
              <w:rPr>
                <w:sz w:val="13"/>
                <w:szCs w:val="13"/>
                <w:color w:val="auto"/>
              </w:rPr>
            </w:pPr>
          </w:p>
        </w:tc>
        <w:tc>
          <w:tcPr>
            <w:tcW w:w="138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3"/>
                <w:szCs w:val="13"/>
                <w:color w:val="auto"/>
              </w:rPr>
            </w:pPr>
          </w:p>
        </w:tc>
        <w:tc>
          <w:tcPr>
            <w:tcW w:w="150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220" w:type="dxa"/>
            <w:vAlign w:val="bottom"/>
          </w:tcPr>
          <w:p>
            <w:pPr>
              <w:spacing w:after="0"/>
              <w:rPr>
                <w:sz w:val="13"/>
                <w:szCs w:val="13"/>
                <w:color w:val="auto"/>
              </w:rPr>
            </w:pPr>
          </w:p>
        </w:tc>
        <w:tc>
          <w:tcPr>
            <w:tcW w:w="1260" w:type="dxa"/>
            <w:vAlign w:val="bottom"/>
          </w:tcPr>
          <w:p>
            <w:pPr>
              <w:jc w:val="right"/>
              <w:ind w:right="236"/>
              <w:spacing w:after="0" w:line="153" w:lineRule="exact"/>
              <w:rPr>
                <w:sz w:val="20"/>
                <w:szCs w:val="20"/>
                <w:color w:val="auto"/>
              </w:rPr>
            </w:pPr>
            <w:r>
              <w:rPr>
                <w:rFonts w:ascii="Arial" w:cs="Arial" w:eastAsia="Arial" w:hAnsi="Arial"/>
                <w:sz w:val="14"/>
                <w:szCs w:val="14"/>
                <w:b w:val="1"/>
                <w:bCs w:val="1"/>
                <w:color w:val="auto"/>
              </w:rPr>
              <w:t>Accumulated</w:t>
            </w:r>
          </w:p>
        </w:tc>
      </w:tr>
      <w:tr>
        <w:trPr>
          <w:trHeight w:val="192"/>
        </w:trPr>
        <w:tc>
          <w:tcPr>
            <w:tcW w:w="4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8"/>
              </w:rPr>
              <w:t>Amount</w:t>
            </w: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Amortization</w:t>
            </w:r>
          </w:p>
        </w:tc>
      </w:tr>
      <w:tr>
        <w:trPr>
          <w:trHeight w:val="250"/>
        </w:trPr>
        <w:tc>
          <w:tcPr>
            <w:tcW w:w="4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60" w:type="dxa"/>
            <w:vAlign w:val="bottom"/>
            <w:gridSpan w:val="5"/>
          </w:tcPr>
          <w:p>
            <w:pPr>
              <w:ind w:left="80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6"/>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relationships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154,206</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64,663</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153,704</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59,332</w:t>
            </w:r>
          </w:p>
        </w:tc>
      </w:tr>
      <w:tr>
        <w:trPr>
          <w:trHeight w:val="243"/>
        </w:trPr>
        <w:tc>
          <w:tcPr>
            <w:tcW w:w="4800" w:type="dxa"/>
            <w:vAlign w:val="bottom"/>
          </w:tcPr>
          <w:p>
            <w:pPr>
              <w:ind w:left="380"/>
              <w:spacing w:after="0"/>
              <w:rPr>
                <w:sz w:val="20"/>
                <w:szCs w:val="20"/>
                <w:color w:val="auto"/>
              </w:rPr>
            </w:pPr>
            <w:r>
              <w:rPr>
                <w:rFonts w:ascii="Arial" w:cs="Arial" w:eastAsia="Arial" w:hAnsi="Arial"/>
                <w:sz w:val="18"/>
                <w:szCs w:val="18"/>
                <w:color w:val="auto"/>
              </w:rPr>
              <w:t>Trademarks and trade names</w:t>
            </w:r>
          </w:p>
        </w:tc>
        <w:tc>
          <w:tcPr>
            <w:tcW w:w="200" w:type="dxa"/>
            <w:vAlign w:val="bottom"/>
          </w:tcPr>
          <w:p>
            <w:pPr>
              <w:spacing w:after="0"/>
              <w:rPr>
                <w:sz w:val="21"/>
                <w:szCs w:val="21"/>
                <w:color w:val="auto"/>
              </w:rPr>
            </w:pPr>
          </w:p>
        </w:tc>
        <w:tc>
          <w:tcPr>
            <w:tcW w:w="1320" w:type="dxa"/>
            <w:vAlign w:val="bottom"/>
          </w:tcPr>
          <w:p>
            <w:pPr>
              <w:jc w:val="right"/>
              <w:ind w:right="38"/>
              <w:spacing w:after="0"/>
              <w:rPr>
                <w:sz w:val="20"/>
                <w:szCs w:val="20"/>
                <w:color w:val="auto"/>
              </w:rPr>
            </w:pPr>
            <w:r>
              <w:rPr>
                <w:rFonts w:ascii="Arial" w:cs="Arial" w:eastAsia="Arial" w:hAnsi="Arial"/>
                <w:sz w:val="18"/>
                <w:szCs w:val="18"/>
                <w:color w:val="auto"/>
              </w:rPr>
              <w:t>55,828</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34,179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55,583</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32,668</w:t>
            </w:r>
          </w:p>
        </w:tc>
      </w:tr>
      <w:tr>
        <w:trPr>
          <w:trHeight w:val="27"/>
        </w:trPr>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Patents and other technology</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22,286</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18,557</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22,278</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17,646</w:t>
            </w:r>
          </w:p>
        </w:tc>
      </w:tr>
      <w:tr>
        <w:trPr>
          <w:trHeight w:val="257"/>
        </w:trPr>
        <w:tc>
          <w:tcPr>
            <w:tcW w:w="4800" w:type="dxa"/>
            <w:vAlign w:val="bottom"/>
          </w:tcPr>
          <w:p>
            <w:pPr>
              <w:ind w:left="3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232,320</w:t>
            </w:r>
          </w:p>
        </w:tc>
        <w:tc>
          <w:tcPr>
            <w:tcW w:w="2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117,399</w:t>
            </w:r>
          </w:p>
        </w:tc>
        <w:tc>
          <w:tcPr>
            <w:tcW w:w="2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231,565</w:t>
            </w:r>
          </w:p>
        </w:tc>
        <w:tc>
          <w:tcPr>
            <w:tcW w:w="2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109,646</w:t>
            </w:r>
          </w:p>
        </w:tc>
      </w:tr>
      <w:tr>
        <w:trPr>
          <w:trHeight w:val="20"/>
        </w:trPr>
        <w:tc>
          <w:tcPr>
            <w:tcW w:w="4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six months ended April 30, 2019, we retired identifiable intangible assets of $0.3 million related to customer relationships.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had aggregate amortization expense related to intangible assets for the three and six months ended April 30, 2019 of $3.9 million and $7.9 million, respectively, and $4.1 million and $8.2 million, respectively, for the comparable prior year periods.</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Estimated remaining amortization expense, based on current intangible balances, for each of the fiscal years ending October 31, is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672"/>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4"/>
                <w:szCs w:val="14"/>
                <w:b w:val="1"/>
                <w:bCs w:val="1"/>
                <w:color w:val="auto"/>
              </w:rPr>
              <w:t>Amortization Expense</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(remaining six months)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7,462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14,282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12,562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11,939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11,193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57,483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114,921</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4. Debt and Capital Lease Obligations</w:t>
            </w:r>
          </w:p>
        </w:tc>
        <w:tc>
          <w:tcPr>
            <w:tcW w:w="2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83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40" w:type="dxa"/>
            <w:vAlign w:val="bottom"/>
          </w:tcPr>
          <w:p>
            <w:pPr>
              <w:ind w:left="440"/>
              <w:spacing w:after="0"/>
              <w:rPr>
                <w:sz w:val="20"/>
                <w:szCs w:val="20"/>
                <w:color w:val="auto"/>
              </w:rPr>
            </w:pPr>
            <w:r>
              <w:rPr>
                <w:rFonts w:ascii="Arial" w:cs="Arial" w:eastAsia="Arial" w:hAnsi="Arial"/>
                <w:sz w:val="18"/>
                <w:szCs w:val="18"/>
                <w:color w:val="auto"/>
              </w:rPr>
              <w:t>Debt consisted of the following at April 30, 2019 and October 31, 2018:</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7"/>
              </w:rPr>
              <w:t>April 30,</w:t>
            </w:r>
          </w:p>
        </w:tc>
        <w:tc>
          <w:tcPr>
            <w:tcW w:w="240" w:type="dxa"/>
            <w:vAlign w:val="bottom"/>
          </w:tcPr>
          <w:p>
            <w:pPr>
              <w:spacing w:after="0"/>
              <w:rPr>
                <w:sz w:val="24"/>
                <w:szCs w:val="24"/>
                <w:color w:val="auto"/>
              </w:rPr>
            </w:pPr>
          </w:p>
        </w:tc>
        <w:tc>
          <w:tcPr>
            <w:tcW w:w="1240" w:type="dxa"/>
            <w:vAlign w:val="bottom"/>
          </w:tcPr>
          <w:p>
            <w:pPr>
              <w:jc w:val="right"/>
              <w:ind w:right="312"/>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160" w:type="dxa"/>
            <w:vAlign w:val="bottom"/>
            <w:gridSpan w:val="4"/>
          </w:tcPr>
          <w:p>
            <w:pPr>
              <w:jc w:val="right"/>
              <w:ind w:right="992"/>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210,000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195,000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Capital lease obligations and other</w:t>
            </w:r>
          </w:p>
        </w:tc>
        <w:tc>
          <w:tcPr>
            <w:tcW w:w="280" w:type="dxa"/>
            <w:vAlign w:val="bottom"/>
          </w:tcPr>
          <w:p>
            <w:pPr>
              <w:spacing w:after="0"/>
              <w:rPr>
                <w:sz w:val="21"/>
                <w:szCs w:val="21"/>
                <w:color w:val="auto"/>
              </w:rPr>
            </w:pPr>
          </w:p>
        </w:tc>
        <w:tc>
          <w:tcPr>
            <w:tcW w:w="1220" w:type="dxa"/>
            <w:vAlign w:val="bottom"/>
            <w:gridSpan w:val="2"/>
          </w:tcPr>
          <w:p>
            <w:pPr>
              <w:jc w:val="right"/>
              <w:ind w:right="28"/>
              <w:spacing w:after="0"/>
              <w:rPr>
                <w:sz w:val="20"/>
                <w:szCs w:val="20"/>
                <w:color w:val="auto"/>
              </w:rPr>
            </w:pPr>
            <w:r>
              <w:rPr>
                <w:rFonts w:ascii="Arial" w:cs="Arial" w:eastAsia="Arial" w:hAnsi="Arial"/>
                <w:sz w:val="18"/>
                <w:szCs w:val="18"/>
                <w:color w:val="auto"/>
              </w:rPr>
              <w:t>17,162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17,043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deferred financing fees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debt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225,825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210,556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Current maturities of long-term debt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1,082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57"/>
        </w:trPr>
        <w:tc>
          <w:tcPr>
            <w:tcW w:w="8340" w:type="dxa"/>
            <w:vAlign w:val="bottom"/>
          </w:tcPr>
          <w:p>
            <w:pPr>
              <w:ind w:left="500"/>
              <w:spacing w:after="0"/>
              <w:rPr>
                <w:sz w:val="20"/>
                <w:szCs w:val="20"/>
                <w:color w:val="auto"/>
              </w:rPr>
            </w:pPr>
            <w:r>
              <w:rPr>
                <w:rFonts w:ascii="Arial" w:cs="Arial" w:eastAsia="Arial" w:hAnsi="Arial"/>
                <w:sz w:val="18"/>
                <w:szCs w:val="18"/>
                <w:color w:val="auto"/>
              </w:rPr>
              <w:t>Long-term debt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224,743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209,332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more fully described in our Annual Report on Form 10-K for the year ended October 31, 2018, on October 18, 2018, we amended and extended our prior credit facility by entering into a $325.0 million revolving credit facility (the “Credit Facility”), with Wells Fargo Bank, National Association, as Agent, Swingline Lender and Issuing Lender, and Bank of America, N.A. serving</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3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Syndication Agent. The Credit Facility has a five-year term, maturing on October 18, 2023, and requires interest payments calculated, at our election and depending upon our Consolidated Leverage Ratio, at either a Base Rate plus an applicable margin or the LIBOR Rate plus an applicable margin. In addition, we are subject to commitment fees for the unused portion of the Credit Facility.</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applicable margin and commitment fees are outlined in the following table: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Pricing Level</w:t>
            </w:r>
          </w:p>
        </w:tc>
        <w:tc>
          <w:tcPr>
            <w:tcW w:w="3480" w:type="dxa"/>
            <w:vAlign w:val="bottom"/>
          </w:tcPr>
          <w:p>
            <w:pPr>
              <w:ind w:left="680"/>
              <w:spacing w:after="0"/>
              <w:rPr>
                <w:sz w:val="20"/>
                <w:szCs w:val="20"/>
                <w:color w:val="auto"/>
              </w:rPr>
            </w:pPr>
            <w:r>
              <w:rPr>
                <w:rFonts w:ascii="Arial" w:cs="Arial" w:eastAsia="Arial" w:hAnsi="Arial"/>
                <w:sz w:val="18"/>
                <w:szCs w:val="18"/>
                <w:b w:val="1"/>
                <w:bCs w:val="1"/>
                <w:color w:val="auto"/>
              </w:rPr>
              <w:t>Consolidated Leverage Ratio</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91"/>
              </w:rPr>
              <w:t>Commitment Fee</w:t>
            </w:r>
          </w:p>
        </w:tc>
        <w:tc>
          <w:tcPr>
            <w:tcW w:w="232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LIBOR Rate Loans</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8"/>
              </w:rPr>
              <w:t>Base Rate Loans</w:t>
            </w:r>
          </w:p>
        </w:tc>
      </w:tr>
      <w:tr>
        <w:trPr>
          <w:trHeight w:val="34"/>
        </w:trPr>
        <w:tc>
          <w:tcPr>
            <w:tcW w:w="136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50"/>
        </w:trPr>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I</w:t>
            </w:r>
          </w:p>
        </w:tc>
        <w:tc>
          <w:tcPr>
            <w:tcW w:w="3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than or equal to 1.50 to 1.00</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0.200%</w:t>
            </w:r>
          </w:p>
        </w:tc>
        <w:tc>
          <w:tcPr>
            <w:tcW w:w="232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0"/>
              </w:rPr>
              <w:t>1.25%</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0.25%</w:t>
            </w:r>
          </w:p>
        </w:tc>
      </w:tr>
      <w:tr>
        <w:trPr>
          <w:trHeight w:val="229"/>
        </w:trPr>
        <w:tc>
          <w:tcPr>
            <w:tcW w:w="1360" w:type="dxa"/>
            <w:vAlign w:val="bottom"/>
          </w:tcPr>
          <w:p>
            <w:pPr>
              <w:spacing w:after="0"/>
              <w:rPr>
                <w:sz w:val="19"/>
                <w:szCs w:val="19"/>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w w:val="98"/>
              </w:rPr>
              <w:t>Greater than 1.50 to 1.00, but less than or</w:t>
            </w:r>
          </w:p>
        </w:tc>
        <w:tc>
          <w:tcPr>
            <w:tcW w:w="20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1360" w:type="dxa"/>
            <w:vAlign w:val="bottom"/>
          </w:tcPr>
          <w:p>
            <w:pPr>
              <w:jc w:val="center"/>
              <w:spacing w:after="0"/>
              <w:rPr>
                <w:sz w:val="20"/>
                <w:szCs w:val="20"/>
                <w:color w:val="auto"/>
              </w:rPr>
            </w:pPr>
            <w:r>
              <w:rPr>
                <w:rFonts w:ascii="Arial" w:cs="Arial" w:eastAsia="Arial" w:hAnsi="Arial"/>
                <w:sz w:val="18"/>
                <w:szCs w:val="18"/>
                <w:color w:val="auto"/>
              </w:rPr>
              <w:t>II</w:t>
            </w:r>
          </w:p>
        </w:tc>
        <w:tc>
          <w:tcPr>
            <w:tcW w:w="3480" w:type="dxa"/>
            <w:vAlign w:val="bottom"/>
          </w:tcPr>
          <w:p>
            <w:pPr>
              <w:ind w:left="180"/>
              <w:spacing w:after="0"/>
              <w:rPr>
                <w:sz w:val="20"/>
                <w:szCs w:val="20"/>
                <w:color w:val="auto"/>
              </w:rPr>
            </w:pPr>
            <w:r>
              <w:rPr>
                <w:rFonts w:ascii="Arial" w:cs="Arial" w:eastAsia="Arial" w:hAnsi="Arial"/>
                <w:sz w:val="18"/>
                <w:szCs w:val="18"/>
                <w:color w:val="auto"/>
              </w:rPr>
              <w:t>equal to 2.25 to 1.00</w:t>
            </w:r>
          </w:p>
        </w:tc>
        <w:tc>
          <w:tcPr>
            <w:tcW w:w="2000" w:type="dxa"/>
            <w:vAlign w:val="bottom"/>
          </w:tcPr>
          <w:p>
            <w:pPr>
              <w:jc w:val="center"/>
              <w:spacing w:after="0"/>
              <w:rPr>
                <w:sz w:val="20"/>
                <w:szCs w:val="20"/>
                <w:color w:val="auto"/>
              </w:rPr>
            </w:pPr>
            <w:r>
              <w:rPr>
                <w:rFonts w:ascii="Arial" w:cs="Arial" w:eastAsia="Arial" w:hAnsi="Arial"/>
                <w:sz w:val="18"/>
                <w:szCs w:val="18"/>
                <w:color w:val="auto"/>
                <w:w w:val="91"/>
              </w:rPr>
              <w:t>0.225%</w:t>
            </w:r>
          </w:p>
        </w:tc>
        <w:tc>
          <w:tcPr>
            <w:tcW w:w="2320" w:type="dxa"/>
            <w:vAlign w:val="bottom"/>
          </w:tcPr>
          <w:p>
            <w:pPr>
              <w:jc w:val="center"/>
              <w:ind w:right="50"/>
              <w:spacing w:after="0"/>
              <w:rPr>
                <w:sz w:val="20"/>
                <w:szCs w:val="20"/>
                <w:color w:val="auto"/>
              </w:rPr>
            </w:pPr>
            <w:r>
              <w:rPr>
                <w:rFonts w:ascii="Arial" w:cs="Arial" w:eastAsia="Arial" w:hAnsi="Arial"/>
                <w:sz w:val="18"/>
                <w:szCs w:val="18"/>
                <w:color w:val="auto"/>
                <w:w w:val="90"/>
              </w:rPr>
              <w:t>1.50%</w:t>
            </w: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0.50%</w:t>
            </w:r>
          </w:p>
        </w:tc>
      </w:tr>
      <w:tr>
        <w:trPr>
          <w:trHeight w:val="27"/>
        </w:trPr>
        <w:tc>
          <w:tcPr>
            <w:tcW w:w="13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29"/>
        </w:trPr>
        <w:tc>
          <w:tcPr>
            <w:tcW w:w="1360" w:type="dxa"/>
            <w:vAlign w:val="bottom"/>
            <w:shd w:val="clear" w:color="auto" w:fill="CCEEFF"/>
          </w:tcPr>
          <w:p>
            <w:pPr>
              <w:spacing w:after="0"/>
              <w:rPr>
                <w:sz w:val="19"/>
                <w:szCs w:val="19"/>
                <w:color w:val="auto"/>
              </w:rPr>
            </w:pPr>
          </w:p>
        </w:tc>
        <w:tc>
          <w:tcPr>
            <w:tcW w:w="34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Greater than 2.25 to 1.00, but less than or</w:t>
            </w:r>
          </w:p>
        </w:tc>
        <w:tc>
          <w:tcPr>
            <w:tcW w:w="200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r>
      <w:tr>
        <w:trPr>
          <w:trHeight w:val="237"/>
        </w:trPr>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III</w:t>
            </w:r>
          </w:p>
        </w:tc>
        <w:tc>
          <w:tcPr>
            <w:tcW w:w="3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equal to 3.00 to 1.00</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0.250%</w:t>
            </w:r>
          </w:p>
        </w:tc>
        <w:tc>
          <w:tcPr>
            <w:tcW w:w="232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0"/>
              </w:rPr>
              <w:t>1.75%</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0.75%</w:t>
            </w:r>
          </w:p>
        </w:tc>
      </w:tr>
      <w:tr>
        <w:trPr>
          <w:trHeight w:val="243"/>
        </w:trPr>
        <w:tc>
          <w:tcPr>
            <w:tcW w:w="1360" w:type="dxa"/>
            <w:vAlign w:val="bottom"/>
          </w:tcPr>
          <w:p>
            <w:pPr>
              <w:jc w:val="center"/>
              <w:spacing w:after="0"/>
              <w:rPr>
                <w:sz w:val="20"/>
                <w:szCs w:val="20"/>
                <w:color w:val="auto"/>
              </w:rPr>
            </w:pPr>
            <w:r>
              <w:rPr>
                <w:rFonts w:ascii="Arial" w:cs="Arial" w:eastAsia="Arial" w:hAnsi="Arial"/>
                <w:sz w:val="18"/>
                <w:szCs w:val="18"/>
                <w:color w:val="auto"/>
              </w:rPr>
              <w:t>IV</w:t>
            </w:r>
          </w:p>
        </w:tc>
        <w:tc>
          <w:tcPr>
            <w:tcW w:w="3480" w:type="dxa"/>
            <w:vAlign w:val="bottom"/>
          </w:tcPr>
          <w:p>
            <w:pPr>
              <w:ind w:left="180"/>
              <w:spacing w:after="0"/>
              <w:rPr>
                <w:sz w:val="20"/>
                <w:szCs w:val="20"/>
                <w:color w:val="auto"/>
              </w:rPr>
            </w:pPr>
            <w:r>
              <w:rPr>
                <w:rFonts w:ascii="Arial" w:cs="Arial" w:eastAsia="Arial" w:hAnsi="Arial"/>
                <w:sz w:val="18"/>
                <w:szCs w:val="18"/>
                <w:color w:val="auto"/>
              </w:rPr>
              <w:t>Greater than 3.00 to 1.00</w:t>
            </w:r>
          </w:p>
        </w:tc>
        <w:tc>
          <w:tcPr>
            <w:tcW w:w="2000" w:type="dxa"/>
            <w:vAlign w:val="bottom"/>
          </w:tcPr>
          <w:p>
            <w:pPr>
              <w:jc w:val="center"/>
              <w:spacing w:after="0"/>
              <w:rPr>
                <w:sz w:val="20"/>
                <w:szCs w:val="20"/>
                <w:color w:val="auto"/>
              </w:rPr>
            </w:pPr>
            <w:r>
              <w:rPr>
                <w:rFonts w:ascii="Arial" w:cs="Arial" w:eastAsia="Arial" w:hAnsi="Arial"/>
                <w:sz w:val="18"/>
                <w:szCs w:val="18"/>
                <w:color w:val="auto"/>
                <w:w w:val="91"/>
              </w:rPr>
              <w:t>0.300%</w:t>
            </w:r>
          </w:p>
        </w:tc>
        <w:tc>
          <w:tcPr>
            <w:tcW w:w="2320" w:type="dxa"/>
            <w:vAlign w:val="bottom"/>
          </w:tcPr>
          <w:p>
            <w:pPr>
              <w:jc w:val="center"/>
              <w:ind w:right="50"/>
              <w:spacing w:after="0"/>
              <w:rPr>
                <w:sz w:val="20"/>
                <w:szCs w:val="20"/>
                <w:color w:val="auto"/>
              </w:rPr>
            </w:pPr>
            <w:r>
              <w:rPr>
                <w:rFonts w:ascii="Arial" w:cs="Arial" w:eastAsia="Arial" w:hAnsi="Arial"/>
                <w:sz w:val="18"/>
                <w:szCs w:val="18"/>
                <w:color w:val="auto"/>
                <w:w w:val="90"/>
              </w:rPr>
              <w:t>2.00%</w:t>
            </w: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1.00%</w:t>
            </w:r>
          </w:p>
        </w:tc>
      </w:tr>
    </w:tbl>
    <w:p>
      <w:pPr>
        <w:spacing w:after="0" w:line="36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the event of default, outstanding borrowings would accrue interest at the Default Rate, as defined, whereby the obligations will bear interest at a per annum rate equal to 2% above the total per annum rate otherwise applicable.</w:t>
      </w:r>
    </w:p>
    <w:p>
      <w:pPr>
        <w:spacing w:after="0" w:line="89"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Credit Facility contains a: (1) Consolidated Interest Coverage Ratio requirement whereby we must not permit the Consolidated Interest Coverage Ratio, as defined, to be less than 2.25 to 1.00, and (2) Consolidated Leverage Ratio requirement, whereby we must not permit the Consolidated Leverage Ratio, as defined, to be greater than 3.25 to 1.00.</w:t>
      </w:r>
    </w:p>
    <w:p>
      <w:pPr>
        <w:spacing w:after="0" w:line="10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addition to maintaining these financial covenants, the Credit Facility also limits our ability to enter into certain business transactions, such as to incur indebtedness or liens, to acquire businesses or dispose of material assets, make restricted payments, pay dividends (limited to $20.0 million per year) and other transactions as further defined in the Credit Facility. Substantially all of our domestic assets, with the exception of real property, are utilized as collateral for the Credit Facility.</w:t>
      </w:r>
    </w:p>
    <w:p>
      <w:pPr>
        <w:spacing w:after="0" w:line="10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of April 30, 2019, we had $210.0 million of borrowings outstanding under the Credit Agreement (reduced by unamortized debt issuance costs of $1.3 million), $4.8 million of outstanding letters of credit and $17.2 million outstanding primarily under capital leases. We had $110.2 million available for use under the Credit Agreement at April 30, 2019. Outstanding borrowings under the Credit Agreement accrue interest at 4.23% per annum. Our weighted average borrowing rate for borrowings outstanding during the six months ended April 30, 2019 and 2018 was 4.14% and 3.55%, respectively. We were in compliance with our debt covenants as of April 30, 2019.</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Debt Instruments</w:t>
      </w:r>
    </w:p>
    <w:p>
      <w:pPr>
        <w:spacing w:after="0" w:line="144"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We maintain certain capital lease obligations related to equipment purchases, vehicles, and warehouse space. The cost and accumulated depreciation of property, plant and equipment under all outstanding capital leases at April 30, 2019 was $22.6 million and $4.1 million, respectively, including $17.6 million and $2.4 million, respectively, related to warehouse space. Our total obligations under capital leases and other total $17.2 million at April 30, 2019, of which $1.3 million is classified in the current portion of long-term debt and $15.9 million is classified as long-term debt on the accompanying unaudited condensed consolidated balance sheets. These obligations accrue interest at an average rate of 3.60%, and extend through the year 2036.</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Retirement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Plan</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non-contributory, single employer defined benefit pension plan covers a majority of our employees in the U.S. The net periodic pension cost for this plan for the three and six months ended April 30, 2019 and 2018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6"/>
                <w:szCs w:val="16"/>
                <w:color w:val="auto"/>
              </w:rPr>
            </w:pPr>
          </w:p>
        </w:tc>
      </w:tr>
      <w:tr>
        <w:trPr>
          <w:trHeight w:val="276"/>
        </w:trPr>
        <w:tc>
          <w:tcPr>
            <w:tcW w:w="50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April 30,</w:t>
            </w:r>
          </w:p>
        </w:tc>
        <w:tc>
          <w:tcPr>
            <w:tcW w:w="9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April 30,</w:t>
            </w:r>
          </w:p>
        </w:tc>
        <w:tc>
          <w:tcPr>
            <w:tcW w:w="920" w:type="dxa"/>
            <w:vAlign w:val="bottom"/>
            <w:tcBorders>
              <w:bottom w:val="single" w:sz="8" w:color="auto"/>
            </w:tcBorders>
          </w:tcPr>
          <w:p>
            <w:pPr>
              <w:spacing w:after="0"/>
              <w:rPr>
                <w:sz w:val="24"/>
                <w:szCs w:val="24"/>
                <w:color w:val="auto"/>
              </w:rPr>
            </w:pPr>
          </w:p>
        </w:tc>
      </w:tr>
      <w:tr>
        <w:trPr>
          <w:trHeight w:val="264"/>
        </w:trPr>
        <w:tc>
          <w:tcPr>
            <w:tcW w:w="504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96"/>
              </w:rPr>
              <w:t>2018</w:t>
            </w:r>
          </w:p>
        </w:tc>
      </w:tr>
      <w:tr>
        <w:trPr>
          <w:trHeight w:val="196"/>
        </w:trPr>
        <w:tc>
          <w:tcPr>
            <w:tcW w:w="5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56"/>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837</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1,023</w:t>
            </w:r>
          </w:p>
        </w:tc>
        <w:tc>
          <w:tcPr>
            <w:tcW w:w="2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1,814</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1,972</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00" w:type="dxa"/>
            <w:vAlign w:val="bottom"/>
          </w:tcPr>
          <w:p>
            <w:pPr>
              <w:spacing w:after="0"/>
              <w:rPr>
                <w:sz w:val="21"/>
                <w:szCs w:val="21"/>
                <w:color w:val="auto"/>
              </w:rPr>
            </w:pPr>
          </w:p>
        </w:tc>
        <w:tc>
          <w:tcPr>
            <w:tcW w:w="600" w:type="dxa"/>
            <w:vAlign w:val="bottom"/>
          </w:tcPr>
          <w:p>
            <w:pPr>
              <w:jc w:val="right"/>
              <w:ind w:right="35"/>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354</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568</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Amortization of net loss</w:t>
            </w:r>
          </w:p>
        </w:tc>
        <w:tc>
          <w:tcPr>
            <w:tcW w:w="900" w:type="dxa"/>
            <w:vAlign w:val="bottom"/>
          </w:tcPr>
          <w:p>
            <w:pPr>
              <w:spacing w:after="0"/>
              <w:rPr>
                <w:sz w:val="21"/>
                <w:szCs w:val="21"/>
                <w:color w:val="auto"/>
              </w:rPr>
            </w:pPr>
          </w:p>
        </w:tc>
        <w:tc>
          <w:tcPr>
            <w:tcW w:w="600" w:type="dxa"/>
            <w:vAlign w:val="bottom"/>
          </w:tcPr>
          <w:p>
            <w:pPr>
              <w:jc w:val="right"/>
              <w:ind w:right="35"/>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42</w:t>
            </w:r>
          </w:p>
        </w:tc>
      </w:tr>
      <w:tr>
        <w:trPr>
          <w:trHeight w:val="27"/>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periodic pension cost</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883</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654</w:t>
            </w:r>
          </w:p>
        </w:tc>
        <w:tc>
          <w:tcPr>
            <w:tcW w:w="2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1,616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1,495</w:t>
            </w:r>
          </w:p>
        </w:tc>
      </w:tr>
      <w:tr>
        <w:trPr>
          <w:trHeight w:val="20"/>
        </w:trPr>
        <w:tc>
          <w:tcPr>
            <w:tcW w:w="5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During September 2018, we contributed $0.8 million to fund our plan, and we expect to make a contribution to our plan in September 2019 of approximately $5.4 million, which is in line with our policy to make the minimum annual contributions required while maintaining 100% percent funding.</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Plans</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We also have a supplemental benefit plan covering certain executive officers and key employees and a non-qualified deferred compensation plan covering members of the Board of Directors and certain key employees. As of April 30, 2019 and October 31, 2018, our liability under the supplemental benefit plan was approximately $3.4 million. As of April 30, 2019 and October 31, 2018, the liability associated with the deferred compensation plan was approximately $3.7 million and $3.5 million, respectively. We record the current portion of liabilities associated with these plans under the caption "Accrued Liabilities," and the long-term portion under the caption "Other Liabilities" in the accompanying condensed consolidated balance sheets.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Warranty Obligations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accrue warranty obligations as we recognize revenue associated with certain products. We make provisions for our warranty obligations based upon historical experience of costs incurred for such obligations adjusted, as necessary, for current conditions and factors. There are significant uncertainties and judgments involved in estimating our warranty obligations, including changing product designs, differences in customer installation processes and future claims experience which may vary from historical claims experience. Therefore, the ultimate amount we incur as warranty costs in the near and long-term may not be consistent with our current estimate.</w:t>
      </w:r>
    </w:p>
    <w:p>
      <w:pPr>
        <w:spacing w:after="0" w:line="13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 reconciliation of the activity related to our accrued warranty, including both the current and long-term portions (reported in accrued liabilities and other liabilities, respectively, on the accompanying condensed consolidated balance sheets)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40" w:type="dxa"/>
            <w:vAlign w:val="bottom"/>
          </w:tcPr>
          <w:p>
            <w:pPr>
              <w:jc w:val="center"/>
              <w:ind w:right="236"/>
              <w:spacing w:after="0"/>
              <w:rPr>
                <w:sz w:val="20"/>
                <w:szCs w:val="20"/>
                <w:color w:val="auto"/>
              </w:rPr>
            </w:pPr>
            <w:r>
              <w:rPr>
                <w:rFonts w:ascii="Arial" w:cs="Arial" w:eastAsia="Arial" w:hAnsi="Arial"/>
                <w:sz w:val="14"/>
                <w:szCs w:val="14"/>
                <w:b w:val="1"/>
                <w:bCs w:val="1"/>
                <w:color w:val="auto"/>
                <w:w w:val="92"/>
              </w:rPr>
              <w:t>Six Months Ended</w:t>
            </w:r>
          </w:p>
        </w:tc>
      </w:tr>
      <w:tr>
        <w:trPr>
          <w:trHeight w:val="209"/>
        </w:trPr>
        <w:tc>
          <w:tcPr>
            <w:tcW w:w="9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97"/>
              </w:rPr>
              <w:t>April 30, 2019</w:t>
            </w:r>
          </w:p>
        </w:tc>
      </w:tr>
      <w:tr>
        <w:trPr>
          <w:trHeight w:val="250"/>
        </w:trPr>
        <w:tc>
          <w:tcPr>
            <w:tcW w:w="9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40" w:type="dxa"/>
            <w:vAlign w:val="bottom"/>
          </w:tcPr>
          <w:p>
            <w:pPr>
              <w:jc w:val="center"/>
              <w:ind w:right="236"/>
              <w:spacing w:after="0"/>
              <w:rPr>
                <w:sz w:val="20"/>
                <w:szCs w:val="20"/>
                <w:color w:val="auto"/>
              </w:rPr>
            </w:pPr>
            <w:r>
              <w:rPr>
                <w:rFonts w:ascii="Arial" w:cs="Arial" w:eastAsia="Arial" w:hAnsi="Arial"/>
                <w:sz w:val="14"/>
                <w:szCs w:val="14"/>
                <w:b w:val="1"/>
                <w:bCs w:val="1"/>
                <w:color w:val="auto"/>
                <w:w w:val="91"/>
              </w:rPr>
              <w:t>(In thousands)</w:t>
            </w:r>
          </w:p>
        </w:tc>
      </w:tr>
      <w:tr>
        <w:trPr>
          <w:trHeight w:val="256"/>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as of November 1, 2018</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295</w:t>
            </w:r>
          </w:p>
        </w:tc>
      </w:tr>
      <w:tr>
        <w:trPr>
          <w:trHeight w:val="243"/>
        </w:trPr>
        <w:tc>
          <w:tcPr>
            <w:tcW w:w="9260" w:type="dxa"/>
            <w:vAlign w:val="bottom"/>
          </w:tcPr>
          <w:p>
            <w:pPr>
              <w:ind w:left="180"/>
              <w:spacing w:after="0"/>
              <w:rPr>
                <w:sz w:val="20"/>
                <w:szCs w:val="20"/>
                <w:color w:val="auto"/>
              </w:rPr>
            </w:pPr>
            <w:r>
              <w:rPr>
                <w:rFonts w:ascii="Arial" w:cs="Arial" w:eastAsia="Arial" w:hAnsi="Arial"/>
                <w:sz w:val="18"/>
                <w:szCs w:val="18"/>
                <w:color w:val="auto"/>
              </w:rPr>
              <w:t>Provision for warranty expense</w:t>
            </w:r>
          </w:p>
        </w:tc>
        <w:tc>
          <w:tcPr>
            <w:tcW w:w="320" w:type="dxa"/>
            <w:vAlign w:val="bottom"/>
          </w:tcPr>
          <w:p>
            <w:pPr>
              <w:spacing w:after="0"/>
              <w:rPr>
                <w:sz w:val="21"/>
                <w:szCs w:val="21"/>
                <w:color w:val="auto"/>
              </w:rPr>
            </w:pPr>
          </w:p>
        </w:tc>
        <w:tc>
          <w:tcPr>
            <w:tcW w:w="1840" w:type="dxa"/>
            <w:vAlign w:val="bottom"/>
          </w:tcPr>
          <w:p>
            <w:pPr>
              <w:jc w:val="right"/>
              <w:ind w:right="16"/>
              <w:spacing w:after="0"/>
              <w:rPr>
                <w:sz w:val="20"/>
                <w:szCs w:val="20"/>
                <w:color w:val="auto"/>
              </w:rPr>
            </w:pPr>
            <w:r>
              <w:rPr>
                <w:rFonts w:ascii="Arial" w:cs="Arial" w:eastAsia="Arial" w:hAnsi="Arial"/>
                <w:sz w:val="18"/>
                <w:szCs w:val="18"/>
                <w:color w:val="auto"/>
              </w:rPr>
              <w:t>11</w:t>
            </w:r>
          </w:p>
        </w:tc>
      </w:tr>
      <w:tr>
        <w:trPr>
          <w:trHeight w:val="27"/>
        </w:trPr>
        <w:tc>
          <w:tcPr>
            <w:tcW w:w="9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Warranty costs paid</w:t>
            </w:r>
          </w:p>
        </w:tc>
        <w:tc>
          <w:tcPr>
            <w:tcW w:w="3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color w:val="auto"/>
              </w:rPr>
              <w:t>Total accrued warranty as of April 30, 2019</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290</w:t>
            </w:r>
          </w:p>
        </w:tc>
      </w:tr>
      <w:tr>
        <w:trPr>
          <w:trHeight w:val="27"/>
        </w:trPr>
        <w:tc>
          <w:tcPr>
            <w:tcW w:w="9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Less: Current portion of accrued warranty</w:t>
            </w:r>
          </w:p>
        </w:tc>
        <w:tc>
          <w:tcPr>
            <w:tcW w:w="3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142</w:t>
            </w:r>
          </w:p>
        </w:tc>
      </w:tr>
      <w:tr>
        <w:trPr>
          <w:trHeight w:val="257"/>
        </w:trPr>
        <w:tc>
          <w:tcPr>
            <w:tcW w:w="9260" w:type="dxa"/>
            <w:vAlign w:val="bottom"/>
          </w:tcPr>
          <w:p>
            <w:pPr>
              <w:ind w:left="720"/>
              <w:spacing w:after="0"/>
              <w:rPr>
                <w:sz w:val="20"/>
                <w:szCs w:val="20"/>
                <w:color w:val="auto"/>
              </w:rPr>
            </w:pPr>
            <w:r>
              <w:rPr>
                <w:rFonts w:ascii="Arial" w:cs="Arial" w:eastAsia="Arial" w:hAnsi="Arial"/>
                <w:sz w:val="18"/>
                <w:szCs w:val="18"/>
                <w:color w:val="auto"/>
              </w:rPr>
              <w:t>Long-term portion of accrued warranty</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148</w:t>
            </w:r>
          </w:p>
        </w:tc>
      </w:tr>
      <w:tr>
        <w:trPr>
          <w:trHeight w:val="20"/>
        </w:trPr>
        <w:tc>
          <w:tcPr>
            <w:tcW w:w="9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7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To determine our income tax expense or benefit for interim periods, consistent with accounting standards, we apply the estimated annual effective income tax rate to year-to-date results. Our estimated annual effective tax rates for the each of the six months ended April 30, 2019 and 2018 was 24.3% and 24.0%, respectively, excluding discrete items. On December 22, 2017, the U.S. enacted the Tax Cuts and Jobs Act (the Act), which significantly changed U.S. tax law. The Act reduced our federal income tax statutory rate from 35.0% to 23.3% for the fiscal year ended October 31, 2018.</w:t>
      </w:r>
    </w:p>
    <w:p>
      <w:pPr>
        <w:spacing w:after="0" w:line="100"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 2019 effective rate was impacted by a discrete charge of $0.1 million related to the vesting or exercise of equity-based compensation awards and a benefit of $0.2 million for the adjustment of the one-time mandatory transition tax on deemed repatriation of previously tax-deferred and unremitted foreign earnings. Additionally, during the three months ended April 30, 2019, we recorded a non-deductible $30.0 million asset impairment charge in the North American Cabinet Components segment, which is further explained in Note 3, "Goodwill and Intangible Assets." Discrete items contributing to the income tax benefit for the six months ended April 30, 2018 included $7.7 million for the re-measurement of our deferred income tax assets and liabilities due to the decrease in the federal corporate income tax rate, a benefit of $0.3 million for the true up of our accruals and related deferred taxes from prior year filings and settled tax audits, and a benefit of $0.1 million related to the vesting or exercise of equity-based compensation awards, partially offset by a tax expense of $1.2 million for the one-time mandatory transition tax on deemed repatriation of previously tax-deferred and unremitted foreign earnings.</w:t>
      </w:r>
    </w:p>
    <w:p>
      <w:pPr>
        <w:spacing w:after="0" w:line="11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reconciles our effective income tax rate to the federal statutory rate of 21.0% and 23.3% for the six months ended April 30, 2019 and 2018,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40" w:type="dxa"/>
            <w:vAlign w:val="bottom"/>
          </w:tcPr>
          <w:p>
            <w:pPr>
              <w:spacing w:after="0"/>
              <w:rPr>
                <w:sz w:val="16"/>
                <w:szCs w:val="16"/>
                <w:color w:val="auto"/>
              </w:rPr>
            </w:pPr>
          </w:p>
        </w:tc>
        <w:tc>
          <w:tcPr>
            <w:tcW w:w="3280" w:type="dxa"/>
            <w:vAlign w:val="bottom"/>
            <w:gridSpan w:val="3"/>
          </w:tcPr>
          <w:p>
            <w:pPr>
              <w:jc w:val="right"/>
              <w:ind w:right="712"/>
              <w:spacing w:after="0"/>
              <w:rPr>
                <w:sz w:val="20"/>
                <w:szCs w:val="20"/>
                <w:color w:val="auto"/>
              </w:rPr>
            </w:pPr>
            <w:r>
              <w:rPr>
                <w:rFonts w:ascii="Arial" w:cs="Arial" w:eastAsia="Arial" w:hAnsi="Arial"/>
                <w:sz w:val="14"/>
                <w:szCs w:val="14"/>
                <w:b w:val="1"/>
                <w:bCs w:val="1"/>
                <w:color w:val="auto"/>
              </w:rPr>
              <w:t>Six months ended April 30,</w:t>
            </w:r>
          </w:p>
        </w:tc>
      </w:tr>
      <w:tr>
        <w:trPr>
          <w:trHeight w:val="276"/>
        </w:trPr>
        <w:tc>
          <w:tcPr>
            <w:tcW w:w="814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r>
      <w:tr>
        <w:trPr>
          <w:trHeight w:val="250"/>
        </w:trPr>
        <w:tc>
          <w:tcPr>
            <w:tcW w:w="8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tax at statutory rate</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23.3 %</w:t>
            </w:r>
          </w:p>
        </w:tc>
      </w:tr>
      <w:tr>
        <w:trPr>
          <w:trHeight w:val="243"/>
        </w:trPr>
        <w:tc>
          <w:tcPr>
            <w:tcW w:w="8140" w:type="dxa"/>
            <w:vAlign w:val="bottom"/>
          </w:tcPr>
          <w:p>
            <w:pPr>
              <w:ind w:left="380"/>
              <w:spacing w:after="0"/>
              <w:rPr>
                <w:sz w:val="20"/>
                <w:szCs w:val="20"/>
                <w:color w:val="auto"/>
              </w:rPr>
            </w:pPr>
            <w:r>
              <w:rPr>
                <w:rFonts w:ascii="Arial" w:cs="Arial" w:eastAsia="Arial" w:hAnsi="Arial"/>
                <w:sz w:val="18"/>
                <w:szCs w:val="18"/>
                <w:color w:val="auto"/>
              </w:rPr>
              <w:t>State and local income tax</w:t>
            </w:r>
          </w:p>
        </w:tc>
        <w:tc>
          <w:tcPr>
            <w:tcW w:w="1480" w:type="dxa"/>
            <w:vAlign w:val="bottom"/>
          </w:tcPr>
          <w:p>
            <w:pPr>
              <w:jc w:val="right"/>
              <w:ind w:right="173"/>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1"/>
                <w:szCs w:val="21"/>
                <w:color w:val="auto"/>
              </w:rPr>
            </w:pPr>
          </w:p>
        </w:tc>
        <w:tc>
          <w:tcPr>
            <w:tcW w:w="1600" w:type="dxa"/>
            <w:vAlign w:val="bottom"/>
          </w:tcPr>
          <w:p>
            <w:pPr>
              <w:jc w:val="right"/>
              <w:ind w:right="152"/>
              <w:spacing w:after="0"/>
              <w:rPr>
                <w:sz w:val="20"/>
                <w:szCs w:val="20"/>
                <w:color w:val="auto"/>
              </w:rPr>
            </w:pPr>
            <w:r>
              <w:rPr>
                <w:rFonts w:ascii="Arial" w:cs="Arial" w:eastAsia="Arial" w:hAnsi="Arial"/>
                <w:sz w:val="18"/>
                <w:szCs w:val="18"/>
                <w:color w:val="auto"/>
              </w:rPr>
              <w:t>2.7</w:t>
            </w:r>
          </w:p>
        </w:tc>
      </w:tr>
      <w:tr>
        <w:trPr>
          <w:trHeight w:val="27"/>
        </w:trPr>
        <w:tc>
          <w:tcPr>
            <w:tcW w:w="8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Non-U.S. income tax</w:t>
            </w:r>
          </w:p>
        </w:tc>
        <w:tc>
          <w:tcPr>
            <w:tcW w:w="14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0.3</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r>
      <w:tr>
        <w:trPr>
          <w:trHeight w:val="243"/>
        </w:trPr>
        <w:tc>
          <w:tcPr>
            <w:tcW w:w="8140" w:type="dxa"/>
            <w:vAlign w:val="bottom"/>
          </w:tcPr>
          <w:p>
            <w:pPr>
              <w:ind w:left="380"/>
              <w:spacing w:after="0"/>
              <w:rPr>
                <w:sz w:val="20"/>
                <w:szCs w:val="20"/>
                <w:color w:val="auto"/>
              </w:rPr>
            </w:pPr>
            <w:r>
              <w:rPr>
                <w:rFonts w:ascii="Arial" w:cs="Arial" w:eastAsia="Arial" w:hAnsi="Arial"/>
                <w:sz w:val="18"/>
                <w:szCs w:val="18"/>
                <w:color w:val="auto"/>
              </w:rPr>
              <w:t>Other permanent differences</w:t>
            </w:r>
          </w:p>
        </w:tc>
        <w:tc>
          <w:tcPr>
            <w:tcW w:w="1480" w:type="dxa"/>
            <w:vAlign w:val="bottom"/>
          </w:tcPr>
          <w:p>
            <w:pPr>
              <w:jc w:val="right"/>
              <w:ind w:right="173"/>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21"/>
                <w:szCs w:val="21"/>
                <w:color w:val="auto"/>
              </w:rPr>
            </w:pPr>
          </w:p>
        </w:tc>
        <w:tc>
          <w:tcPr>
            <w:tcW w:w="1600" w:type="dxa"/>
            <w:vAlign w:val="bottom"/>
          </w:tcPr>
          <w:p>
            <w:pPr>
              <w:jc w:val="right"/>
              <w:ind w:right="92"/>
              <w:spacing w:after="0"/>
              <w:rPr>
                <w:sz w:val="20"/>
                <w:szCs w:val="20"/>
                <w:color w:val="auto"/>
              </w:rPr>
            </w:pPr>
            <w:r>
              <w:rPr>
                <w:rFonts w:ascii="Arial" w:cs="Arial" w:eastAsia="Arial" w:hAnsi="Arial"/>
                <w:sz w:val="18"/>
                <w:szCs w:val="18"/>
                <w:color w:val="auto"/>
              </w:rPr>
              <w:t>(1.0)</w:t>
            </w:r>
          </w:p>
        </w:tc>
      </w:tr>
      <w:tr>
        <w:trPr>
          <w:trHeight w:val="27"/>
        </w:trPr>
        <w:tc>
          <w:tcPr>
            <w:tcW w:w="8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rate impact of enactment of tax reform</w:t>
            </w:r>
          </w:p>
        </w:tc>
        <w:tc>
          <w:tcPr>
            <w:tcW w:w="168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(266.5)</w:t>
            </w:r>
          </w:p>
        </w:tc>
      </w:tr>
      <w:tr>
        <w:trPr>
          <w:trHeight w:val="243"/>
        </w:trPr>
        <w:tc>
          <w:tcPr>
            <w:tcW w:w="8140" w:type="dxa"/>
            <w:vAlign w:val="bottom"/>
          </w:tcPr>
          <w:p>
            <w:pPr>
              <w:ind w:left="380"/>
              <w:spacing w:after="0"/>
              <w:rPr>
                <w:sz w:val="20"/>
                <w:szCs w:val="20"/>
                <w:color w:val="auto"/>
              </w:rPr>
            </w:pPr>
            <w:r>
              <w:rPr>
                <w:rFonts w:ascii="Arial" w:cs="Arial" w:eastAsia="Arial" w:hAnsi="Arial"/>
                <w:sz w:val="18"/>
                <w:szCs w:val="18"/>
                <w:color w:val="auto"/>
              </w:rPr>
              <w:t>Tax impact of stock based compensation</w:t>
            </w:r>
          </w:p>
        </w:tc>
        <w:tc>
          <w:tcPr>
            <w:tcW w:w="1480" w:type="dxa"/>
            <w:vAlign w:val="bottom"/>
          </w:tcPr>
          <w:p>
            <w:pPr>
              <w:jc w:val="right"/>
              <w:ind w:right="113"/>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21"/>
                <w:szCs w:val="21"/>
                <w:color w:val="auto"/>
              </w:rPr>
            </w:pPr>
          </w:p>
        </w:tc>
        <w:tc>
          <w:tcPr>
            <w:tcW w:w="1600" w:type="dxa"/>
            <w:vAlign w:val="bottom"/>
          </w:tcPr>
          <w:p>
            <w:pPr>
              <w:jc w:val="right"/>
              <w:ind w:right="92"/>
              <w:spacing w:after="0"/>
              <w:rPr>
                <w:sz w:val="20"/>
                <w:szCs w:val="20"/>
                <w:color w:val="auto"/>
              </w:rPr>
            </w:pPr>
            <w:r>
              <w:rPr>
                <w:rFonts w:ascii="Arial" w:cs="Arial" w:eastAsia="Arial" w:hAnsi="Arial"/>
                <w:sz w:val="18"/>
                <w:szCs w:val="18"/>
                <w:color w:val="auto"/>
              </w:rPr>
              <w:t>(1.4)</w:t>
            </w:r>
          </w:p>
        </w:tc>
      </w:tr>
      <w:tr>
        <w:trPr>
          <w:trHeight w:val="27"/>
        </w:trPr>
        <w:tc>
          <w:tcPr>
            <w:tcW w:w="8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Impact of deemed repatriation</w:t>
            </w:r>
          </w:p>
        </w:tc>
        <w:tc>
          <w:tcPr>
            <w:tcW w:w="14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0.7</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42.0</w:t>
            </w:r>
          </w:p>
        </w:tc>
      </w:tr>
      <w:tr>
        <w:trPr>
          <w:trHeight w:val="243"/>
        </w:trPr>
        <w:tc>
          <w:tcPr>
            <w:tcW w:w="8140" w:type="dxa"/>
            <w:vAlign w:val="bottom"/>
          </w:tcPr>
          <w:p>
            <w:pPr>
              <w:ind w:left="380"/>
              <w:spacing w:after="0"/>
              <w:rPr>
                <w:sz w:val="20"/>
                <w:szCs w:val="20"/>
                <w:color w:val="auto"/>
              </w:rPr>
            </w:pPr>
            <w:r>
              <w:rPr>
                <w:rFonts w:ascii="Arial" w:cs="Arial" w:eastAsia="Arial" w:hAnsi="Arial"/>
                <w:sz w:val="18"/>
                <w:szCs w:val="18"/>
                <w:color w:val="auto"/>
              </w:rPr>
              <w:t>Return to actual adjustments</w:t>
            </w:r>
          </w:p>
        </w:tc>
        <w:tc>
          <w:tcPr>
            <w:tcW w:w="1480" w:type="dxa"/>
            <w:vAlign w:val="bottom"/>
          </w:tcPr>
          <w:p>
            <w:pPr>
              <w:jc w:val="right"/>
              <w:ind w:right="113"/>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21"/>
                <w:szCs w:val="21"/>
                <w:color w:val="auto"/>
              </w:rPr>
            </w:pPr>
          </w:p>
        </w:tc>
        <w:tc>
          <w:tcPr>
            <w:tcW w:w="1600" w:type="dxa"/>
            <w:vAlign w:val="bottom"/>
          </w:tcPr>
          <w:p>
            <w:pPr>
              <w:jc w:val="right"/>
              <w:ind w:right="92"/>
              <w:spacing w:after="0"/>
              <w:rPr>
                <w:sz w:val="20"/>
                <w:szCs w:val="20"/>
                <w:color w:val="auto"/>
              </w:rPr>
            </w:pPr>
            <w:r>
              <w:rPr>
                <w:rFonts w:ascii="Arial" w:cs="Arial" w:eastAsia="Arial" w:hAnsi="Arial"/>
                <w:sz w:val="18"/>
                <w:szCs w:val="18"/>
                <w:color w:val="auto"/>
              </w:rPr>
              <w:t>(9.6)</w:t>
            </w:r>
          </w:p>
        </w:tc>
      </w:tr>
      <w:tr>
        <w:trPr>
          <w:trHeight w:val="27"/>
        </w:trPr>
        <w:tc>
          <w:tcPr>
            <w:tcW w:w="8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8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Asset impairment charges</w:t>
            </w:r>
          </w:p>
        </w:tc>
        <w:tc>
          <w:tcPr>
            <w:tcW w:w="14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(27.4)</w:t>
            </w: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57"/>
        </w:trPr>
        <w:tc>
          <w:tcPr>
            <w:tcW w:w="8140" w:type="dxa"/>
            <w:vAlign w:val="bottom"/>
          </w:tcPr>
          <w:p>
            <w:pPr>
              <w:ind w:left="720"/>
              <w:spacing w:after="0"/>
              <w:rPr>
                <w:sz w:val="20"/>
                <w:szCs w:val="20"/>
                <w:color w:val="auto"/>
              </w:rPr>
            </w:pPr>
            <w:r>
              <w:rPr>
                <w:rFonts w:ascii="Arial" w:cs="Arial" w:eastAsia="Arial" w:hAnsi="Arial"/>
                <w:sz w:val="18"/>
                <w:szCs w:val="18"/>
                <w:color w:val="auto"/>
              </w:rPr>
              <w:t>Effective tax rate</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(211.5)%</w:t>
            </w:r>
          </w:p>
        </w:tc>
      </w:tr>
      <w:tr>
        <w:trPr>
          <w:trHeight w:val="20"/>
        </w:trPr>
        <w:tc>
          <w:tcPr>
            <w:tcW w:w="8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U.S. statutory rate of 23.3% reflects the period November 1, 2017 to December 31, 2017 at the previous 35.0% rate and the period January 1, 2018 to October 31, 2018 at the new 21.0% rate.</w:t>
      </w:r>
    </w:p>
    <w:p>
      <w:pPr>
        <w:spacing w:after="0" w:line="1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continued our analysis of the Act during the first quarter of fiscal 2019. This resulted in a benefit of $0.2 million to the provisional amount recorded in fiscal 2018 related to the one-time mandatory transition tax on deemed repatriation of previously tax-deferred and unremitted foreign earnings. As of January 31, 2019, the Company completed the accounting for the income tax effects of the Act within the one-year measurement period as allowed by the U.S. Securities and Exchange Commission Staff Accounting Bulletin No. 118.</w:t>
      </w:r>
    </w:p>
    <w:p>
      <w:pPr>
        <w:spacing w:after="0" w:line="13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light of the Act, we repatriated $5.3 million of excess cash from our foreign operations during the three months ended April 30, 2019. This repatriation of excess cash was a portion of the one-time mandatory transition tax discussed above. We will continue to evaluate our foreign cash position and may repatriate additional foreign earnings in the future. With the exception of the one-time mandatory transition tax on deemed repatriation of previously tax-deferred and unremitted foreign earnings, we do not anticipate any material tax impact from any potential repatriation of previously unremitted foreign earnings.</w:t>
      </w:r>
    </w:p>
    <w:p>
      <w:pPr>
        <w:spacing w:after="0" w:line="13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of April 30, 2019, our liability for uncertain tax positions (UTP) of $0.6 million relates to certain state tax items regarding the interpretation of tax laws and regulations. Judgment is required in assessing the future tax consequences of events that have been recognized in our financial statements or tax returns. The final outcome of the future tax consequences of legal proceedings, if any, as well as the outcome of competent authority proceedings, changes in regulatory tax laws, or interpretation of those tax laws could impact our financial statements. We are subject to the effect of these matters occurring in various jurisdictions. The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4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disallowance of the UTP would not materially affect the annual effective tax rate. We do not believe any of the UTP at April 30, 2019 will be recognized within the next twelve months.</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evaluate the likelihood of realization of our deferred tax assets by considering both positive and negative evidence. We believe there is no need for a valuation allowance of the federal net operating losses. We will continue to evaluate our position throughout the year. We maintain a valuation allowance for certain state net operating losses which totaled $1.3 million at April 30, 2019.</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federal income tax return for the fiscal year ended October 31, 2017 is currently under audit by the Internal Revenue Service.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and Environmental Compliance Costs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Under applicable state and federal laws, we may be responsible for, among other things, all or part of the costs required to remove or remediate wastes or hazardous substances at locations we, or our predecessors, have owned or operated. From time to time, we also have been alleged to be liable for all or part of the costs incurred to clean up third-party sites where there might have been an alleged improper disposal of hazardous substances. At present, we are not involved in any such matters.</w:t>
      </w:r>
    </w:p>
    <w:p>
      <w:pPr>
        <w:spacing w:after="0" w:line="13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From time to time, we incur routine expenses and capital expenditures associated with compliance with existing environmental regulations, including control of air emissions and water discharges, and plant decommissioning costs. We have not incurred any material expenses or capital expenditures related to environmental matters during the past three fiscal years, and do not expect to incur a material amount of such costs in fiscal 2019. While we will continue to have future expenditures related to environmental matters, any such amounts are impossible to reasonably estimate at this time. Based upon our experience to date, we do not believe that our compliance with environmental requirements will have a material adverse effect on our operations, financial condition or cash flows.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From time to time, we, along with our subsidiaries, are involved in various litigation matters arising in the ordinary course of our business, including those arising from or related to contractual matters, commercial disputes, intellectual property, personal injury, environmental matters, product performance or warranties, product liability, insurance coverage and personnel and employment disputes.</w:t>
      </w:r>
    </w:p>
    <w:p>
      <w:pPr>
        <w:spacing w:after="0" w:line="12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regularly review with legal counsel the status of all ongoing proceedings, and we maintain insurance against these risks to the extent deemed prudent by our management and to the extent such insurance is available. However, there is no assurance that we will prevail in these matters or that our insurers will accept full coverage of these matters, and we could, in the future, incur judgments, enter into settlements of claims, or revise our expectations regarding the outcome or insurability of matters we face, which could materially impact our results of operations.</w:t>
      </w:r>
    </w:p>
    <w:p>
      <w:pPr>
        <w:spacing w:after="0" w:line="117"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We have been and are currently party to multiple claims, some of which are in litigation, relating to alleged defects in a commercial sealant product that was manufactured and sold during the 2000's. During the six months ended April 30, 2018, our insurance carrier reimbursed fees and expenses originally incurred as part of our defense of these various commercial sealant claims totaling $0.5 million. There were no corresponding reimbursements received during the six months ended April 30, 2019. While we believe that our product was not defective and that we would prevail in these commercial sealant product claims if taken to trial, the timing, ultimate resolution and potential impact of these claims is not currently determinable. Nevertheless, after taking into account all currently available information, including our defenses, the advice of our counsel, and the extent and currently-expected availability of our existing insurance coverage, we believe that the eventual outcome of these commercial sealant claims will not have a material adverse effect on our overall financial condition, results of operations or cash flows, and we have not recorded any accrual with regard to these claims.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 Instruments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derivative activities are subject to the management, direction, and control of the Chief Financial Officer and Chief Executive Officer. Certain transactions in excess of specified levels require further approval from the Board of Directors.</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nature of our business activities requires the management of various financial and market risks, including those related to changes in foreign currency exchange rates. We have historically used foreign currency forwards and options to mitigate or eliminate certain of those risks at our subsidiaries. We use foreign currency contracts to offset fluctuations in the value of accounts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4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receivable and accounts payable balances that are denominated in currencies other than the United States Dollar, including the Euro, British Pound and Canadian Dollar. Currently, we do not enter into derivative transactions for speculative or trading purposes. We are exposed to credit loss in the event of nonperformance by the counterparties to our derivative transactions. We attempt to mitigate this risk by monitoring the creditworthiness of our counterparties and limiting our exposure to individual counterparties. In addition, we have established master netting agreements in certain cases to facilitate the settlement of gains and losses on specific derivative contracts.</w:t>
      </w:r>
    </w:p>
    <w:p>
      <w:pPr>
        <w:spacing w:after="0" w:line="13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We have not designated any of our derivative contracts as hedges for accounting purposes in accordance with the provisions under the Accounting Standards Codification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(ASC 815). Therefore, changes in the fair value of these contracts and the realized gains and losses are recorded in the unaudited condensed consolidated statements of (loss) income for the three and six months ended April 30, 2019 and 2018 as follows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2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840" w:type="dxa"/>
            <w:vAlign w:val="bottom"/>
            <w:gridSpan w:val="4"/>
          </w:tcPr>
          <w:p>
            <w:pPr>
              <w:jc w:val="center"/>
              <w:ind w:left="282"/>
              <w:spacing w:after="0"/>
              <w:rPr>
                <w:sz w:val="20"/>
                <w:szCs w:val="20"/>
                <w:color w:val="auto"/>
              </w:rPr>
            </w:pPr>
            <w:r>
              <w:rPr>
                <w:rFonts w:ascii="Arial" w:cs="Arial" w:eastAsia="Arial" w:hAnsi="Arial"/>
                <w:sz w:val="14"/>
                <w:szCs w:val="14"/>
                <w:b w:val="1"/>
                <w:bCs w:val="1"/>
                <w:color w:val="auto"/>
                <w:w w:val="95"/>
              </w:rPr>
              <w:t>Three Months Ended</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gridSpan w:val="4"/>
          </w:tcPr>
          <w:p>
            <w:pPr>
              <w:jc w:val="center"/>
              <w:ind w:right="139"/>
              <w:spacing w:after="0"/>
              <w:rPr>
                <w:sz w:val="20"/>
                <w:szCs w:val="20"/>
                <w:color w:val="auto"/>
              </w:rPr>
            </w:pPr>
            <w:r>
              <w:rPr>
                <w:rFonts w:ascii="Arial" w:cs="Arial" w:eastAsia="Arial" w:hAnsi="Arial"/>
                <w:sz w:val="14"/>
                <w:szCs w:val="14"/>
                <w:b w:val="1"/>
                <w:bCs w:val="1"/>
                <w:color w:val="auto"/>
                <w:w w:val="93"/>
              </w:rPr>
              <w:t>Six Months Ended</w:t>
            </w:r>
          </w:p>
        </w:tc>
      </w:tr>
      <w:tr>
        <w:trPr>
          <w:trHeight w:val="276"/>
        </w:trPr>
        <w:tc>
          <w:tcPr>
            <w:tcW w:w="23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center"/>
              <w:ind w:right="259"/>
              <w:spacing w:after="0"/>
              <w:rPr>
                <w:sz w:val="20"/>
                <w:szCs w:val="20"/>
                <w:color w:val="auto"/>
              </w:rPr>
            </w:pPr>
            <w:r>
              <w:rPr>
                <w:rFonts w:ascii="Arial" w:cs="Arial" w:eastAsia="Arial" w:hAnsi="Arial"/>
                <w:sz w:val="14"/>
                <w:szCs w:val="14"/>
                <w:b w:val="1"/>
                <w:bCs w:val="1"/>
                <w:color w:val="auto"/>
                <w:w w:val="97"/>
              </w:rPr>
              <w:t>April 30,</w:t>
            </w:r>
          </w:p>
        </w:tc>
        <w:tc>
          <w:tcPr>
            <w:tcW w:w="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center"/>
              <w:ind w:left="424"/>
              <w:spacing w:after="0"/>
              <w:rPr>
                <w:sz w:val="20"/>
                <w:szCs w:val="20"/>
                <w:color w:val="auto"/>
              </w:rPr>
            </w:pPr>
            <w:r>
              <w:rPr>
                <w:rFonts w:ascii="Arial" w:cs="Arial" w:eastAsia="Arial" w:hAnsi="Arial"/>
                <w:sz w:val="14"/>
                <w:szCs w:val="14"/>
                <w:b w:val="1"/>
                <w:bCs w:val="1"/>
                <w:color w:val="auto"/>
                <w:w w:val="97"/>
              </w:rPr>
              <w:t>April 30,</w:t>
            </w:r>
          </w:p>
        </w:tc>
        <w:tc>
          <w:tcPr>
            <w:tcW w:w="720" w:type="dxa"/>
            <w:vAlign w:val="bottom"/>
            <w:tcBorders>
              <w:bottom w:val="single" w:sz="8" w:color="auto"/>
            </w:tcBorders>
          </w:tcPr>
          <w:p>
            <w:pPr>
              <w:spacing w:after="0"/>
              <w:rPr>
                <w:sz w:val="24"/>
                <w:szCs w:val="24"/>
                <w:color w:val="auto"/>
              </w:rPr>
            </w:pPr>
          </w:p>
        </w:tc>
      </w:tr>
      <w:tr>
        <w:trPr>
          <w:trHeight w:val="264"/>
        </w:trPr>
        <w:tc>
          <w:tcPr>
            <w:tcW w:w="23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Location of (losses) gains:</w:t>
            </w:r>
          </w:p>
        </w:tc>
        <w:tc>
          <w:tcPr>
            <w:tcW w:w="466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2018</w:t>
            </w:r>
          </w:p>
        </w:tc>
      </w:tr>
      <w:tr>
        <w:trPr>
          <w:trHeight w:val="243"/>
        </w:trPr>
        <w:tc>
          <w:tcPr>
            <w:tcW w:w="2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46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Foreign currency derivatives</w:t>
            </w:r>
          </w:p>
        </w:tc>
        <w:tc>
          <w:tcPr>
            <w:tcW w:w="680" w:type="dxa"/>
            <w:vAlign w:val="bottom"/>
            <w:shd w:val="clear" w:color="auto" w:fill="CCEEFF"/>
          </w:tcPr>
          <w:p>
            <w:pPr>
              <w:jc w:val="right"/>
              <w:ind w:right="482"/>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26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2320" w:type="dxa"/>
            <w:vAlign w:val="bottom"/>
            <w:shd w:val="clear" w:color="auto" w:fill="CCEEFF"/>
          </w:tcPr>
          <w:p>
            <w:pPr>
              <w:spacing w:after="0"/>
              <w:rPr>
                <w:sz w:val="2"/>
                <w:szCs w:val="2"/>
                <w:color w:val="auto"/>
              </w:rPr>
            </w:pPr>
          </w:p>
        </w:tc>
        <w:tc>
          <w:tcPr>
            <w:tcW w:w="46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have chosen not to offset any of our derivative instruments in accordance with the provisions of ASC 815. Therefore, the assets and liabilities are presented on a gross basis on the accompanying condensed consolidated balance sheets. Less than $0.1 million of fair value related to foreign currency derivatives was included in prepaid and other current assets as of October 31, 2018. Less than $0.1 million of fair value related to foreign currency derivatives was included in accrued liabilities as of April 30, 2019.</w:t>
      </w:r>
    </w:p>
    <w:p>
      <w:pPr>
        <w:spacing w:after="0" w:line="133"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table summarizes the notional amounts and fair value of outstanding derivative contracts at April 30, 2019 and October 31, 2018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860" w:type="dxa"/>
            <w:vAlign w:val="bottom"/>
            <w:tcBorders>
              <w:bottom w:val="single" w:sz="8" w:color="auto"/>
            </w:tcBorders>
            <w:gridSpan w:val="3"/>
          </w:tcPr>
          <w:p>
            <w:pPr>
              <w:jc w:val="right"/>
              <w:ind w:right="675"/>
              <w:spacing w:after="0"/>
              <w:rPr>
                <w:sz w:val="20"/>
                <w:szCs w:val="20"/>
                <w:color w:val="auto"/>
              </w:rPr>
            </w:pPr>
            <w:r>
              <w:rPr>
                <w:rFonts w:ascii="Arial" w:cs="Arial" w:eastAsia="Arial" w:hAnsi="Arial"/>
                <w:sz w:val="14"/>
                <w:szCs w:val="14"/>
                <w:b w:val="1"/>
                <w:bCs w:val="1"/>
                <w:color w:val="auto"/>
              </w:rPr>
              <w:t>Notional as indicated</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855"/>
              <w:spacing w:after="0"/>
              <w:rPr>
                <w:sz w:val="20"/>
                <w:szCs w:val="20"/>
                <w:color w:val="auto"/>
              </w:rPr>
            </w:pPr>
            <w:r>
              <w:rPr>
                <w:rFonts w:ascii="Arial" w:cs="Arial" w:eastAsia="Arial" w:hAnsi="Arial"/>
                <w:sz w:val="14"/>
                <w:szCs w:val="14"/>
                <w:b w:val="1"/>
                <w:bCs w:val="1"/>
                <w:color w:val="auto"/>
              </w:rPr>
              <w:t>Fair Value in $</w:t>
            </w:r>
          </w:p>
        </w:tc>
      </w:tr>
      <w:tr>
        <w:trPr>
          <w:trHeight w:val="152"/>
        </w:trPr>
        <w:tc>
          <w:tcPr>
            <w:tcW w:w="35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500" w:type="dxa"/>
            <w:vAlign w:val="bottom"/>
            <w:gridSpan w:val="2"/>
          </w:tcPr>
          <w:p>
            <w:pPr>
              <w:ind w:left="400"/>
              <w:spacing w:after="0" w:line="153" w:lineRule="exact"/>
              <w:rPr>
                <w:sz w:val="20"/>
                <w:szCs w:val="20"/>
                <w:color w:val="auto"/>
              </w:rPr>
            </w:pPr>
            <w:r>
              <w:rPr>
                <w:rFonts w:ascii="Arial" w:cs="Arial" w:eastAsia="Arial" w:hAnsi="Arial"/>
                <w:sz w:val="14"/>
                <w:szCs w:val="14"/>
                <w:b w:val="1"/>
                <w:bCs w:val="1"/>
                <w:color w:val="auto"/>
              </w:rPr>
              <w:t>April 30,</w:t>
            </w:r>
          </w:p>
        </w:tc>
        <w:tc>
          <w:tcPr>
            <w:tcW w:w="158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October 31,</w:t>
            </w:r>
          </w:p>
        </w:tc>
        <w:tc>
          <w:tcPr>
            <w:tcW w:w="260" w:type="dxa"/>
            <w:vAlign w:val="bottom"/>
          </w:tcPr>
          <w:p>
            <w:pPr>
              <w:spacing w:after="0"/>
              <w:rPr>
                <w:sz w:val="13"/>
                <w:szCs w:val="13"/>
                <w:color w:val="auto"/>
              </w:rPr>
            </w:pPr>
          </w:p>
        </w:tc>
        <w:tc>
          <w:tcPr>
            <w:tcW w:w="122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April 30,</w:t>
            </w:r>
          </w:p>
        </w:tc>
        <w:tc>
          <w:tcPr>
            <w:tcW w:w="200" w:type="dxa"/>
            <w:vAlign w:val="bottom"/>
          </w:tcPr>
          <w:p>
            <w:pPr>
              <w:spacing w:after="0"/>
              <w:rPr>
                <w:sz w:val="13"/>
                <w:szCs w:val="13"/>
                <w:color w:val="auto"/>
              </w:rPr>
            </w:pPr>
          </w:p>
        </w:tc>
        <w:tc>
          <w:tcPr>
            <w:tcW w:w="1160" w:type="dxa"/>
            <w:vAlign w:val="bottom"/>
          </w:tcPr>
          <w:p>
            <w:pPr>
              <w:jc w:val="right"/>
              <w:ind w:right="255"/>
              <w:spacing w:after="0" w:line="153" w:lineRule="exact"/>
              <w:rPr>
                <w:sz w:val="20"/>
                <w:szCs w:val="20"/>
                <w:color w:val="auto"/>
              </w:rPr>
            </w:pPr>
            <w:r>
              <w:rPr>
                <w:rFonts w:ascii="Arial" w:cs="Arial" w:eastAsia="Arial" w:hAnsi="Arial"/>
                <w:sz w:val="14"/>
                <w:szCs w:val="14"/>
                <w:b w:val="1"/>
                <w:bCs w:val="1"/>
                <w:color w:val="auto"/>
              </w:rPr>
              <w:t>October 31,</w:t>
            </w:r>
          </w:p>
        </w:tc>
      </w:tr>
      <w:tr>
        <w:trPr>
          <w:trHeight w:val="192"/>
        </w:trPr>
        <w:tc>
          <w:tcPr>
            <w:tcW w:w="35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3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13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r>
      <w:tr>
        <w:trPr>
          <w:trHeight w:val="243"/>
        </w:trPr>
        <w:tc>
          <w:tcPr>
            <w:tcW w:w="3560" w:type="dxa"/>
            <w:vAlign w:val="bottom"/>
          </w:tcPr>
          <w:p>
            <w:pPr>
              <w:jc w:val="center"/>
              <w:ind w:right="1270"/>
              <w:spacing w:after="0"/>
              <w:rPr>
                <w:sz w:val="20"/>
                <w:szCs w:val="20"/>
                <w:color w:val="auto"/>
              </w:rPr>
            </w:pPr>
            <w:r>
              <w:rPr>
                <w:rFonts w:ascii="Arial" w:cs="Arial" w:eastAsia="Arial" w:hAnsi="Arial"/>
                <w:sz w:val="18"/>
                <w:szCs w:val="18"/>
                <w:color w:val="auto"/>
                <w:w w:val="91"/>
              </w:rPr>
              <w:t>Foreign currency derivatives:</w:t>
            </w:r>
          </w:p>
        </w:tc>
        <w:tc>
          <w:tcPr>
            <w:tcW w:w="19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35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jc w:val="center"/>
              <w:ind w:right="1250"/>
              <w:spacing w:after="0"/>
              <w:rPr>
                <w:sz w:val="20"/>
                <w:szCs w:val="20"/>
                <w:color w:val="auto"/>
              </w:rPr>
            </w:pPr>
            <w:r>
              <w:rPr>
                <w:rFonts w:ascii="Arial" w:cs="Arial" w:eastAsia="Arial" w:hAnsi="Arial"/>
                <w:sz w:val="18"/>
                <w:szCs w:val="18"/>
                <w:color w:val="auto"/>
                <w:w w:val="94"/>
              </w:rPr>
              <w:t>Sell EUR, buy USD</w:t>
            </w:r>
          </w:p>
        </w:tc>
        <w:tc>
          <w:tcPr>
            <w:tcW w:w="194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rPr>
              <w:t>EUR</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1,644</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455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r>
      <w:tr>
        <w:trPr>
          <w:trHeight w:val="243"/>
        </w:trPr>
        <w:tc>
          <w:tcPr>
            <w:tcW w:w="3560" w:type="dxa"/>
            <w:vAlign w:val="bottom"/>
          </w:tcPr>
          <w:p>
            <w:pPr>
              <w:jc w:val="center"/>
              <w:ind w:right="1230"/>
              <w:spacing w:after="0"/>
              <w:rPr>
                <w:sz w:val="20"/>
                <w:szCs w:val="20"/>
                <w:color w:val="auto"/>
              </w:rPr>
            </w:pPr>
            <w:r>
              <w:rPr>
                <w:rFonts w:ascii="Arial" w:cs="Arial" w:eastAsia="Arial" w:hAnsi="Arial"/>
                <w:sz w:val="18"/>
                <w:szCs w:val="18"/>
                <w:color w:val="auto"/>
                <w:w w:val="95"/>
              </w:rPr>
              <w:t>Sell CAD, buy USD</w:t>
            </w:r>
          </w:p>
        </w:tc>
        <w:tc>
          <w:tcPr>
            <w:tcW w:w="1940" w:type="dxa"/>
            <w:vAlign w:val="bottom"/>
          </w:tcPr>
          <w:p>
            <w:pPr>
              <w:ind w:left="1400"/>
              <w:spacing w:after="0"/>
              <w:rPr>
                <w:sz w:val="20"/>
                <w:szCs w:val="20"/>
                <w:color w:val="auto"/>
              </w:rPr>
            </w:pPr>
            <w:r>
              <w:rPr>
                <w:rFonts w:ascii="Arial" w:cs="Arial" w:eastAsia="Arial" w:hAnsi="Arial"/>
                <w:sz w:val="18"/>
                <w:szCs w:val="18"/>
                <w:color w:val="auto"/>
              </w:rPr>
              <w:t>CAD</w:t>
            </w: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201</w:t>
            </w:r>
          </w:p>
        </w:tc>
        <w:tc>
          <w:tcPr>
            <w:tcW w:w="140" w:type="dxa"/>
            <w:vAlign w:val="bottom"/>
          </w:tcPr>
          <w:p>
            <w:pPr>
              <w:spacing w:after="0"/>
              <w:rPr>
                <w:sz w:val="21"/>
                <w:szCs w:val="21"/>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229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35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jc w:val="center"/>
              <w:ind w:right="1290"/>
              <w:spacing w:after="0"/>
              <w:rPr>
                <w:sz w:val="20"/>
                <w:szCs w:val="20"/>
                <w:color w:val="auto"/>
              </w:rPr>
            </w:pPr>
            <w:r>
              <w:rPr>
                <w:rFonts w:ascii="Arial" w:cs="Arial" w:eastAsia="Arial" w:hAnsi="Arial"/>
                <w:sz w:val="18"/>
                <w:szCs w:val="18"/>
                <w:color w:val="auto"/>
                <w:w w:val="91"/>
              </w:rPr>
              <w:t>Sell GBP, buy USD</w:t>
            </w:r>
          </w:p>
        </w:tc>
        <w:tc>
          <w:tcPr>
            <w:tcW w:w="194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GBP</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250</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43"/>
        </w:trPr>
        <w:tc>
          <w:tcPr>
            <w:tcW w:w="3560" w:type="dxa"/>
            <w:vAlign w:val="bottom"/>
          </w:tcPr>
          <w:p>
            <w:pPr>
              <w:jc w:val="center"/>
              <w:ind w:right="1270"/>
              <w:spacing w:after="0"/>
              <w:rPr>
                <w:sz w:val="20"/>
                <w:szCs w:val="20"/>
                <w:color w:val="auto"/>
              </w:rPr>
            </w:pPr>
            <w:r>
              <w:rPr>
                <w:rFonts w:ascii="Arial" w:cs="Arial" w:eastAsia="Arial" w:hAnsi="Arial"/>
                <w:sz w:val="18"/>
                <w:szCs w:val="18"/>
                <w:color w:val="auto"/>
                <w:w w:val="93"/>
              </w:rPr>
              <w:t>Buy EUR, sell GBP</w:t>
            </w:r>
          </w:p>
        </w:tc>
        <w:tc>
          <w:tcPr>
            <w:tcW w:w="1940" w:type="dxa"/>
            <w:vAlign w:val="bottom"/>
          </w:tcPr>
          <w:p>
            <w:pPr>
              <w:ind w:left="1400"/>
              <w:spacing w:after="0"/>
              <w:rPr>
                <w:sz w:val="20"/>
                <w:szCs w:val="20"/>
                <w:color w:val="auto"/>
              </w:rPr>
            </w:pPr>
            <w:r>
              <w:rPr>
                <w:rFonts w:ascii="Arial" w:cs="Arial" w:eastAsia="Arial" w:hAnsi="Arial"/>
                <w:sz w:val="18"/>
                <w:szCs w:val="18"/>
                <w:color w:val="auto"/>
              </w:rPr>
              <w:t>EUR</w:t>
            </w: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21"/>
                <w:szCs w:val="21"/>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35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3560" w:type="dxa"/>
            <w:vAlign w:val="bottom"/>
            <w:shd w:val="clear" w:color="auto" w:fill="CCEEFF"/>
          </w:tcPr>
          <w:p>
            <w:pPr>
              <w:jc w:val="center"/>
              <w:ind w:right="1250"/>
              <w:spacing w:after="0"/>
              <w:rPr>
                <w:sz w:val="20"/>
                <w:szCs w:val="20"/>
                <w:color w:val="auto"/>
              </w:rPr>
            </w:pPr>
            <w:r>
              <w:rPr>
                <w:rFonts w:ascii="Arial" w:cs="Arial" w:eastAsia="Arial" w:hAnsi="Arial"/>
                <w:sz w:val="18"/>
                <w:szCs w:val="18"/>
                <w:color w:val="auto"/>
                <w:w w:val="94"/>
              </w:rPr>
              <w:t>Buy USD, sell EUR</w:t>
            </w:r>
          </w:p>
        </w:tc>
        <w:tc>
          <w:tcPr>
            <w:tcW w:w="194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USD</w:t>
            </w:r>
          </w:p>
        </w:tc>
        <w:tc>
          <w:tcPr>
            <w:tcW w:w="13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356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2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the classification in the fair value hierarchy, see Note 10, "Fair Value Measurement of Assets and Liabilities", included herewith.</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 of Assets and Liabilities</w:t>
      </w:r>
    </w:p>
    <w:p>
      <w:pPr>
        <w:spacing w:after="0" w:line="17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data developed based on the best information available in the circumstances (unobservable inputs). The fair value hierarchy consists of three broad levels, which gives the highest priority to Level 1 and the lowest priority to Level 3. The three levels of the fair value hierarchy are described below:</w:t>
      </w:r>
    </w:p>
    <w:p>
      <w:pPr>
        <w:spacing w:after="0" w:line="64" w:lineRule="exact"/>
        <w:rPr>
          <w:sz w:val="20"/>
          <w:szCs w:val="20"/>
          <w:color w:val="auto"/>
        </w:rPr>
      </w:pPr>
    </w:p>
    <w:p>
      <w:pPr>
        <w:ind w:left="500" w:hanging="168"/>
        <w:spacing w:after="0"/>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1 - Unadjusted quoted prices in active markets that are accessible at the measurement date for identical, unrestricted assets or liabilities.</w:t>
      </w:r>
    </w:p>
    <w:p>
      <w:pPr>
        <w:spacing w:after="0" w:line="128" w:lineRule="exact"/>
        <w:rPr>
          <w:rFonts w:ascii="Arial" w:cs="Arial" w:eastAsia="Arial" w:hAnsi="Arial"/>
          <w:sz w:val="17"/>
          <w:szCs w:val="17"/>
          <w:color w:val="auto"/>
        </w:rPr>
      </w:pPr>
    </w:p>
    <w:p>
      <w:pPr>
        <w:jc w:val="both"/>
        <w:ind w:left="500" w:hanging="168"/>
        <w:spacing w:after="0" w:line="259"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Inputs other than quoted prices included within Level 1 that are observable for the asset or liability either directly or indirectly including quoted prices for similar assets or liabilities in active markets; quoted prices for identical or similar assets or liabilities in markets that are not active; inputs other than quoted prices that are observable for the asset or liability (e.g., interest rates) and inputs that are derived principally from or corroborated by observable market data by correlation or other means.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3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Level 3 - Inputs that are both significant to the fair value measurement and unobservable.</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April 30, 2019 and October 31, 2018, foreign currency derivatives were the only instruments being measured on a recurring basis. Less than $0.1 million of foreign currency derivatives were included in total liabilities as of April 30, 2019 and less than $0.1 million of foreign currency derivatives were included in total assets as of October 31, 2018. All of our derivative contracts are valued using quoted market prices from brokers or exchanges and are classified within Level 2 of the fair value hierarchy.</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Carrying amounts reported on the balance sheet for cash, cash equivalents, accounts receivable and accounts payable approximate fair value due to the short-term maturity of these instruments. Our outstanding debt is variable rate debt that re-prices frequently, thereby limiting our exposure to significant change in interest rate risk. As a result, the fair value of our debt instrument approximates carrying value at April 30, 2019, and October 31, 2018 (Level 3 measurement).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have established and maintain an Omnibus Incentive Plan (2008 Plan) that provides for the granting of restricted stock awards, stock options, restricted stock units, performance share awards, performance restricted stock units, and other stock-based and cash-based awards. The 2008 Plan is administered by the Compensation and Management Development Committee of the Board of Directors.</w:t>
      </w:r>
    </w:p>
    <w:p>
      <w:pPr>
        <w:spacing w:after="0" w:line="12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aggregate number of shares of common stock authorized for grant under the 2008 Plan is 7,650,000 as approved by shareholders. Any officer, key employee and/or non-employee director is eligible for awards under the 2008 Plan. We grant restricted stock units to non-employee directors on the first business day of each fiscal year. As approved by the Compensation &amp; Management Development Committee of our Board of Directors annually, we grant a mix of stock options, restricted stock awards, performance shares and/or performance restricted stock units to officers, management and key employees. Occasionally, we may make additional grants to key employees at other times during the year.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w:t>
      </w:r>
    </w:p>
    <w:p>
      <w:pPr>
        <w:spacing w:after="0" w:line="17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Restricted stock awards are granted to key employees and officers annually, and typically cliff vest over a three year period with service and continued employment as the only vesting criteria. The recipient of the restricted stock award is entitled to all of the rights of a shareholder, except that the award is nontransferable during the vesting period. The fair value of the restricted stock award is established on the grant date and then expensed over the vesting period resulting in an increase in additional paid-in-capital. Shares are generally issued from treasury stock at the time of grant.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non-vested restricted stock awards activity during the six months ended April 30, 2019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94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Restricted Stock Awards</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tcPr>
          <w:p>
            <w:pPr>
              <w:jc w:val="right"/>
              <w:ind w:right="433"/>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92"/>
        </w:trPr>
        <w:tc>
          <w:tcPr>
            <w:tcW w:w="698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Grant Date Fair Value per Share</w:t>
            </w: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October 31, 2018</w:t>
            </w:r>
          </w:p>
        </w:tc>
        <w:tc>
          <w:tcPr>
            <w:tcW w:w="1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217,200</w:t>
            </w:r>
          </w:p>
        </w:tc>
        <w:tc>
          <w:tcPr>
            <w:tcW w:w="66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Granted</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124,800</w:t>
            </w:r>
          </w:p>
        </w:tc>
        <w:tc>
          <w:tcPr>
            <w:tcW w:w="66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3"/>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Forfeited</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(10,300)</w:t>
            </w:r>
          </w:p>
        </w:tc>
        <w:tc>
          <w:tcPr>
            <w:tcW w:w="66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Vested</w:t>
            </w:r>
          </w:p>
        </w:tc>
        <w:tc>
          <w:tcPr>
            <w:tcW w:w="1940" w:type="dxa"/>
            <w:vAlign w:val="bottom"/>
          </w:tcPr>
          <w:p>
            <w:pPr>
              <w:jc w:val="right"/>
              <w:spacing w:after="0"/>
              <w:rPr>
                <w:sz w:val="20"/>
                <w:szCs w:val="20"/>
                <w:color w:val="auto"/>
              </w:rPr>
            </w:pPr>
            <w:r>
              <w:rPr>
                <w:rFonts w:ascii="Arial" w:cs="Arial" w:eastAsia="Arial" w:hAnsi="Arial"/>
                <w:sz w:val="18"/>
                <w:szCs w:val="18"/>
                <w:color w:val="auto"/>
              </w:rPr>
              <w:t>(67,900)</w:t>
            </w:r>
          </w:p>
        </w:tc>
        <w:tc>
          <w:tcPr>
            <w:tcW w:w="66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3"/>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April 30, 2019</w:t>
            </w:r>
          </w:p>
        </w:tc>
        <w:tc>
          <w:tcPr>
            <w:tcW w:w="1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263,800</w:t>
            </w:r>
          </w:p>
        </w:tc>
        <w:tc>
          <w:tcPr>
            <w:tcW w:w="66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total weighted average grant-date fair value of restricted stock awards that vested during each of the three and six month periods ended April 30,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2019 and 2018 was $1.3 million. As of April 30, 2019, total unrecognized compensation cost related to unamortized restricted stock awards was $2.5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expect to recognize this expense over the remaining weighted average vesting period of 2.1 years.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Historically, stock options have been awarded to key employees, officers and non-employee directors. Effective May 2015, the director compensation structure was revised to eliminate the annual grant of stock options to non-employee directors. During December 2017, the Compensation &amp; Management Development Committee of the Board of Directors approved a change to the long-term incentive award program eliminating the grant of stock options and replacing this award with a grant of performance restricted stock units as further described below. As a result, stock options were not granted during the year ended October 31, 2018 or during the six months ended April 30, 2019. Employee stock options typically vest ratably over a three-year period with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4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service and continued employment as the vesting conditions. Our stock options may be exercised up to a maximum of ten years from the date of grant. The fair value of the stock options is determined on the grant date and expensed over the vesting period resulting in an increase in additional paid-in-capital. For employees who are nearing retirement-eligibility, we recognize stock option expense ratably over the shorter of the vesting period or the period from the grant-date to the retirement-eligibility date.</w:t>
      </w:r>
    </w:p>
    <w:p>
      <w:pPr>
        <w:spacing w:after="0" w:line="13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use a Black-Scholes pricing model to estimate the fair value of stock options. A description of the methodology for the valuation assumptions was disclosed in our Annual Report on Form 10-K for the fiscal year ended October 31, 2018.</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stock option activity for the six months ended April 30,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Weighted Average</w:t>
            </w: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1160" w:type="dxa"/>
            <w:vAlign w:val="bottom"/>
          </w:tcPr>
          <w:p>
            <w:pPr>
              <w:jc w:val="center"/>
              <w:ind w:right="11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62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Stock Options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Remaining Contractual</w:t>
            </w:r>
          </w:p>
        </w:tc>
        <w:tc>
          <w:tcPr>
            <w:tcW w:w="200" w:type="dxa"/>
            <w:vAlign w:val="bottom"/>
          </w:tcPr>
          <w:p>
            <w:pPr>
              <w:spacing w:after="0"/>
              <w:rPr>
                <w:sz w:val="12"/>
                <w:szCs w:val="12"/>
                <w:color w:val="auto"/>
              </w:rPr>
            </w:pPr>
          </w:p>
        </w:tc>
        <w:tc>
          <w:tcPr>
            <w:tcW w:w="116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Exercise Price</w:t>
            </w:r>
          </w:p>
        </w:tc>
        <w:tc>
          <w:tcPr>
            <w:tcW w:w="2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2"/>
              </w:rPr>
              <w:t>Value (000s)</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October 31, 2018</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1,753,656</w:t>
            </w: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18.47</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38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7.83</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380"/>
              <w:spacing w:after="0"/>
              <w:rPr>
                <w:sz w:val="20"/>
                <w:szCs w:val="20"/>
                <w:color w:val="auto"/>
              </w:rPr>
            </w:pPr>
            <w:r>
              <w:rPr>
                <w:rFonts w:ascii="Arial" w:cs="Arial" w:eastAsia="Arial" w:hAnsi="Arial"/>
                <w:sz w:val="18"/>
                <w:szCs w:val="18"/>
                <w:color w:val="auto"/>
              </w:rPr>
              <w:t>Forfeited/Expired</w:t>
            </w:r>
          </w:p>
        </w:tc>
        <w:tc>
          <w:tcPr>
            <w:tcW w:w="1620" w:type="dxa"/>
            <w:vAlign w:val="bottom"/>
          </w:tcPr>
          <w:p>
            <w:pPr>
              <w:jc w:val="right"/>
              <w:spacing w:after="0"/>
              <w:rPr>
                <w:sz w:val="20"/>
                <w:szCs w:val="20"/>
                <w:color w:val="auto"/>
              </w:rPr>
            </w:pPr>
            <w:r>
              <w:rPr>
                <w:rFonts w:ascii="Arial" w:cs="Arial" w:eastAsia="Arial" w:hAnsi="Arial"/>
                <w:sz w:val="18"/>
                <w:szCs w:val="18"/>
                <w:color w:val="auto"/>
              </w:rPr>
              <w:t>(11,900)</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18.80</w:t>
            </w: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April 30, 2019</w:t>
            </w:r>
          </w:p>
        </w:tc>
        <w:tc>
          <w:tcPr>
            <w:tcW w:w="1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1,738,256</w:t>
            </w: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18.49</w:t>
            </w:r>
          </w:p>
        </w:tc>
        <w:tc>
          <w:tcPr>
            <w:tcW w:w="2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Vested or expected to vest at April 30, 2019</w:t>
            </w:r>
          </w:p>
        </w:tc>
        <w:tc>
          <w:tcPr>
            <w:tcW w:w="1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1,748,256</w:t>
            </w:r>
          </w:p>
        </w:tc>
        <w:tc>
          <w:tcPr>
            <w:tcW w:w="4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tcPr>
          <w:p>
            <w:pPr>
              <w:jc w:val="right"/>
              <w:ind w:right="34"/>
              <w:spacing w:after="0"/>
              <w:rPr>
                <w:sz w:val="20"/>
                <w:szCs w:val="20"/>
                <w:color w:val="auto"/>
              </w:rPr>
            </w:pPr>
            <w:r>
              <w:rPr>
                <w:rFonts w:ascii="Arial" w:cs="Arial" w:eastAsia="Arial" w:hAnsi="Arial"/>
                <w:sz w:val="18"/>
                <w:szCs w:val="18"/>
                <w:color w:val="auto"/>
              </w:rPr>
              <w:t>18.49</w:t>
            </w:r>
          </w:p>
        </w:tc>
        <w:tc>
          <w:tcPr>
            <w:tcW w:w="20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4.5</w:t>
            </w:r>
          </w:p>
        </w:tc>
        <w:tc>
          <w:tcPr>
            <w:tcW w:w="2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tcPr>
          <w:p>
            <w:pPr>
              <w:jc w:val="right"/>
              <w:ind w:right="19"/>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51"/>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April 30, 2019</w:t>
            </w:r>
          </w:p>
        </w:tc>
        <w:tc>
          <w:tcPr>
            <w:tcW w:w="1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1,644,517</w:t>
            </w: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18.43</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Intrinsic value is the amount by which the market price of the common stock on the date of exercise exceeds the exercise price of the stock option. The total intrinsic value of stock options exercised during the six months ended April 30, 2019 and 2018 was less than $0.1 million and $1.9 million, respectively. The weighted-average grant date fair value of stock options that vested during the six months ended April 30, 2019 and 2018 was $1.1 million and $1.5 million, respectively. As of April 30, 2019, total unrecognized compensation cost related to stock options was $0.1 million. We expect to recognize this expense over the remaining weighted average vesting period of 0.6 years.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7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Restricted stock units may be awarded to key employees and officers from time to time, and annually to non-employee directors. The non-employee director restricted stock units vest immediately but are payable only upon the director's cessation of service unless an election is made by the non-employee director to settle and pay the award on an earlier specified date. Restricted stock units awarded to employees and officers typically cliff vest after a three-year period with service and continued employment as the vesting conditions. Restricted stock units are not considered outstanding shares and do not have voting rights, although the holder does receive a cash payment equivalent to the dividend paid, on a one-for-one basis, on our outstanding common shares. Once the criteria is met, each restricted stock unit is payable to the holder in cash based on the market value of one share of our common stock. Accordingly, we record a liability for the restricted stock units on our balance sheet and recognize any changes in the market value during each reporting period as compensation expense.</w:t>
      </w:r>
    </w:p>
    <w:p>
      <w:pPr>
        <w:spacing w:after="0" w:line="13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As of April 30, 2019, there were no non-vested restricted stock units. During the six month periods ended April 30, 2019 and 2018, non-employee directors received 29,065 and 18,050 restricted stock units, respectively, at a grant date fair value of $15.29 per share and $21.85 per share, respectively, which vested immediately. During the six month period ended April 30, 2019, we paid less than $0.4 million to settle previously vested restricted stock units; there were no corresponding payments to settled vested restricted stock units during the comparable prior year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Awards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have awarded annual grants of performance shares to key employees and officers. These awards cliff vest after a three-year period. Performance share awards issued prior to fiscal 2019 vest with service and performance measures (relative total shareholder return (R-TSR) and earnings per share (EPS) growth), as vesting conditions. The number of shares earned is variable depending on the metrics achieved, and the settlement method is 50% in cash and 50% in our common stock. Performance share awards issued during fiscal 2019 vest with return on net assets (RONA) as the vesting condition and pay out 100% in cash.</w:t>
      </w:r>
    </w:p>
    <w:p>
      <w:pPr>
        <w:spacing w:after="0" w:line="13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To account for these awards, we have bifurcated the portion subject to a market condition (R-TSR) and the portion subject to an internal performance measure (EPS or RONA). We have further bifurcated these awards based on the settlement method, as the portion expected to settle in stock (equity component) and the portion expected to settle in cash (liability component).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400"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To value the shares subject to the market condition, we utilized a Monte Carlo simulation model to arrive at a grant-date fair value. This amount will be expensed over the three-year term of the award with a credit to additional paid-in-capital. To value the shares subject to the EPS and RONA performance measures, we used the value of our common stock on the date of grant as the grant-date fair value per share. This amount is being expensed over the three-year term of the award, with a credit to additional paid-in-capital, and could fluctuate depending on the number of shares ultimately expected to vest based on our assessment of the probability that the performance conditions will be achieved. The portion of the awards expected to settle in cash is recorded as a liability and is being marked to market over the three-year term of the award, and can fluctuate depending on the number of shares ultimately expected to vest. Depending on the achievement of the performance conditions, 0% to 200% of the awarded performance shares may ultimately vest.</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our performance share grants and the grant date fair value for the EPS, R-TSR and RONA performance metrics: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w w:val="98"/>
              </w:rPr>
              <w:t>Grant Date Fair Value</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620" w:type="dxa"/>
            <w:vAlign w:val="bottom"/>
            <w:vMerge w:val="restart"/>
          </w:tcPr>
          <w:p>
            <w:pPr>
              <w:ind w:left="2380"/>
              <w:spacing w:after="0"/>
              <w:rPr>
                <w:sz w:val="20"/>
                <w:szCs w:val="20"/>
                <w:color w:val="auto"/>
              </w:rPr>
            </w:pPr>
            <w:r>
              <w:rPr>
                <w:rFonts w:ascii="Arial" w:cs="Arial" w:eastAsia="Arial" w:hAnsi="Arial"/>
                <w:sz w:val="18"/>
                <w:szCs w:val="18"/>
                <w:b w:val="1"/>
                <w:bCs w:val="1"/>
                <w:color w:val="auto"/>
              </w:rPr>
              <w:t>Grant Date</w:t>
            </w:r>
          </w:p>
        </w:tc>
        <w:tc>
          <w:tcPr>
            <w:tcW w:w="120" w:type="dxa"/>
            <w:vAlign w:val="bottom"/>
            <w:vMerge w:val="restart"/>
          </w:tcPr>
          <w:p>
            <w:pPr>
              <w:spacing w:after="0"/>
              <w:rPr>
                <w:sz w:val="12"/>
                <w:szCs w:val="12"/>
                <w:color w:val="auto"/>
              </w:rPr>
            </w:pPr>
          </w:p>
        </w:tc>
        <w:tc>
          <w:tcPr>
            <w:tcW w:w="1140" w:type="dxa"/>
            <w:vAlign w:val="bottom"/>
            <w:gridSpan w:val="2"/>
          </w:tcPr>
          <w:p>
            <w:pPr>
              <w:ind w:left="300"/>
              <w:spacing w:after="0" w:line="139" w:lineRule="exact"/>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2"/>
                <w:szCs w:val="12"/>
                <w:color w:val="auto"/>
              </w:rPr>
            </w:pPr>
          </w:p>
        </w:tc>
        <w:tc>
          <w:tcPr>
            <w:tcW w:w="6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EPS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R-TSR</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RONA</w:t>
            </w:r>
          </w:p>
        </w:tc>
        <w:tc>
          <w:tcPr>
            <w:tcW w:w="100" w:type="dxa"/>
            <w:vAlign w:val="bottom"/>
            <w:vMerge w:val="restart"/>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Shares Forfeited</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Awarded</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November 30, 2016</w:t>
            </w:r>
          </w:p>
        </w:tc>
        <w:tc>
          <w:tcPr>
            <w:tcW w:w="10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186,500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20,730</w:t>
            </w:r>
          </w:p>
        </w:tc>
        <w:tc>
          <w:tcPr>
            <w:tcW w:w="0" w:type="dxa"/>
            <w:vAlign w:val="bottom"/>
          </w:tcPr>
          <w:p>
            <w:pPr>
              <w:spacing w:after="0"/>
              <w:rPr>
                <w:sz w:val="1"/>
                <w:szCs w:val="1"/>
                <w:color w:val="auto"/>
              </w:rPr>
            </w:pPr>
          </w:p>
        </w:tc>
      </w:tr>
      <w:tr>
        <w:trPr>
          <w:trHeight w:val="24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December 7, 2017</w:t>
            </w:r>
          </w:p>
        </w:tc>
        <w:tc>
          <w:tcPr>
            <w:tcW w:w="1040" w:type="dxa"/>
            <w:vAlign w:val="bottom"/>
          </w:tcPr>
          <w:p>
            <w:pPr>
              <w:ind w:left="320"/>
              <w:spacing w:after="0"/>
              <w:rPr>
                <w:sz w:val="20"/>
                <w:szCs w:val="20"/>
                <w:color w:val="auto"/>
              </w:rPr>
            </w:pPr>
            <w:r>
              <w:rPr>
                <w:rFonts w:ascii="Arial" w:cs="Arial" w:eastAsia="Arial" w:hAnsi="Arial"/>
                <w:sz w:val="18"/>
                <w:szCs w:val="18"/>
                <w:color w:val="auto"/>
              </w:rPr>
              <w:t>146,500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20.70</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21.81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17,408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December 5, 2018</w:t>
            </w:r>
          </w:p>
        </w:tc>
        <w:tc>
          <w:tcPr>
            <w:tcW w:w="1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131,500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13.63</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On December 3, 2018 and January 25, 2019, a total of 139,164 shares vested pursuant to the December 2015 grant and a total of 4,300 shares vested pursuant to the January 2016 grant, however performance conditions resulted in no share issuances or cash payments for either of these awards. The November 2016 and December 2017 grants include a return on invested capital (ROIC) metric which, if achieved, could enhance the number of shares that are ultimately issued but cannot exceed the maximum (200%). Due to the uncertainty with regard to achieving this metric, no value has been assigned. In the event and at such time the metric is deemed achievable, compensation expense will begin to be recognized through the remaining vesting period. During the three and six months ended April 30, 2019, we recorded compensation expense of $0.4 million and less than $0.1 million related to the expected payout of our performance share awards that are outstanding as of April 30, 2019. During the three and six months ended April 30, 2018, we recorded a decrease in compensation expense of $1.0 million and $1.6 million related to the expected payouts of performance share awards that were outstanding as of April 30, 2018.</w:t>
      </w:r>
    </w:p>
    <w:p>
      <w:pPr>
        <w:spacing w:after="0" w:line="143"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Performance share awards are not considered outstanding shares and do not have voting rights, although dividends are accrued over the performance period and will be payable in cash based upon the number of performance shares ultimately earned.</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performance shares are excluded from the diluted weighted-average shares used to calculate earnings per share until the performance criteria is probable to result in the issuance of contingent shares. As of April 30, 2019, we have deemed 31,470 shares related to the November 2016 grants of performance shares as probable to vest.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Restricted Stock Units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awarded performance restricted stock units to key employees and officers beginning in December 2017. These awards cliff vest upon a three-year service period with the absolute total shareholder return of our common stock over this three-year term as the vesting criteria. The number of shares earned is variable depending on the metric achieved, and the settlement method is 100% in our common stock, with accrued dividends paid in cash at the time of vesting, assuming the shares had been outstanding throughout the performance period.</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To value the performance restricted stock units, we utilized a Monte Carlo simulation model to arrive at a grant-date fair value. This amount will be adjusted for forfeitures and expensed over the three-year term of the award with a credit to additional paid-in-capital. Depending on the achievement of the performance conditions, a minimum of 0% and a maximum of 150% of the awarded performance restricted stock units may vest. Specifically, the awards vest on a continuum with the following Absolute Total Shareholder Return (A-TSR) milestones: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35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520" w:type="dxa"/>
            <w:vAlign w:val="bottom"/>
            <w:gridSpan w:val="2"/>
          </w:tcPr>
          <w:p>
            <w:pPr>
              <w:ind w:left="20"/>
              <w:spacing w:after="0"/>
              <w:rPr>
                <w:sz w:val="20"/>
                <w:szCs w:val="20"/>
                <w:color w:val="auto"/>
              </w:rPr>
            </w:pPr>
            <w:r>
              <w:rPr>
                <w:rFonts w:ascii="Arial" w:cs="Arial" w:eastAsia="Arial" w:hAnsi="Arial"/>
                <w:sz w:val="18"/>
                <w:szCs w:val="18"/>
                <w:b w:val="1"/>
                <w:bCs w:val="1"/>
                <w:color w:val="auto"/>
              </w:rPr>
              <w:t>Vesting Level</w:t>
            </w:r>
          </w:p>
        </w:tc>
        <w:tc>
          <w:tcPr>
            <w:tcW w:w="5340" w:type="dxa"/>
            <w:vAlign w:val="bottom"/>
            <w:gridSpan w:val="2"/>
          </w:tcPr>
          <w:p>
            <w:pPr>
              <w:ind w:left="40"/>
              <w:spacing w:after="0"/>
              <w:rPr>
                <w:sz w:val="20"/>
                <w:szCs w:val="20"/>
                <w:color w:val="auto"/>
              </w:rPr>
            </w:pPr>
            <w:r>
              <w:rPr>
                <w:rFonts w:ascii="Arial" w:cs="Arial" w:eastAsia="Arial" w:hAnsi="Arial"/>
                <w:sz w:val="18"/>
                <w:szCs w:val="18"/>
                <w:b w:val="1"/>
                <w:bCs w:val="1"/>
                <w:color w:val="auto"/>
              </w:rPr>
              <w:t>Vesting Criteria</w:t>
            </w:r>
          </w:p>
        </w:tc>
        <w:tc>
          <w:tcPr>
            <w:tcW w:w="3520" w:type="dxa"/>
            <w:vAlign w:val="bottom"/>
          </w:tcPr>
          <w:p>
            <w:pPr>
              <w:ind w:left="680"/>
              <w:spacing w:after="0"/>
              <w:rPr>
                <w:sz w:val="20"/>
                <w:szCs w:val="20"/>
                <w:color w:val="auto"/>
              </w:rPr>
            </w:pPr>
            <w:r>
              <w:rPr>
                <w:rFonts w:ascii="Arial" w:cs="Arial" w:eastAsia="Arial" w:hAnsi="Arial"/>
                <w:sz w:val="18"/>
                <w:szCs w:val="18"/>
                <w:b w:val="1"/>
                <w:bCs w:val="1"/>
                <w:color w:val="auto"/>
              </w:rPr>
              <w:t>Percentage of Award Vested</w:t>
            </w:r>
          </w:p>
        </w:tc>
      </w:tr>
      <w:tr>
        <w:trPr>
          <w:trHeight w:val="27"/>
        </w:trPr>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44"/>
        </w:trPr>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Level 1</w:t>
            </w:r>
          </w:p>
        </w:tc>
        <w:tc>
          <w:tcPr>
            <w:tcW w:w="5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A-TSR greater than or equal to 50%</w:t>
            </w:r>
          </w:p>
        </w:tc>
        <w:tc>
          <w:tcPr>
            <w:tcW w:w="3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150%</w:t>
            </w:r>
          </w:p>
        </w:tc>
      </w:tr>
      <w:tr>
        <w:trPr>
          <w:trHeight w:val="243"/>
        </w:trPr>
        <w:tc>
          <w:tcPr>
            <w:tcW w:w="2520" w:type="dxa"/>
            <w:vAlign w:val="bottom"/>
            <w:gridSpan w:val="2"/>
          </w:tcPr>
          <w:p>
            <w:pPr>
              <w:ind w:left="20"/>
              <w:spacing w:after="0"/>
              <w:rPr>
                <w:sz w:val="20"/>
                <w:szCs w:val="20"/>
                <w:color w:val="auto"/>
              </w:rPr>
            </w:pPr>
            <w:r>
              <w:rPr>
                <w:rFonts w:ascii="Arial" w:cs="Arial" w:eastAsia="Arial" w:hAnsi="Arial"/>
                <w:sz w:val="18"/>
                <w:szCs w:val="18"/>
                <w:color w:val="auto"/>
              </w:rPr>
              <w:t>Level 2</w:t>
            </w:r>
          </w:p>
        </w:tc>
        <w:tc>
          <w:tcPr>
            <w:tcW w:w="5340" w:type="dxa"/>
            <w:vAlign w:val="bottom"/>
            <w:gridSpan w:val="2"/>
          </w:tcPr>
          <w:p>
            <w:pPr>
              <w:ind w:left="40"/>
              <w:spacing w:after="0"/>
              <w:rPr>
                <w:sz w:val="20"/>
                <w:szCs w:val="20"/>
                <w:color w:val="auto"/>
              </w:rPr>
            </w:pPr>
            <w:r>
              <w:rPr>
                <w:rFonts w:ascii="Arial" w:cs="Arial" w:eastAsia="Arial" w:hAnsi="Arial"/>
                <w:sz w:val="18"/>
                <w:szCs w:val="18"/>
                <w:color w:val="auto"/>
              </w:rPr>
              <w:t>A-TSR less than 50% and greater than or equal to 20%</w:t>
            </w:r>
          </w:p>
        </w:tc>
        <w:tc>
          <w:tcPr>
            <w:tcW w:w="352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Level 3</w:t>
            </w:r>
          </w:p>
        </w:tc>
        <w:tc>
          <w:tcPr>
            <w:tcW w:w="5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A-TSR less than 20% and greater than or equal to -20%</w:t>
            </w:r>
          </w:p>
        </w:tc>
        <w:tc>
          <w:tcPr>
            <w:tcW w:w="3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50%</w:t>
            </w:r>
          </w:p>
        </w:tc>
      </w:tr>
      <w:tr>
        <w:trPr>
          <w:trHeight w:val="243"/>
        </w:trPr>
        <w:tc>
          <w:tcPr>
            <w:tcW w:w="2520" w:type="dxa"/>
            <w:vAlign w:val="bottom"/>
            <w:gridSpan w:val="2"/>
          </w:tcPr>
          <w:p>
            <w:pPr>
              <w:ind w:left="20"/>
              <w:spacing w:after="0"/>
              <w:rPr>
                <w:sz w:val="20"/>
                <w:szCs w:val="20"/>
                <w:color w:val="auto"/>
              </w:rPr>
            </w:pPr>
            <w:r>
              <w:rPr>
                <w:rFonts w:ascii="Arial" w:cs="Arial" w:eastAsia="Arial" w:hAnsi="Arial"/>
                <w:sz w:val="18"/>
                <w:szCs w:val="18"/>
                <w:color w:val="auto"/>
              </w:rPr>
              <w:t>Level 4</w:t>
            </w:r>
          </w:p>
        </w:tc>
        <w:tc>
          <w:tcPr>
            <w:tcW w:w="5340" w:type="dxa"/>
            <w:vAlign w:val="bottom"/>
            <w:gridSpan w:val="2"/>
          </w:tcPr>
          <w:p>
            <w:pPr>
              <w:ind w:left="40"/>
              <w:spacing w:after="0"/>
              <w:rPr>
                <w:sz w:val="20"/>
                <w:szCs w:val="20"/>
                <w:color w:val="auto"/>
              </w:rPr>
            </w:pPr>
            <w:r>
              <w:rPr>
                <w:rFonts w:ascii="Arial" w:cs="Arial" w:eastAsia="Arial" w:hAnsi="Arial"/>
                <w:sz w:val="18"/>
                <w:szCs w:val="18"/>
                <w:color w:val="auto"/>
              </w:rPr>
              <w:t>A-TSR less than -20%</w:t>
            </w:r>
          </w:p>
        </w:tc>
        <w:tc>
          <w:tcPr>
            <w:tcW w:w="3520" w:type="dxa"/>
            <w:vAlign w:val="bottom"/>
          </w:tcPr>
          <w:p>
            <w:pPr>
              <w:jc w:val="center"/>
              <w:spacing w:after="0"/>
              <w:rPr>
                <w:sz w:val="20"/>
                <w:szCs w:val="20"/>
                <w:color w:val="auto"/>
              </w:rPr>
            </w:pPr>
            <w:r>
              <w:rPr>
                <w:rFonts w:ascii="Arial" w:cs="Arial" w:eastAsia="Arial" w:hAnsi="Arial"/>
                <w:sz w:val="18"/>
                <w:szCs w:val="18"/>
                <w:color w:val="auto"/>
                <w:w w:val="93"/>
              </w:rPr>
              <w:t>—%</w:t>
            </w:r>
          </w:p>
        </w:tc>
      </w:tr>
    </w:tbl>
    <w:p>
      <w:pPr>
        <w:spacing w:after="0" w:line="39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our performance restricted stock unit grants and the grant date fair value for the A-TSR performance metric:</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3520"/>
              <w:spacing w:after="0"/>
              <w:rPr>
                <w:sz w:val="20"/>
                <w:szCs w:val="20"/>
                <w:color w:val="auto"/>
              </w:rPr>
            </w:pPr>
            <w:r>
              <w:rPr>
                <w:rFonts w:ascii="Arial" w:cs="Arial" w:eastAsia="Arial" w:hAnsi="Arial"/>
                <w:sz w:val="18"/>
                <w:szCs w:val="18"/>
                <w:b w:val="1"/>
                <w:bCs w:val="1"/>
                <w:color w:val="auto"/>
              </w:rPr>
              <w:t>Grant Date</w:t>
            </w:r>
          </w:p>
        </w:tc>
        <w:tc>
          <w:tcPr>
            <w:tcW w:w="120" w:type="dxa"/>
            <w:vAlign w:val="bottom"/>
            <w:vMerge w:val="restart"/>
          </w:tcPr>
          <w:p>
            <w:pPr>
              <w:spacing w:after="0"/>
              <w:rPr>
                <w:sz w:val="14"/>
                <w:szCs w:val="14"/>
                <w:color w:val="auto"/>
              </w:rPr>
            </w:pPr>
          </w:p>
        </w:tc>
        <w:tc>
          <w:tcPr>
            <w:tcW w:w="114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Grand Date</w:t>
            </w: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Shares Forfeited</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Awarded</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020" w:type="dxa"/>
            <w:vAlign w:val="bottom"/>
            <w:gridSpan w:val="2"/>
          </w:tcPr>
          <w:p>
            <w:pPr>
              <w:ind w:left="40"/>
              <w:spacing w:after="0"/>
              <w:rPr>
                <w:sz w:val="20"/>
                <w:szCs w:val="20"/>
                <w:color w:val="auto"/>
              </w:rPr>
            </w:pPr>
            <w:r>
              <w:rPr>
                <w:rFonts w:ascii="Arial" w:cs="Arial" w:eastAsia="Arial" w:hAnsi="Arial"/>
                <w:sz w:val="18"/>
                <w:szCs w:val="18"/>
                <w:color w:val="auto"/>
              </w:rPr>
              <w:t>December 7, 2017</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78,200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9"/>
              <w:spacing w:after="0"/>
              <w:rPr>
                <w:sz w:val="20"/>
                <w:szCs w:val="20"/>
                <w:color w:val="auto"/>
              </w:rPr>
            </w:pPr>
            <w:r>
              <w:rPr>
                <w:rFonts w:ascii="Arial" w:cs="Arial" w:eastAsia="Arial" w:hAnsi="Arial"/>
                <w:sz w:val="18"/>
                <w:szCs w:val="18"/>
                <w:color w:val="auto"/>
              </w:rPr>
              <w:t>17.76</w:t>
            </w:r>
          </w:p>
        </w:tc>
        <w:tc>
          <w:tcPr>
            <w:tcW w:w="10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9,354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December 5, 2018</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89,200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13.63</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During the three and six months ended April 30, 2019, we recorded compensation expense of approximately $0.1 million and $0.3 million, respectively, and $0.1 million and $0.2 million, respectively, for the comparable prior year periods related to our performance share restricted units.</w:t>
      </w:r>
    </w:p>
    <w:p>
      <w:pPr>
        <w:spacing w:after="0" w:line="9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Similar to performance shares, the performance restricted stock units are not considered outstanding shares, do not have voting rights, and are excluded from diluted weighted-average shares used to calculate earnings per share until the performance criteria is probable to result in the issuance of contingent shares.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Shares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record treasury stock purchases under the cost method whereby the entire cost of the acquired stock is recorded as treasury stock. Shares are generally issued from treasury stock at the time of grant of restricted stock awards, upon the exercise of stock options, and upon the vesting of performance shares and performance restricted stock units. On the subsequent issuance of treasury shares, we record proceeds in excess of cost as an increase in additional paid in capital. A deficiency of such proceeds relative to costs would be applied to reduce paid-in-capital associated with prior issuances to the extent available, with the remainder recorded as a charge to retained earnings. We recorded a charge to retained earnings of $0.5 million during the six months ended April 30, 2019.</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treasury stock activity during the six months ended April 30,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2160" w:type="dxa"/>
            <w:vAlign w:val="bottom"/>
          </w:tcPr>
          <w:p>
            <w:pPr>
              <w:jc w:val="right"/>
              <w:ind w:right="44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9"/>
        </w:trPr>
        <w:tc>
          <w:tcPr>
            <w:tcW w:w="4400" w:type="dxa"/>
            <w:vAlign w:val="bottom"/>
            <w:tcBorders>
              <w:bottom w:val="single" w:sz="8" w:color="CCEEFF"/>
            </w:tcBorders>
          </w:tcPr>
          <w:p>
            <w:pPr>
              <w:spacing w:after="0"/>
              <w:rPr>
                <w:sz w:val="18"/>
                <w:szCs w:val="18"/>
                <w:color w:val="auto"/>
              </w:rPr>
            </w:pPr>
          </w:p>
        </w:tc>
        <w:tc>
          <w:tcPr>
            <w:tcW w:w="4860" w:type="dxa"/>
            <w:vAlign w:val="bottom"/>
            <w:tcBorders>
              <w:bottom w:val="single" w:sz="8" w:color="CCEEFF"/>
            </w:tcBorders>
          </w:tcPr>
          <w:p>
            <w:pPr>
              <w:spacing w:after="0"/>
              <w:rPr>
                <w:sz w:val="18"/>
                <w:szCs w:val="18"/>
                <w:color w:val="auto"/>
              </w:rPr>
            </w:pPr>
          </w:p>
        </w:tc>
        <w:tc>
          <w:tcPr>
            <w:tcW w:w="21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April 30, 2019</w:t>
            </w:r>
          </w:p>
        </w:tc>
        <w:tc>
          <w:tcPr>
            <w:tcW w:w="0" w:type="dxa"/>
            <w:vAlign w:val="bottom"/>
          </w:tcPr>
          <w:p>
            <w:pPr>
              <w:spacing w:after="0"/>
              <w:rPr>
                <w:sz w:val="1"/>
                <w:szCs w:val="1"/>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as of November 1, 2018</w:t>
            </w:r>
          </w:p>
        </w:tc>
        <w:tc>
          <w:tcPr>
            <w:tcW w:w="70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4,094,785</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Restricted stock awards granted</w:t>
            </w:r>
          </w:p>
        </w:tc>
        <w:tc>
          <w:tcPr>
            <w:tcW w:w="7020" w:type="dxa"/>
            <w:vAlign w:val="bottom"/>
            <w:gridSpan w:val="2"/>
          </w:tcPr>
          <w:p>
            <w:pPr>
              <w:jc w:val="right"/>
              <w:spacing w:after="0"/>
              <w:rPr>
                <w:sz w:val="20"/>
                <w:szCs w:val="20"/>
                <w:color w:val="auto"/>
              </w:rPr>
            </w:pPr>
            <w:r>
              <w:rPr>
                <w:rFonts w:ascii="Arial" w:cs="Arial" w:eastAsia="Arial" w:hAnsi="Arial"/>
                <w:sz w:val="18"/>
                <w:szCs w:val="18"/>
                <w:color w:val="auto"/>
              </w:rPr>
              <w:t>(124,800)</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 exercised</w:t>
            </w:r>
          </w:p>
        </w:tc>
        <w:tc>
          <w:tcPr>
            <w:tcW w:w="7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Treasury stock repurchases</w:t>
            </w:r>
          </w:p>
        </w:tc>
        <w:tc>
          <w:tcPr>
            <w:tcW w:w="7020" w:type="dxa"/>
            <w:vAlign w:val="bottom"/>
            <w:gridSpan w:val="2"/>
          </w:tcPr>
          <w:p>
            <w:pPr>
              <w:jc w:val="right"/>
              <w:ind w:right="28"/>
              <w:spacing w:after="0"/>
              <w:rPr>
                <w:sz w:val="20"/>
                <w:szCs w:val="20"/>
                <w:color w:val="auto"/>
              </w:rPr>
            </w:pPr>
            <w:r>
              <w:rPr>
                <w:rFonts w:ascii="Arial" w:cs="Arial" w:eastAsia="Arial" w:hAnsi="Arial"/>
                <w:sz w:val="18"/>
                <w:szCs w:val="18"/>
                <w:color w:val="auto"/>
              </w:rPr>
              <w:t>315,046</w:t>
            </w: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April 30, 2019</w:t>
            </w:r>
          </w:p>
        </w:tc>
        <w:tc>
          <w:tcPr>
            <w:tcW w:w="70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4,281,531</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bottom w:val="single" w:sz="8" w:color="CCEEFF"/>
            </w:tcBorders>
            <w:vMerge w:val="restart"/>
          </w:tcPr>
          <w:p>
            <w:pPr>
              <w:jc w:val="right"/>
              <w:ind w:right="3370"/>
              <w:spacing w:after="0"/>
              <w:rPr>
                <w:sz w:val="20"/>
                <w:szCs w:val="20"/>
                <w:color w:val="auto"/>
              </w:rPr>
            </w:pPr>
            <w:r>
              <w:rPr>
                <w:rFonts w:ascii="Arial" w:cs="Arial" w:eastAsia="Arial" w:hAnsi="Arial"/>
                <w:sz w:val="18"/>
                <w:szCs w:val="18"/>
                <w:color w:val="auto"/>
              </w:rPr>
              <w:t>19</w:t>
            </w:r>
          </w:p>
        </w:tc>
        <w:tc>
          <w:tcPr>
            <w:tcW w:w="2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40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Other (Expense) Income</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(expense) income, included under the caption "Other, net" on the accompanying condensed consolidated statements of income, consisted of the following for the three and six months ended April 30, 2019 and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00" w:type="dxa"/>
            <w:vAlign w:val="bottom"/>
          </w:tcPr>
          <w:p>
            <w:pPr>
              <w:spacing w:after="0"/>
              <w:rPr>
                <w:sz w:val="16"/>
                <w:szCs w:val="16"/>
                <w:color w:val="auto"/>
              </w:rPr>
            </w:pPr>
          </w:p>
        </w:tc>
      </w:tr>
      <w:tr>
        <w:trPr>
          <w:trHeight w:val="276"/>
        </w:trPr>
        <w:tc>
          <w:tcPr>
            <w:tcW w:w="47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April 30,</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April 30,</w:t>
            </w:r>
          </w:p>
        </w:tc>
        <w:tc>
          <w:tcPr>
            <w:tcW w:w="1000" w:type="dxa"/>
            <w:vAlign w:val="bottom"/>
            <w:tcBorders>
              <w:bottom w:val="single" w:sz="8" w:color="auto"/>
            </w:tcBorders>
          </w:tcPr>
          <w:p>
            <w:pPr>
              <w:spacing w:after="0"/>
              <w:rPr>
                <w:sz w:val="24"/>
                <w:szCs w:val="24"/>
                <w:color w:val="auto"/>
              </w:rPr>
            </w:pPr>
          </w:p>
        </w:tc>
      </w:tr>
      <w:tr>
        <w:trPr>
          <w:trHeight w:val="264"/>
        </w:trPr>
        <w:tc>
          <w:tcPr>
            <w:tcW w:w="470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r>
      <w:tr>
        <w:trPr>
          <w:trHeight w:val="196"/>
        </w:trPr>
        <w:tc>
          <w:tcPr>
            <w:tcW w:w="4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transaction gains (losses)</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Foreign currency derivative (losses) gains</w:t>
            </w:r>
          </w:p>
        </w:tc>
        <w:tc>
          <w:tcPr>
            <w:tcW w:w="9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service (expense) benefit</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980" w:type="dxa"/>
            <w:vAlign w:val="bottom"/>
          </w:tcPr>
          <w:p>
            <w:pPr>
              <w:spacing w:after="0"/>
              <w:rPr>
                <w:sz w:val="21"/>
                <w:szCs w:val="21"/>
                <w:color w:val="auto"/>
              </w:rPr>
            </w:pPr>
          </w:p>
        </w:tc>
        <w:tc>
          <w:tcPr>
            <w:tcW w:w="640" w:type="dxa"/>
            <w:vAlign w:val="bottom"/>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40</w:t>
            </w:r>
          </w:p>
        </w:tc>
      </w:tr>
      <w:tr>
        <w:trPr>
          <w:trHeight w:val="27"/>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r>
      <w:tr>
        <w:trPr>
          <w:trHeight w:val="257"/>
        </w:trPr>
        <w:tc>
          <w:tcPr>
            <w:tcW w:w="470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98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689</w:t>
            </w:r>
          </w:p>
        </w:tc>
      </w:tr>
      <w:tr>
        <w:trPr>
          <w:trHeight w:val="20"/>
        </w:trPr>
        <w:tc>
          <w:tcPr>
            <w:tcW w:w="4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income for the three and six months ended April 30, 2018 has been updated to reflect the adoption of Accounting Standards Update 2017-07. For further information, see Note 15, "New Accounting Guidance".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175"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 xml:space="preserve">We present three reportable business segments in accordance with Topic 280-10-50,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(ASC 280): (1) North American Fenestration segment (NA Fenestration), comprising four operating segments primarily focused on the fenestration market in North America including vinyl profiles, insulating glass spacers, screens &amp; other fenestration components; (2) European Fenestration segment (EU Fenestration), comprising our U.K.-based vinyl extrusion business, manufacturing vinyl profiles &amp; conservatories, and the European insulating glass business manufacturing insulating glass spacers; and (3) North American Cabinet Components segment (NA Cabinet Components), comprising our cabinet door and components operations. We maintain an Unallocated Corporate &amp; Other grouping which includes corporate office charges, and inter-segment eliminations, less an allocation of a portion of the general and administrative costs associated with the corporate office which have been allocated to the reportable business segments, based upon a relative measure of profitability, in order to more accurately reflect each reportable business segment's administrative cost. Certain costs are not allocated to the reportable operating segments, but remain in Unallocated Corporate &amp; Other, including transaction expenses, stock-based compensation, long-term incentive awards based on the performance of our common stock and other factors, certain severance and legal costs not deemed to be allocable to all segments, depreciation of corporate assets, interest expense, other, net, income taxes and inter-segment eliminations, and beginning in the fourth quarter of 2018, executive incentive compensation and medical expense fluctuations relative to planned costs as determined during the annual planning process. The change in allocation was incorporated during the fourth quarter of 2018, which resulted in a reduction in corporate general and administrative expense of $0.3 million and $0.9 million for the three and six months ended April 30, 2018, respectively, which is reflected in the tables below. The accounting policies of our operating segments are the same as those used to prepare the accompanying condensed consolidated financial statements. Corporate general and administrative expense allocated during the three and six month periods ended April 30, 2019 was $4.6 million and $9.5 million, respectively, and $4.6 million and $9.1 million, respectively, for the prior year comparable periods.</w:t>
      </w:r>
    </w:p>
    <w:p>
      <w:pPr>
        <w:spacing w:after="0" w:line="1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ASC 280 permits aggregation of operating segments based on factors including, but not limited to: (1) similar nature of products serving the building products industry, primarily the fenestration business; (2) similar production processes, although there are some differences in the amount of automation amongst operating plants; (3) similar types or classes of customers, namely the primary OEMs; (4) similar distribution methods for product delivery, although the extent of the use of third-party distributors will vary amongst the businesses; (5) similar regulatory environment; and (6) converging long-term economic similarities.</w:t>
      </w:r>
    </w:p>
    <w:p>
      <w:pPr>
        <w:spacing w:after="0" w:line="310"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Segment information for the three and six months ended April 30, 2019 and 2018, and total assets as of April 30, 2019 and October 31, 2018 are summarized in the following table (in thousands):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 Fenestration</w:t>
            </w:r>
            <w:r>
              <w:rPr>
                <w:rFonts w:ascii="Arial" w:cs="Arial" w:eastAsia="Arial" w:hAnsi="Arial"/>
                <w:sz w:val="8"/>
                <w:szCs w:val="8"/>
                <w:b w:val="1"/>
                <w:bCs w:val="1"/>
                <w:color w:val="auto"/>
              </w:rPr>
              <w:t>(1)</w:t>
            </w:r>
          </w:p>
        </w:tc>
        <w:tc>
          <w:tcPr>
            <w:tcW w:w="120" w:type="dxa"/>
            <w:vAlign w:val="bottom"/>
          </w:tcPr>
          <w:p>
            <w:pPr>
              <w:spacing w:after="0"/>
              <w:rPr>
                <w:sz w:val="14"/>
                <w:szCs w:val="14"/>
                <w:color w:val="auto"/>
              </w:rPr>
            </w:pPr>
          </w:p>
        </w:tc>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EU Fenestration</w:t>
            </w:r>
            <w:r>
              <w:rPr>
                <w:rFonts w:ascii="Arial" w:cs="Arial" w:eastAsia="Arial" w:hAnsi="Arial"/>
                <w:sz w:val="8"/>
                <w:szCs w:val="8"/>
                <w:b w:val="1"/>
                <w:bCs w:val="1"/>
                <w:color w:val="auto"/>
              </w:rPr>
              <w:t>(1)</w:t>
            </w: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NA Cabinet Comp.</w:t>
            </w: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Unallocated Corp.</w:t>
            </w:r>
          </w:p>
        </w:tc>
        <w:tc>
          <w:tcPr>
            <w:tcW w:w="300" w:type="dxa"/>
            <w:vAlign w:val="bottom"/>
          </w:tcPr>
          <w:p>
            <w:pPr>
              <w:spacing w:after="0"/>
              <w:rPr>
                <w:sz w:val="14"/>
                <w:szCs w:val="14"/>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&amp; Other</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60" w:type="dxa"/>
            <w:vAlign w:val="bottom"/>
            <w:gridSpan w:val="6"/>
          </w:tcPr>
          <w:p>
            <w:pPr>
              <w:ind w:left="40"/>
              <w:spacing w:after="0"/>
              <w:rPr>
                <w:sz w:val="20"/>
                <w:szCs w:val="20"/>
                <w:color w:val="auto"/>
              </w:rPr>
            </w:pPr>
            <w:r>
              <w:rPr>
                <w:rFonts w:ascii="Arial" w:cs="Arial" w:eastAsia="Arial" w:hAnsi="Arial"/>
                <w:sz w:val="16"/>
                <w:szCs w:val="16"/>
                <w:b w:val="1"/>
                <w:bCs w:val="1"/>
                <w:color w:val="auto"/>
              </w:rPr>
              <w:t>Three Months Ended April 30, 2019</w:t>
            </w: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115,346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41,623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62,836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218,203</w:t>
            </w:r>
          </w:p>
        </w:tc>
        <w:tc>
          <w:tcPr>
            <w:tcW w:w="0" w:type="dxa"/>
            <w:vAlign w:val="bottom"/>
          </w:tcPr>
          <w:p>
            <w:pPr>
              <w:spacing w:after="0"/>
              <w:rPr>
                <w:sz w:val="1"/>
                <w:szCs w:val="1"/>
                <w:color w:val="auto"/>
              </w:rPr>
            </w:pPr>
          </w:p>
        </w:tc>
      </w:tr>
      <w:tr>
        <w:trPr>
          <w:trHeight w:val="243"/>
        </w:trPr>
        <w:tc>
          <w:tcPr>
            <w:tcW w:w="4460" w:type="dxa"/>
            <w:vAlign w:val="bottom"/>
            <w:gridSpan w:val="6"/>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6,758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2,219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3,305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12,404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(19,363)</w:t>
            </w:r>
          </w:p>
        </w:tc>
        <w:tc>
          <w:tcPr>
            <w:tcW w:w="0" w:type="dxa"/>
            <w:vAlign w:val="bottom"/>
          </w:tcPr>
          <w:p>
            <w:pPr>
              <w:spacing w:after="0"/>
              <w:rPr>
                <w:sz w:val="1"/>
                <w:szCs w:val="1"/>
                <w:color w:val="auto"/>
              </w:rPr>
            </w:pPr>
          </w:p>
        </w:tc>
      </w:tr>
      <w:tr>
        <w:trPr>
          <w:trHeight w:val="243"/>
        </w:trPr>
        <w:tc>
          <w:tcPr>
            <w:tcW w:w="4460" w:type="dxa"/>
            <w:vAlign w:val="bottom"/>
            <w:gridSpan w:val="6"/>
          </w:tcPr>
          <w:p>
            <w:pPr>
              <w:ind w:left="40"/>
              <w:spacing w:after="0"/>
              <w:rPr>
                <w:sz w:val="20"/>
                <w:szCs w:val="20"/>
                <w:color w:val="auto"/>
              </w:rPr>
            </w:pPr>
            <w:r>
              <w:rPr>
                <w:rFonts w:ascii="Arial" w:cs="Arial" w:eastAsia="Arial" w:hAnsi="Arial"/>
                <w:sz w:val="18"/>
                <w:szCs w:val="18"/>
                <w:color w:val="auto"/>
              </w:rPr>
              <w:t>Capital expenditures</w:t>
            </w:r>
          </w:p>
        </w:tc>
        <w:tc>
          <w:tcPr>
            <w:tcW w:w="1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2,937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3,213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6,751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gridSpan w:val="6"/>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April 30, 2018</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7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19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460" w:type="dxa"/>
            <w:vAlign w:val="bottom"/>
            <w:gridSpan w:val="6"/>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114,157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38,824</w:t>
            </w:r>
          </w:p>
        </w:tc>
        <w:tc>
          <w:tcPr>
            <w:tcW w:w="12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62,668</w:t>
            </w:r>
          </w:p>
        </w:tc>
        <w:tc>
          <w:tcPr>
            <w:tcW w:w="100" w:type="dxa"/>
            <w:vAlign w:val="bottom"/>
          </w:tcPr>
          <w:p>
            <w:pPr>
              <w:spacing w:after="0"/>
              <w:rPr>
                <w:sz w:val="21"/>
                <w:szCs w:val="21"/>
                <w:color w:val="auto"/>
              </w:rPr>
            </w:pPr>
          </w:p>
        </w:tc>
        <w:tc>
          <w:tcPr>
            <w:tcW w:w="240" w:type="dxa"/>
            <w:vAlign w:val="bottom"/>
          </w:tcPr>
          <w:p>
            <w:pPr>
              <w:jc w:val="right"/>
              <w:ind w:right="33"/>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214,212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13,310</w:t>
            </w:r>
          </w:p>
        </w:tc>
        <w:tc>
          <w:tcPr>
            <w:tcW w:w="0" w:type="dxa"/>
            <w:vAlign w:val="bottom"/>
          </w:tcPr>
          <w:p>
            <w:pPr>
              <w:spacing w:after="0"/>
              <w:rPr>
                <w:sz w:val="1"/>
                <w:szCs w:val="1"/>
                <w:color w:val="auto"/>
              </w:rPr>
            </w:pPr>
          </w:p>
        </w:tc>
      </w:tr>
      <w:tr>
        <w:trPr>
          <w:trHeight w:val="270"/>
        </w:trPr>
        <w:tc>
          <w:tcPr>
            <w:tcW w:w="4460" w:type="dxa"/>
            <w:vAlign w:val="bottom"/>
            <w:gridSpan w:val="6"/>
          </w:tcPr>
          <w:p>
            <w:pPr>
              <w:ind w:left="40"/>
              <w:spacing w:after="0"/>
              <w:rPr>
                <w:sz w:val="20"/>
                <w:szCs w:val="20"/>
                <w:color w:val="auto"/>
              </w:rPr>
            </w:pPr>
            <w:r>
              <w:rPr>
                <w:rFonts w:ascii="Arial" w:cs="Arial" w:eastAsia="Arial" w:hAnsi="Arial"/>
                <w:sz w:val="18"/>
                <w:szCs w:val="18"/>
                <w:color w:val="auto"/>
              </w:rPr>
              <w:t xml:space="preserve">Operating income (loss) </w:t>
            </w:r>
            <w:r>
              <w:rPr>
                <w:rFonts w:ascii="Arial" w:cs="Arial" w:eastAsia="Arial" w:hAnsi="Arial"/>
                <w:sz w:val="21"/>
                <w:szCs w:val="21"/>
                <w:b w:val="1"/>
                <w:bCs w:val="1"/>
                <w:color w:val="auto"/>
                <w:vertAlign w:val="superscript"/>
              </w:rPr>
              <w:t>(2)</w:t>
            </w:r>
          </w:p>
        </w:tc>
        <w:tc>
          <w:tcPr>
            <w:tcW w:w="140" w:type="dxa"/>
            <w:vAlign w:val="bottom"/>
          </w:tcPr>
          <w:p>
            <w:pPr>
              <w:spacing w:after="0"/>
              <w:rPr>
                <w:sz w:val="23"/>
                <w:szCs w:val="23"/>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5,383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2,530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7,767</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7,402</w:t>
            </w:r>
          </w:p>
        </w:tc>
        <w:tc>
          <w:tcPr>
            <w:tcW w:w="0" w:type="dxa"/>
            <w:vAlign w:val="bottom"/>
          </w:tcPr>
          <w:p>
            <w:pPr>
              <w:spacing w:after="0"/>
              <w:rPr>
                <w:sz w:val="1"/>
                <w:szCs w:val="1"/>
                <w:color w:val="auto"/>
              </w:rPr>
            </w:pPr>
          </w:p>
        </w:tc>
      </w:tr>
      <w:tr>
        <w:trPr>
          <w:trHeight w:val="203"/>
        </w:trPr>
        <w:tc>
          <w:tcPr>
            <w:tcW w:w="4460" w:type="dxa"/>
            <w:vAlign w:val="bottom"/>
            <w:gridSpan w:val="6"/>
          </w:tcPr>
          <w:p>
            <w:pPr>
              <w:ind w:left="40"/>
              <w:spacing w:after="0"/>
              <w:rPr>
                <w:sz w:val="20"/>
                <w:szCs w:val="20"/>
                <w:color w:val="auto"/>
              </w:rPr>
            </w:pPr>
            <w:r>
              <w:rPr>
                <w:rFonts w:ascii="Arial" w:cs="Arial" w:eastAsia="Arial" w:hAnsi="Arial"/>
                <w:sz w:val="16"/>
                <w:szCs w:val="16"/>
                <w:b w:val="1"/>
                <w:bCs w:val="1"/>
                <w:color w:val="auto"/>
              </w:rPr>
              <w:t>Six Months Ended April 30, 2019</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224,395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76,877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116,688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415,011</w:t>
            </w:r>
          </w:p>
        </w:tc>
        <w:tc>
          <w:tcPr>
            <w:tcW w:w="0" w:type="dxa"/>
            <w:vAlign w:val="bottom"/>
          </w:tcPr>
          <w:p>
            <w:pPr>
              <w:spacing w:after="0"/>
              <w:rPr>
                <w:sz w:val="1"/>
                <w:szCs w:val="1"/>
                <w:color w:val="auto"/>
              </w:rPr>
            </w:pPr>
          </w:p>
        </w:tc>
      </w:tr>
      <w:tr>
        <w:trPr>
          <w:trHeight w:val="243"/>
        </w:trPr>
        <w:tc>
          <w:tcPr>
            <w:tcW w:w="4460" w:type="dxa"/>
            <w:vAlign w:val="bottom"/>
            <w:gridSpan w:val="6"/>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13,630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4,456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6,644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24,976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(21,813)</w:t>
            </w:r>
          </w:p>
        </w:tc>
        <w:tc>
          <w:tcPr>
            <w:tcW w:w="0" w:type="dxa"/>
            <w:vAlign w:val="bottom"/>
          </w:tcPr>
          <w:p>
            <w:pPr>
              <w:spacing w:after="0"/>
              <w:rPr>
                <w:sz w:val="1"/>
                <w:szCs w:val="1"/>
                <w:color w:val="auto"/>
              </w:rPr>
            </w:pPr>
          </w:p>
        </w:tc>
      </w:tr>
      <w:tr>
        <w:trPr>
          <w:trHeight w:val="243"/>
        </w:trPr>
        <w:tc>
          <w:tcPr>
            <w:tcW w:w="4460" w:type="dxa"/>
            <w:vAlign w:val="bottom"/>
            <w:gridSpan w:val="6"/>
          </w:tcPr>
          <w:p>
            <w:pPr>
              <w:ind w:left="40"/>
              <w:spacing w:after="0"/>
              <w:rPr>
                <w:sz w:val="20"/>
                <w:szCs w:val="20"/>
                <w:color w:val="auto"/>
              </w:rPr>
            </w:pPr>
            <w:r>
              <w:rPr>
                <w:rFonts w:ascii="Arial" w:cs="Arial" w:eastAsia="Arial" w:hAnsi="Arial"/>
                <w:sz w:val="18"/>
                <w:szCs w:val="18"/>
                <w:color w:val="auto"/>
              </w:rPr>
              <w:t>Capital expenditures</w:t>
            </w:r>
          </w:p>
        </w:tc>
        <w:tc>
          <w:tcPr>
            <w:tcW w:w="1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6,373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2,309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4,340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13,022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gridSpan w:val="6"/>
            <w:shd w:val="clear" w:color="auto" w:fill="CCEEFF"/>
          </w:tcPr>
          <w:p>
            <w:pPr>
              <w:ind w:left="40"/>
              <w:spacing w:after="0"/>
              <w:rPr>
                <w:sz w:val="20"/>
                <w:szCs w:val="20"/>
                <w:color w:val="auto"/>
              </w:rPr>
            </w:pPr>
            <w:r>
              <w:rPr>
                <w:rFonts w:ascii="Arial" w:cs="Arial" w:eastAsia="Arial" w:hAnsi="Arial"/>
                <w:sz w:val="16"/>
                <w:szCs w:val="16"/>
                <w:b w:val="1"/>
                <w:bCs w:val="1"/>
                <w:color w:val="auto"/>
              </w:rPr>
              <w:t>Six Months Ended April 30, 2018</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7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9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460" w:type="dxa"/>
            <w:vAlign w:val="bottom"/>
            <w:gridSpan w:val="6"/>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216,883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72,820</w:t>
            </w:r>
          </w:p>
        </w:tc>
        <w:tc>
          <w:tcPr>
            <w:tcW w:w="12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118,590</w:t>
            </w:r>
          </w:p>
        </w:tc>
        <w:tc>
          <w:tcPr>
            <w:tcW w:w="100" w:type="dxa"/>
            <w:vAlign w:val="bottom"/>
          </w:tcPr>
          <w:p>
            <w:pPr>
              <w:spacing w:after="0"/>
              <w:rPr>
                <w:sz w:val="21"/>
                <w:szCs w:val="21"/>
                <w:color w:val="auto"/>
              </w:rPr>
            </w:pPr>
          </w:p>
        </w:tc>
        <w:tc>
          <w:tcPr>
            <w:tcW w:w="240" w:type="dxa"/>
            <w:vAlign w:val="bottom"/>
          </w:tcPr>
          <w:p>
            <w:pPr>
              <w:jc w:val="right"/>
              <w:ind w:right="33"/>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(2,415)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405,878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4,976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26,583</w:t>
            </w:r>
          </w:p>
        </w:tc>
        <w:tc>
          <w:tcPr>
            <w:tcW w:w="0" w:type="dxa"/>
            <w:vAlign w:val="bottom"/>
          </w:tcPr>
          <w:p>
            <w:pPr>
              <w:spacing w:after="0"/>
              <w:rPr>
                <w:sz w:val="1"/>
                <w:szCs w:val="1"/>
                <w:color w:val="auto"/>
              </w:rPr>
            </w:pPr>
          </w:p>
        </w:tc>
      </w:tr>
      <w:tr>
        <w:trPr>
          <w:trHeight w:val="243"/>
        </w:trPr>
        <w:tc>
          <w:tcPr>
            <w:tcW w:w="4460" w:type="dxa"/>
            <w:vAlign w:val="bottom"/>
            <w:gridSpan w:val="6"/>
          </w:tcPr>
          <w:p>
            <w:pPr>
              <w:ind w:left="40"/>
              <w:spacing w:after="0"/>
              <w:rPr>
                <w:sz w:val="20"/>
                <w:szCs w:val="20"/>
                <w:color w:val="auto"/>
              </w:rPr>
            </w:pPr>
            <w:r>
              <w:rPr>
                <w:rFonts w:ascii="Arial" w:cs="Arial" w:eastAsia="Arial" w:hAnsi="Arial"/>
                <w:sz w:val="18"/>
                <w:szCs w:val="18"/>
                <w:color w:val="auto"/>
              </w:rPr>
              <w:t>Operating income (loss)</w:t>
            </w:r>
          </w:p>
        </w:tc>
        <w:tc>
          <w:tcPr>
            <w:tcW w:w="1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7,248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3,917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7,170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3,864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15,213</w:t>
            </w:r>
          </w:p>
        </w:tc>
        <w:tc>
          <w:tcPr>
            <w:tcW w:w="0" w:type="dxa"/>
            <w:vAlign w:val="bottom"/>
          </w:tcPr>
          <w:p>
            <w:pPr>
              <w:spacing w:after="0"/>
              <w:rPr>
                <w:sz w:val="1"/>
                <w:szCs w:val="1"/>
                <w:color w:val="auto"/>
              </w:rPr>
            </w:pPr>
          </w:p>
        </w:tc>
      </w:tr>
      <w:tr>
        <w:trPr>
          <w:trHeight w:val="203"/>
        </w:trPr>
        <w:tc>
          <w:tcPr>
            <w:tcW w:w="4460" w:type="dxa"/>
            <w:vAlign w:val="bottom"/>
            <w:gridSpan w:val="6"/>
          </w:tcPr>
          <w:p>
            <w:pPr>
              <w:ind w:left="40"/>
              <w:spacing w:after="0"/>
              <w:rPr>
                <w:sz w:val="20"/>
                <w:szCs w:val="20"/>
                <w:color w:val="auto"/>
              </w:rPr>
            </w:pPr>
            <w:r>
              <w:rPr>
                <w:rFonts w:ascii="Arial" w:cs="Arial" w:eastAsia="Arial" w:hAnsi="Arial"/>
                <w:sz w:val="16"/>
                <w:szCs w:val="16"/>
                <w:b w:val="1"/>
                <w:bCs w:val="1"/>
                <w:color w:val="auto"/>
              </w:rPr>
              <w:t>As of April 30, 2019</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237,450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218,963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240,203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707,042</w:t>
            </w:r>
          </w:p>
        </w:tc>
        <w:tc>
          <w:tcPr>
            <w:tcW w:w="0" w:type="dxa"/>
            <w:vAlign w:val="bottom"/>
          </w:tcPr>
          <w:p>
            <w:pPr>
              <w:spacing w:after="0"/>
              <w:rPr>
                <w:sz w:val="1"/>
                <w:szCs w:val="1"/>
                <w:color w:val="auto"/>
              </w:rPr>
            </w:pPr>
          </w:p>
        </w:tc>
      </w:tr>
      <w:tr>
        <w:trPr>
          <w:trHeight w:val="203"/>
        </w:trPr>
        <w:tc>
          <w:tcPr>
            <w:tcW w:w="4460" w:type="dxa"/>
            <w:vAlign w:val="bottom"/>
            <w:gridSpan w:val="6"/>
          </w:tcPr>
          <w:p>
            <w:pPr>
              <w:ind w:left="40"/>
              <w:spacing w:after="0"/>
              <w:rPr>
                <w:sz w:val="20"/>
                <w:szCs w:val="20"/>
                <w:color w:val="auto"/>
              </w:rPr>
            </w:pPr>
            <w:r>
              <w:rPr>
                <w:rFonts w:ascii="Arial" w:cs="Arial" w:eastAsia="Arial" w:hAnsi="Arial"/>
                <w:sz w:val="16"/>
                <w:szCs w:val="16"/>
                <w:b w:val="1"/>
                <w:bCs w:val="1"/>
                <w:color w:val="auto"/>
              </w:rPr>
              <w:t>As of October 31, 2018</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460" w:type="dxa"/>
            <w:vAlign w:val="bottom"/>
            <w:gridSpan w:val="6"/>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Total assets </w:t>
            </w:r>
            <w:r>
              <w:rPr>
                <w:rFonts w:ascii="Arial" w:cs="Arial" w:eastAsia="Arial" w:hAnsi="Arial"/>
                <w:sz w:val="25"/>
                <w:szCs w:val="25"/>
                <w:color w:val="auto"/>
                <w:vertAlign w:val="superscript"/>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239,915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214,704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272,313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16,282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743,214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ind w:left="600" w:hanging="187"/>
        <w:spacing w:after="0"/>
        <w:tabs>
          <w:tab w:leader="none" w:pos="600"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NA Fenestration and EU Fenestration were previously named "NA Engineered Components" and "EU Engineered Components".</w:t>
      </w:r>
    </w:p>
    <w:p>
      <w:pPr>
        <w:spacing w:after="0" w:line="323" w:lineRule="exact"/>
        <w:rPr>
          <w:rFonts w:ascii="Arial" w:cs="Arial" w:eastAsia="Arial" w:hAnsi="Arial"/>
          <w:sz w:val="22"/>
          <w:szCs w:val="22"/>
          <w:color w:val="auto"/>
          <w:vertAlign w:val="superscript"/>
        </w:rPr>
      </w:pPr>
    </w:p>
    <w:p>
      <w:pPr>
        <w:ind w:left="420" w:hanging="7"/>
        <w:spacing w:after="0" w:line="252" w:lineRule="auto"/>
        <w:tabs>
          <w:tab w:leader="none" w:pos="612"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Results have been updated to reflect the adoption of Accounting Standards Update 2017-07. For further details, see Note 15, "New Accounting Guidance", located herewith. Results have also been updated to reflect a decrease in corporate general and administrative allocations, as noted above.</w:t>
      </w:r>
    </w:p>
    <w:p>
      <w:pPr>
        <w:spacing w:after="0" w:line="310" w:lineRule="exact"/>
        <w:rPr>
          <w:rFonts w:ascii="Arial" w:cs="Arial" w:eastAsia="Arial" w:hAnsi="Arial"/>
          <w:sz w:val="22"/>
          <w:szCs w:val="22"/>
          <w:color w:val="auto"/>
          <w:vertAlign w:val="superscript"/>
        </w:rPr>
      </w:pPr>
    </w:p>
    <w:p>
      <w:pPr>
        <w:ind w:left="420" w:hanging="7"/>
        <w:spacing w:after="0" w:line="227" w:lineRule="auto"/>
        <w:tabs>
          <w:tab w:leader="none" w:pos="612" w:val="left"/>
        </w:tabs>
        <w:numPr>
          <w:ilvl w:val="0"/>
          <w:numId w:val="4"/>
        </w:numPr>
        <w:rPr>
          <w:rFonts w:ascii="Arial" w:cs="Arial" w:eastAsia="Arial" w:hAnsi="Arial"/>
          <w:sz w:val="24"/>
          <w:szCs w:val="24"/>
          <w:color w:val="auto"/>
          <w:vertAlign w:val="superscript"/>
        </w:rPr>
      </w:pPr>
      <w:r>
        <w:rPr>
          <w:rFonts w:ascii="Arial" w:cs="Arial" w:eastAsia="Arial" w:hAnsi="Arial"/>
          <w:sz w:val="17"/>
          <w:szCs w:val="17"/>
          <w:color w:val="auto"/>
        </w:rPr>
        <w:t>Total assets as of October 31, 2018 have been updated to reflect an accounting change to the FIFO inventory cost method. For further details, see Note 2, "Inventories", located herewith.</w:t>
      </w:r>
    </w:p>
    <w:p>
      <w:pPr>
        <w:spacing w:after="0" w:line="324"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following table summarizes the change in the carrying amount of goodwill by reportable business segment for the six months ended April 30, 2019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2"/>
              </w:rPr>
              <w:t>NA Fenestration</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1"/>
              </w:rPr>
              <w:t>EU Fenestration</w:t>
            </w:r>
          </w:p>
        </w:tc>
        <w:tc>
          <w:tcPr>
            <w:tcW w:w="120" w:type="dxa"/>
            <w:vAlign w:val="bottom"/>
            <w:vMerge w:val="restart"/>
          </w:tcPr>
          <w:p>
            <w:pPr>
              <w:spacing w:after="0"/>
              <w:rPr>
                <w:sz w:val="14"/>
                <w:szCs w:val="14"/>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NA Cabinet Comp.</w:t>
            </w:r>
          </w:p>
        </w:tc>
        <w:tc>
          <w:tcPr>
            <w:tcW w:w="100" w:type="dxa"/>
            <w:vAlign w:val="bottom"/>
            <w:vMerge w:val="restart"/>
          </w:tcPr>
          <w:p>
            <w:pPr>
              <w:spacing w:after="0"/>
              <w:rPr>
                <w:sz w:val="14"/>
                <w:szCs w:val="14"/>
                <w:color w:val="auto"/>
              </w:rPr>
            </w:pP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rPr>
              <w:t>Unallocated Corp.</w:t>
            </w:r>
          </w:p>
        </w:tc>
        <w:tc>
          <w:tcPr>
            <w:tcW w:w="300" w:type="dxa"/>
            <w:vAlign w:val="bottom"/>
          </w:tcPr>
          <w:p>
            <w:pPr>
              <w:spacing w:after="0"/>
              <w:rPr>
                <w:sz w:val="14"/>
                <w:szCs w:val="14"/>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&amp; Other</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October 31,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38,712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67,168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113,747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219,627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Asset impairment charge</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(29,978)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(29,978)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Balance as of April 30, 2019</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38,712</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68,157</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83,769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190,638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4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further details of Goodwill, see Note 3, "Goodwill &amp; Intangible Assets", located herewith.</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did not allocate non-operating loss or income tax benefit to the reportable segments. The following table reconciles operating (loss) income as reported above to net income for the six months ended April 30, 2019 and 2018:</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192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720" w:type="dxa"/>
            <w:vAlign w:val="bottom"/>
            <w:tcBorders>
              <w:bottom w:val="single" w:sz="8" w:color="auto"/>
            </w:tcBorders>
          </w:tcPr>
          <w:p>
            <w:pPr>
              <w:spacing w:after="0"/>
              <w:rPr>
                <w:sz w:val="24"/>
                <w:szCs w:val="24"/>
                <w:color w:val="auto"/>
              </w:rPr>
            </w:pPr>
          </w:p>
        </w:tc>
      </w:tr>
      <w:tr>
        <w:trPr>
          <w:trHeight w:val="264"/>
        </w:trPr>
        <w:tc>
          <w:tcPr>
            <w:tcW w:w="69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r>
      <w:tr>
        <w:trPr>
          <w:trHeight w:val="196"/>
        </w:trPr>
        <w:tc>
          <w:tcPr>
            <w:tcW w:w="6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gridSpan w:val="5"/>
          </w:tcPr>
          <w:p>
            <w:pPr>
              <w:ind w:left="3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(19,363)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7,767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(21,813)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7,170</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(4,943)</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689</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6,167</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(loss)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4,136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(27,623)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9,083</w:t>
            </w: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Earnings Per Share</w:t>
      </w:r>
    </w:p>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compute basic (loss) earnings per share by dividing net (loss) income by the weighted average number of common shares outstanding during the period. Diluted earnings per common and potential common shares include the weighted average of additional shares associated with the incremental effect of dilutive employee stock options, non-vested restricted stock as determined using the treasury stock method prescribed by U.S. GAAP and contingent shares associated with performance share awards, if dilutive.</w:t>
      </w:r>
    </w:p>
    <w:p>
      <w:pPr>
        <w:spacing w:after="0" w:line="106"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Basic and diluted loss per share was $0.73 and $0.84 for the three and six months ended April 30, 2019, respectively. The computation of diluted earnings per share excludes outstanding stock options and other common stock equivalents when their inclusion would be anti-dilutive. This is always the case when an entity incurs a net loss. During the three and six months ended April 30, 2019, 42,820 and 27,015 shares of common stock equivalents, respectively, and 104,044 and 99,707 shares of restricted stock, respectively, were excluded from the computation of diluted earnings per share. In addition, 31,470 potentially dilutive contingent shares related to performance share awards for each of the three and six months ended April 30, 2019 were excluded.</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Basic and diluted earnings per share for the three and six months ended April 30, 2018 were calculated as follows (in thousands, except per share data):</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 Income</w:t>
            </w:r>
          </w:p>
        </w:tc>
        <w:tc>
          <w:tcPr>
            <w:tcW w:w="1580" w:type="dxa"/>
            <w:vAlign w:val="bottom"/>
          </w:tcPr>
          <w:p>
            <w:pPr>
              <w:jc w:val="right"/>
              <w:ind w:right="134"/>
              <w:spacing w:after="0"/>
              <w:rPr>
                <w:sz w:val="20"/>
                <w:szCs w:val="20"/>
                <w:color w:val="auto"/>
              </w:rPr>
            </w:pPr>
            <w:r>
              <w:rPr>
                <w:rFonts w:ascii="Arial" w:cs="Arial" w:eastAsia="Arial" w:hAnsi="Arial"/>
                <w:sz w:val="14"/>
                <w:szCs w:val="14"/>
                <w:b w:val="1"/>
                <w:bCs w:val="1"/>
                <w:color w:val="auto"/>
              </w:rPr>
              <w:t>Weighted Average</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580" w:type="dxa"/>
            <w:vAlign w:val="bottom"/>
          </w:tcPr>
          <w:p>
            <w:pPr>
              <w:jc w:val="right"/>
              <w:ind w:right="494"/>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080" w:type="dxa"/>
            <w:vAlign w:val="bottom"/>
            <w:gridSpan w:val="3"/>
          </w:tcPr>
          <w:p>
            <w:pPr>
              <w:spacing w:after="0"/>
              <w:rPr>
                <w:sz w:val="20"/>
                <w:szCs w:val="20"/>
                <w:color w:val="auto"/>
              </w:rPr>
            </w:pPr>
            <w:r>
              <w:rPr>
                <w:rFonts w:ascii="Arial" w:cs="Arial" w:eastAsia="Arial" w:hAnsi="Arial"/>
                <w:sz w:val="16"/>
                <w:szCs w:val="16"/>
                <w:b w:val="1"/>
                <w:bCs w:val="1"/>
                <w:color w:val="auto"/>
              </w:rPr>
              <w:t>Three Months Ended April 30, 2018</w:t>
            </w:r>
          </w:p>
        </w:tc>
        <w:tc>
          <w:tcPr>
            <w:tcW w:w="26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3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600" w:type="dxa"/>
            <w:vAlign w:val="bottom"/>
          </w:tcPr>
          <w:p>
            <w:pPr>
              <w:spacing w:after="0"/>
              <w:rPr>
                <w:sz w:val="4"/>
                <w:szCs w:val="4"/>
                <w:color w:val="auto"/>
              </w:rPr>
            </w:pPr>
          </w:p>
        </w:tc>
        <w:tc>
          <w:tcPr>
            <w:tcW w:w="2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28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4,136</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34,796</w:t>
            </w:r>
          </w:p>
        </w:tc>
        <w:tc>
          <w:tcPr>
            <w:tcW w:w="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gridSpan w:val="3"/>
          </w:tcPr>
          <w:p>
            <w:pPr>
              <w:spacing w:after="0"/>
              <w:rPr>
                <w:sz w:val="20"/>
                <w:szCs w:val="20"/>
                <w:color w:val="auto"/>
              </w:rPr>
            </w:pPr>
            <w:r>
              <w:rPr>
                <w:rFonts w:ascii="Arial" w:cs="Arial" w:eastAsia="Arial" w:hAnsi="Arial"/>
                <w:sz w:val="18"/>
                <w:szCs w:val="18"/>
                <w:i w:val="1"/>
                <w:iCs w:val="1"/>
                <w:color w:val="auto"/>
              </w:rPr>
              <w:t>Effect of dilutive securities:</w:t>
            </w:r>
          </w:p>
        </w:tc>
        <w:tc>
          <w:tcPr>
            <w:tcW w:w="2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Stock options</w:t>
            </w:r>
          </w:p>
        </w:tc>
        <w:tc>
          <w:tcPr>
            <w:tcW w:w="2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Restricted stock awards</w:t>
            </w:r>
          </w:p>
        </w:tc>
        <w:tc>
          <w:tcPr>
            <w:tcW w:w="2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28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4,136</w:t>
            </w:r>
          </w:p>
        </w:tc>
        <w:tc>
          <w:tcPr>
            <w:tcW w:w="22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35,115</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w w:val="92"/>
              </w:rPr>
              <w:t>Six Months Ended April 30, 2018</w:t>
            </w:r>
          </w:p>
        </w:tc>
        <w:tc>
          <w:tcPr>
            <w:tcW w:w="178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0" w:type="dxa"/>
            <w:vAlign w:val="bottom"/>
          </w:tcPr>
          <w:p>
            <w:pPr>
              <w:spacing w:after="0"/>
              <w:rPr>
                <w:sz w:val="24"/>
                <w:szCs w:val="24"/>
                <w:color w:val="auto"/>
              </w:rPr>
            </w:pPr>
          </w:p>
        </w:tc>
        <w:tc>
          <w:tcPr>
            <w:tcW w:w="2300" w:type="dxa"/>
            <w:vAlign w:val="bottom"/>
            <w:tcBorders>
              <w:bottom w:val="single" w:sz="8" w:color="auto"/>
            </w:tcBorders>
            <w:vMerge w:val="continue"/>
          </w:tcPr>
          <w:p>
            <w:pPr>
              <w:spacing w:after="0"/>
              <w:rPr>
                <w:sz w:val="24"/>
                <w:szCs w:val="24"/>
                <w:color w:val="auto"/>
              </w:rPr>
            </w:pPr>
          </w:p>
        </w:tc>
        <w:tc>
          <w:tcPr>
            <w:tcW w:w="1780" w:type="dxa"/>
            <w:vAlign w:val="bottom"/>
            <w:gridSpan w:val="2"/>
            <w:vMerge w:val="continue"/>
          </w:tcPr>
          <w:p>
            <w:pPr>
              <w:spacing w:after="0"/>
              <w:rPr>
                <w:sz w:val="24"/>
                <w:szCs w:val="24"/>
                <w:color w:val="auto"/>
              </w:rPr>
            </w:pPr>
          </w:p>
        </w:tc>
        <w:tc>
          <w:tcPr>
            <w:tcW w:w="2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Basic earnings per common share</w:t>
            </w:r>
          </w:p>
        </w:tc>
        <w:tc>
          <w:tcPr>
            <w:tcW w:w="28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9,083</w:t>
            </w:r>
          </w:p>
        </w:tc>
        <w:tc>
          <w:tcPr>
            <w:tcW w:w="220" w:type="dxa"/>
            <w:vAlign w:val="bottom"/>
          </w:tcPr>
          <w:p>
            <w:pPr>
              <w:spacing w:after="0"/>
              <w:rPr>
                <w:sz w:val="24"/>
                <w:szCs w:val="24"/>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34,731</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i w:val="1"/>
                <w:iCs w:val="1"/>
                <w:color w:val="auto"/>
              </w:rPr>
              <w:t>Effect of dilutive securities:</w:t>
            </w:r>
          </w:p>
        </w:tc>
        <w:tc>
          <w:tcPr>
            <w:tcW w:w="2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Stock options</w:t>
            </w:r>
          </w:p>
        </w:tc>
        <w:tc>
          <w:tcPr>
            <w:tcW w:w="2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289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0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Restricted stock awards</w:t>
            </w:r>
          </w:p>
        </w:tc>
        <w:tc>
          <w:tcPr>
            <w:tcW w:w="26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Diluted earnings per common share</w:t>
            </w:r>
          </w:p>
        </w:tc>
        <w:tc>
          <w:tcPr>
            <w:tcW w:w="26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9,083</w:t>
            </w:r>
          </w:p>
        </w:tc>
        <w:tc>
          <w:tcPr>
            <w:tcW w:w="22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35,166</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20" w:type="dxa"/>
            <w:vAlign w:val="bottom"/>
            <w:vMerge w:val="restart"/>
          </w:tcPr>
          <w:p>
            <w:pPr>
              <w:jc w:val="right"/>
              <w:ind w:right="850"/>
              <w:spacing w:after="0"/>
              <w:rPr>
                <w:sz w:val="20"/>
                <w:szCs w:val="20"/>
                <w:color w:val="auto"/>
              </w:rPr>
            </w:pPr>
            <w:r>
              <w:rPr>
                <w:rFonts w:ascii="Arial" w:cs="Arial" w:eastAsia="Arial" w:hAnsi="Arial"/>
                <w:sz w:val="18"/>
                <w:szCs w:val="18"/>
                <w:color w:val="auto"/>
              </w:rPr>
              <w:t>22</w:t>
            </w: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37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had common stock equivalents that were potentially dilutive in future earnings per share calculations of 1,450,041 and 1,534,608 for the three and six months ended April 30, 2019, respectively, and 562,533 and 1,077,055, respectively, for the prior year comparable periods. Such dilution will be dependent on the excess of the market price of our stock over the exercise price and other components of the treasury stock method.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New Accounting Guidance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Recently Adopted</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In May 2017, the Financial Accounting Standards Board (FASB) issued Accounting Standards Update (ASU) No. 2017-09, </w:t>
      </w:r>
      <w:r>
        <w:rPr>
          <w:rFonts w:ascii="Arial" w:cs="Arial" w:eastAsia="Arial" w:hAnsi="Arial"/>
          <w:sz w:val="18"/>
          <w:szCs w:val="18"/>
          <w:i w:val="1"/>
          <w:iCs w:val="1"/>
          <w:color w:val="auto"/>
        </w:rPr>
        <w:t>Compensation - Stock</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(Topic 718)</w:t>
      </w:r>
      <w:r>
        <w:rPr>
          <w:rFonts w:ascii="Arial" w:cs="Arial" w:eastAsia="Arial" w:hAnsi="Arial"/>
          <w:sz w:val="18"/>
          <w:szCs w:val="18"/>
          <w:color w:val="auto"/>
        </w:rPr>
        <w:t>, which provides guidance as to when changes in share-based payment awards under Topic 718 should be accounted for as a</w:t>
      </w:r>
      <w:r>
        <w:rPr>
          <w:rFonts w:ascii="Arial" w:cs="Arial" w:eastAsia="Arial" w:hAnsi="Arial"/>
          <w:sz w:val="18"/>
          <w:szCs w:val="18"/>
          <w:i w:val="1"/>
          <w:iCs w:val="1"/>
          <w:color w:val="auto"/>
        </w:rPr>
        <w:t xml:space="preserve"> </w:t>
      </w:r>
      <w:r>
        <w:rPr>
          <w:rFonts w:ascii="Arial" w:cs="Arial" w:eastAsia="Arial" w:hAnsi="Arial"/>
          <w:sz w:val="18"/>
          <w:szCs w:val="18"/>
          <w:color w:val="auto"/>
        </w:rPr>
        <w:t>modification of the award. Essentially, the changes should be considered a modification unless specific criteria are met. We adopted this guidance as of November 1, 2018 with no impact to the financial statements.</w:t>
      </w:r>
    </w:p>
    <w:p>
      <w:pPr>
        <w:spacing w:after="0" w:line="106"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 xml:space="preserve">In March 2017, the FASB issued ASU No. 2017-07, </w:t>
      </w:r>
      <w:r>
        <w:rPr>
          <w:rFonts w:ascii="Arial" w:cs="Arial" w:eastAsia="Arial" w:hAnsi="Arial"/>
          <w:sz w:val="16"/>
          <w:szCs w:val="16"/>
          <w:i w:val="1"/>
          <w:iCs w:val="1"/>
          <w:color w:val="auto"/>
        </w:rPr>
        <w:t>Compensation - Retirement Benefits (Topic 715)</w:t>
      </w:r>
      <w:r>
        <w:rPr>
          <w:rFonts w:ascii="Arial" w:cs="Arial" w:eastAsia="Arial" w:hAnsi="Arial"/>
          <w:sz w:val="16"/>
          <w:szCs w:val="16"/>
          <w:color w:val="auto"/>
        </w:rPr>
        <w:t>, Improving the Presentation of Net Periodic Pension Cost and Net Periodic Postretirement Benefit Cost. This update provides explicit guidance on how to present the service cost component and other components of net benefit cost in the income statement and allows only the service cost component of net benefit cost to be eligible for capitalization. We adopted this change retrospectively as of November 1, 2018, resulting in a reclassification for the three and six months ended April 30, 2018 of $0.1 million and $0.4 million of benefit, respectively, from the "Cost of sales" line item and approximately $0.1 million of benefit for each of the same periods from the "Selling, general and administrative" line item to the "Other, net" line item on the accompanying condensed consolidated statement of income.</w:t>
      </w:r>
    </w:p>
    <w:p>
      <w:pPr>
        <w:spacing w:after="0" w:line="8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In January 2017, the FASB issued ASU 2017-01, </w:t>
      </w:r>
      <w:r>
        <w:rPr>
          <w:rFonts w:ascii="Arial" w:cs="Arial" w:eastAsia="Arial" w:hAnsi="Arial"/>
          <w:sz w:val="18"/>
          <w:szCs w:val="18"/>
          <w:i w:val="1"/>
          <w:iCs w:val="1"/>
          <w:color w:val="auto"/>
        </w:rPr>
        <w:t>Business Combinations (Topic 805)</w:t>
      </w:r>
      <w:r>
        <w:rPr>
          <w:rFonts w:ascii="Arial" w:cs="Arial" w:eastAsia="Arial" w:hAnsi="Arial"/>
          <w:sz w:val="18"/>
          <w:szCs w:val="18"/>
          <w:color w:val="auto"/>
        </w:rPr>
        <w:t>, which provides clarity when determining whether a set of assets and activities constitutes a business. Specifically, if substantially all of the fair value of the gross assets acquired (or disposed of) is concentrated in a single identifiable asset or a group of similar identifiable assets, the set is not deemed to be a business. We adopted this change prospectively as of November 1, 2018 with no impact to the financial statements.</w:t>
      </w:r>
    </w:p>
    <w:p>
      <w:pPr>
        <w:spacing w:after="0" w:line="106"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In January 2017, the FASB issued ASU 2017-04, Intangibles - Goodwill and Other (Topic 350). This guidance simplifies the current two-step goodwill impairment test by eliminating the second step. Essentially, the entity compares the fair value of a reporting unit with its carrying value amount and recognizes an impairment charge for the amount by which the carrying value exceeds the fair value. The resulting loss is limited to the amount of goodwill. This guidance also eliminates the requirement for a reporting unit with zero or negative carrying value to perform a qualitative assessment of goodwill and apply step-two of the goodwill impairment test if the qualitative assessment fails. Thus, the same impairment assessment will be applied to all reporting units (even if the carrying value is zero or negative). We prospectively adopted this guidance as of February 1, 2019 with no material impact to the consolidated financial statements. See Note 3, "Goodwill &amp; Intangible Assets," for further details of the goodwill impairment analysis performed during the three months ended April 30, 2019.</w:t>
      </w:r>
    </w:p>
    <w:p>
      <w:pPr>
        <w:spacing w:after="0" w:line="11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Classification of Certain Cash Receipts and Cash</w:t>
      </w:r>
      <w:r>
        <w:rPr>
          <w:rFonts w:ascii="Arial" w:cs="Arial" w:eastAsia="Arial" w:hAnsi="Arial"/>
          <w:sz w:val="18"/>
          <w:szCs w:val="18"/>
          <w:color w:val="auto"/>
        </w:rPr>
        <w:t xml:space="preserve"> </w:t>
      </w:r>
      <w:r>
        <w:rPr>
          <w:rFonts w:ascii="Arial" w:cs="Arial" w:eastAsia="Arial" w:hAnsi="Arial"/>
          <w:sz w:val="18"/>
          <w:szCs w:val="18"/>
          <w:i w:val="1"/>
          <w:iCs w:val="1"/>
          <w:color w:val="auto"/>
        </w:rPr>
        <w:t>Payments</w:t>
      </w:r>
      <w:r>
        <w:rPr>
          <w:rFonts w:ascii="Arial" w:cs="Arial" w:eastAsia="Arial" w:hAnsi="Arial"/>
          <w:sz w:val="18"/>
          <w:szCs w:val="18"/>
          <w:color w:val="auto"/>
        </w:rPr>
        <w:t>. This amendment is intended to reduce diversity in practice as to how certain cash receipts and cash payments are presented and classified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of cash flows by providing guidance for several specific cash flow issues. We adopted this change retrospectively as of November 1, 2018 with no impact to the financial statements.</w:t>
      </w:r>
    </w:p>
    <w:p>
      <w:pPr>
        <w:spacing w:after="0" w:line="106"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In May 2014, the FASB issued ASU No. 2014-09, Revenue from Contracts with Customers. This guidance prescribes a methodology to determine when revenue is recognizable and constitutes a principles-based approach to revenue recognition based on the consideration to which the entity expects to be entitled in exchange for goods or services. In addition, this guidance requires additional disclosure in the notes to the financial statements with regard to the methodology applied. This pronouncement essentially superseded and replaced existing revenue recognition rules in U.S. GAAP, including industry-specific guidance. We adopted this guidance using the modified retrospective approach on November 1, 2018. Based on our evaluation, we have concluded that the adoption of this new guidance did not have a material impact on our consolidated financial statements. For additional information, refer to Note 1, “Nature of Operations and Basis of Presentation - Revenue from Contracts with Customers”.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Not Yet Adopted</w:t>
      </w:r>
    </w:p>
    <w:p>
      <w:pPr>
        <w:spacing w:after="0" w:line="14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 Amendments to the Accounting Standards Codification</w:t>
      </w:r>
      <w:r>
        <w:rPr>
          <w:rFonts w:ascii="Arial" w:cs="Arial" w:eastAsia="Arial" w:hAnsi="Arial"/>
          <w:sz w:val="18"/>
          <w:szCs w:val="18"/>
          <w:color w:val="auto"/>
        </w:rPr>
        <w:t>. These amendments replace current guidance and require the recognition of lease assets and lease liabilities by lessees for those leases classified as operating leases under previous U.S. GAAP. The amendments apply to any entity that enters into leasing arrangements. This guidance becomes effective for fiscal years beginning after December 15, 2018, and, therefore, we will adopt this pronouncement in fiscal 2020 using the current period adjustment method approved by the FASB in March 2018. This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3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method allows us to not restate comparative periods and instead apply the new standard on a prospective basis as of the date of adoption. Under this method, a cumulative-effect adjustment is recorded to retained earnings as of the beginning of the period of adoption. We are currently in the process of gathering and reviewing our contracts, as well as reviewing our current accounting policies, controls, processes and disclosures that will change as a result of adopting this new standard. We are also evaluating the practical expedients available to us within the new guidance so that we can make a determination on which practical expedients to adopt. While our evaluation is still in process, we expect the adoption to have a significant impact on our Consolidated Balance Sheet.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Unless the context indicates otherwise, references to "Quanex", the "Company", "we", "us" and "our" refer to the consolidated business operations of Quanex Building Products Corporation and its subsidiaries.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 xml:space="preserve">Certain of the statements contained in this document and in documents incorporated by reference herein, including those made under the caption </w:t>
      </w: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are “forward-looking” statements as defined under the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Litigation Reform Act of 1995. Generally, the words “expect,” “believe,” “intend,” “estimate,” “anticipate,” “project,” “will” and similar expressions identify forward-looking statements, which generally are not historical in nature. Forward looking statements are (1) all statements which address future operating performance, (2) events or developments that we expect or anticipate will occur in the future, including statements relating to volume, sales, operating income and earnings per share, and (3) statements expressing general outlook about future operating results. Forward-looking statements are subject to certain risks and uncertainties that could cause actual results to differ materially from our historical experience and our current projections or expectations. As and when made, we believe that these forward-looking statements are reasonable. However, caution should be taken not to place undue reliance on any such forward-looking statements since such statements speak only as of the date when made and there can be no assurance that such forward-looking statements will occur. We are not obligated to publicly update or revise any forward-looking statements, whether as a result of new information, future events or otherwise.</w:t>
      </w:r>
    </w:p>
    <w:p>
      <w:pPr>
        <w:spacing w:after="0" w:line="13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Factors that could cause actual results to differ materially from those expressed or implied by the forward-looking statements include, but are not limited to the following:</w:t>
      </w:r>
    </w:p>
    <w:p>
      <w:pPr>
        <w:spacing w:after="0" w:line="22" w:lineRule="exact"/>
        <w:rPr>
          <w:sz w:val="20"/>
          <w:szCs w:val="20"/>
          <w:color w:val="auto"/>
        </w:rPr>
      </w:pPr>
    </w:p>
    <w:p>
      <w:pPr>
        <w:ind w:left="660" w:right="20" w:hanging="166"/>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market conditions, particularly in the new home construction, and residential remodeling and replacement (R&amp;R) activity markets in the U.S., U.K. and Germany;</w:t>
      </w:r>
    </w:p>
    <w:p>
      <w:pPr>
        <w:spacing w:after="0" w:line="48" w:lineRule="exact"/>
        <w:rPr>
          <w:rFonts w:ascii="Arial" w:cs="Arial" w:eastAsia="Arial" w:hAnsi="Arial"/>
          <w:sz w:val="18"/>
          <w:szCs w:val="18"/>
          <w:color w:val="auto"/>
        </w:rPr>
      </w:pPr>
    </w:p>
    <w:p>
      <w:pPr>
        <w:ind w:left="660" w:hanging="16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non-pass-through raw material costs;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domestic and international economic conditions;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purchases by our principal customers;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an effective system of internal controls;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implement our internal operating plans and acquisition strategies;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implement our plans with respect to information technology (IT) systems and processes;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control costs and increase profitability;</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environmental laws and regulations;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warranty obligations;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energy costs;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tax laws, and interpretations thereof;</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service our debt facilities and remain in good standing with our lenders;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availability or applicability of our insurance coverage;</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a good relationship with our suppliers, subcontractors, and key customers; and</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resolution of litigation and other legal proceedings.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For information on additional factors that could cause actual results to differ materially, please refer to the section entitled </w:t>
      </w:r>
      <w:r>
        <w:rPr>
          <w:rFonts w:ascii="Arial" w:cs="Arial" w:eastAsia="Arial" w:hAnsi="Arial"/>
          <w:sz w:val="18"/>
          <w:szCs w:val="18"/>
          <w:i w:val="1"/>
          <w:iCs w:val="1"/>
          <w:color w:val="auto"/>
        </w:rPr>
        <w:t>“Item 1A. Risk Factors</w:t>
      </w:r>
      <w:r>
        <w:rPr>
          <w:rFonts w:ascii="Arial" w:cs="Arial" w:eastAsia="Arial" w:hAnsi="Arial"/>
          <w:sz w:val="18"/>
          <w:szCs w:val="18"/>
          <w:color w:val="auto"/>
        </w:rPr>
        <w:t>” in our Annual Report on Form 10-K for the fiscal year ended October 31, 2018.</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Third-Party Information</w:t>
      </w:r>
    </w:p>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this report, we rely on and refer to information regarding industry data obtained from market research, publicly available information, industry publications, U.S. government sources and other third parties. Although we believe this information is reliable, we cannot guarantee the accuracy or completeness of the information and have not independently verified it.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discussion and analysis should be read in conjunction with the accompanying unaudited condensed consolidated financial statements and related notes as of April 30, 2019, and for the six months ended April 30, 2019 and 2018, included elsewhere herein. For additional information pertaining to our business, including risk factors which should be considered before investing in our common stock, refer to our Annual Report on Form 10-K for the fiscal year ended October 31, 2018.</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manufacture components for original equipment manufacturers (OEMs) in the building products industry. These components can be categorized as window and door (fenestration) components and kitchen and bath cabinet components. Examples of fenestration components include (1) energy-efficient flexible insulating glass spacers, (2) extruded vinyl profiles, (3) window and door screens, and (4) precision-formed metal and wood products. We also manufacture cabinet doors and other components for OEMs in the kitchen and bathroom cabinet industry. In addition, we provide certain other non-fenestration components and products, which include solar panel sealants, trim moldings, vinyl decking, fencing, water retention barriers, and conservatory roof components. We use low-cost, short lead-time production processes and engineering expertise to provide our customers with specialized products for their specific window, door, and cabinet applications. We believe these capabilities provide us with unique competitive advantages. We serve a primary customer base in North America and the U.K., and also serve customers in international markets through our operating plants in the U.K. and Germany, as well as through sales and marketing efforts in other countries.</w:t>
      </w:r>
    </w:p>
    <w:p>
      <w:pPr>
        <w:spacing w:after="0" w:line="128" w:lineRule="exact"/>
        <w:rPr>
          <w:sz w:val="20"/>
          <w:szCs w:val="20"/>
          <w:color w:val="auto"/>
        </w:rPr>
      </w:pPr>
    </w:p>
    <w:p>
      <w:pPr>
        <w:jc w:val="both"/>
        <w:ind w:firstLine="392"/>
        <w:spacing w:after="0" w:line="287" w:lineRule="auto"/>
        <w:rPr>
          <w:sz w:val="20"/>
          <w:szCs w:val="20"/>
          <w:color w:val="auto"/>
        </w:rPr>
      </w:pPr>
      <w:r>
        <w:rPr>
          <w:rFonts w:ascii="Arial" w:cs="Arial" w:eastAsia="Arial" w:hAnsi="Arial"/>
          <w:sz w:val="16"/>
          <w:szCs w:val="16"/>
          <w:color w:val="auto"/>
        </w:rPr>
        <w:t>We currently have three reportable business segments: (1) North American Fenestration segment (NA Fenestration), comprising four operating segments primarily focused on the fenestration market in North America manufacturing vinyl profiles, insulating glass spacers, screens &amp; other fenestration components; (2) European Fenestration segment (EU Fenestration), comprising our U.K.-based vinyl extrusion business, manufacturing vinyl profiles and conservatories, and the European insulating glass business manufacturing insulating glass spacers; and (3) North American Cabinet Components segment (NA Cabinet Components), comprising our cabinet door and components operations. We maintain a grouping called Unallocated Corporate &amp; Other, which includes transaction expenses, stock-based compensation, long-term incentive awards based on performance of our common stock and other factors, certain severance and legal costs not allocable to our operating segments, depreciation of corporate assets, interest expense, other, net, income taxes and inter-segment eliminations, and beginning in 2018, executive incentive compensation and medical expense fluctuations relative to planned costs as determined during the annual planning process. Other corporate general and administrative costs have been allocated to the reportable business segments, based upon a relative measure of profitability in order to more accurately reflect each reportable business segment's administrative costs. The accounting policies of our operating segments are the same as those used to prepare our accompanying condensed consolidated financial statements.</w:t>
      </w:r>
    </w:p>
    <w:p>
      <w:pPr>
        <w:spacing w:after="0" w:line="119"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In an effort to focus on protecting margins and improving cash flows, we implemented a strategy to reduce our sales volume with certain low-margin customers. During 2017, we rationalized capacity and closed two U.S. vinyl plants and two cabinet door plants, relocating assets to improve overall operational efficiency. Pursuant to these restructuring efforts, we expensed $0.1 million and $0.2 million during the three and six months ended April 30, 2019 and $0.2 million and $0.6 million for the comparable prior year periods.</w:t>
      </w:r>
    </w:p>
    <w:p>
      <w:pPr>
        <w:spacing w:after="0" w:line="13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continue to invest in organic growth initiatives, enhance our product offerings, provide new complementary technology, enhance our leadership position within the markets we serve, and expand into new markets or service lines. We have disposed of non-core businesses in the past, and continue to evaluate our business portfolio to ensure that we are investing in markets where we believe there is potential future growth.</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Transactions and Events</w:t>
      </w:r>
    </w:p>
    <w:p>
      <w:pPr>
        <w:spacing w:after="0" w:line="171"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On December 22, 2017, President Trump signed into law a sweeping tax reform bill which includes the following provisions which impact U.S. corporations: (1) reduction of the statutory federal corporate tax rate from 35% to 21%; (2) shifting to a territorial tax system in which foreign earnings could be repatriated through a 100% dividends received deduction; (3) imposing a one-time tax on un-repatriated earnings of 15.5% on cash and 8% on other assets;</w:t>
      </w:r>
    </w:p>
    <w:p>
      <w:pPr>
        <w:jc w:val="both"/>
        <w:ind w:firstLine="8"/>
        <w:spacing w:after="0" w:line="252" w:lineRule="auto"/>
        <w:tabs>
          <w:tab w:leader="none" w:pos="259" w:val="left"/>
        </w:tabs>
        <w:numPr>
          <w:ilvl w:val="0"/>
          <w:numId w:val="6"/>
        </w:numPr>
        <w:rPr>
          <w:rFonts w:ascii="Arial" w:cs="Arial" w:eastAsia="Arial" w:hAnsi="Arial"/>
          <w:sz w:val="18"/>
          <w:szCs w:val="18"/>
          <w:color w:val="auto"/>
        </w:rPr>
      </w:pPr>
      <w:r>
        <w:rPr>
          <w:rFonts w:ascii="Arial" w:cs="Arial" w:eastAsia="Arial" w:hAnsi="Arial"/>
          <w:sz w:val="18"/>
          <w:szCs w:val="18"/>
          <w:color w:val="auto"/>
        </w:rPr>
        <w:t>doubling bonus depreciation to 100% for five years and allowing used property to qualify; (5) limiting net interest expense deductions to 30% of adjusted taxable income; (6) limiting NOL deductions to 80% of taxable income; and (7) repealing the corporate alternative minimum tax. We made an initial assessment of this new tax law and recorded a discrete benefit of $6.5 million, which included a charge of $1.2 million for the one-time mandatory transition tax on deemed repatriation of previously tax-deferred and unremitted foreign earnings during the fiscal year ended October 31, 2018. We completed the accounting for the income tax effects of the act and recorded a benefit of $0.2 million for the re-measurement of the one-time mandatory transition tax during six months ended April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Overview and Outlook</w:t>
      </w:r>
    </w:p>
    <w:p>
      <w:pPr>
        <w:spacing w:after="0" w:line="14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believe the primary drivers of our operating results continue to be North American new home construction and residential remodeling and replacement (R&amp;R) activity. We believe that housing starts and window shipments are indicators of activity levels in the homebuilding and window industries, and we use this data, as published by or derived from third-party sources, to evaluate the market. We have historically evaluated the market using data from the National Association of Homebuilders (NAHB) with regard to housing starts, and published reports by Ducker Worldwide, LLC (Ducker), a consulting and research firm, with regard to window shipments in the U.S. We obtain market data from Freedonia Group and Catalina Research and KCMA, each a consulting and research firm, for insight into the U.S. residential wood cabinet demand.</w:t>
      </w:r>
    </w:p>
    <w:p>
      <w:pPr>
        <w:spacing w:after="0" w:line="124"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Reports and forecasts from these sources indicate continued growth in the markets we serve. The NAHB has forecasted calendar-year housing starts (excluding manufactured units) to increase slightly through 2021. Ducker indicated that window shipments in the R&amp;R market are expected to increase 1% through 2020 and remain flat during 2021. Derived from reports published by Ducker, the overall growth in window shipments for the trailing twelve months ended March 31, 2019 was 0.9%, During this period, growth in R&amp;R activity and new construction increased 0.9% and 0.8%, respectively. Catalina Research estimates residential semi-custom cabinet demand in the U.S. to grow approximately 3% annually through 2020.</w:t>
      </w:r>
    </w:p>
    <w:p>
      <w:pPr>
        <w:spacing w:after="0" w:line="91"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We utilize several commodities in our business for which pricing can fluctuate, including polyvinyl resin (PVC), titanium dioxide (TiO2), petroleum products, aluminum and wood. For the majority of our customers and critical suppliers, we have price adjusters in place which effectively share the base pass-through price changes for our primary commodities with our customers commensurate with the market at large. Our long-term exposure to these price fluctuations is somewhat mitigated due to the contractual component of the adjuster program. However, these adjusters are not in place with all customers and for all commodities, and there is a level of exposure to such volatility due to the lag associated with the timing of price updates in accordance with our customer agreements, particularly with regard to hardwoods. In addition, some of these commodities, such as silicone, are in high demand, particularly in Europe, which can affect the cost of the raw materials, a portion of which we may not be able to fully recover.</w:t>
      </w:r>
    </w:p>
    <w:p>
      <w:pPr>
        <w:spacing w:after="0" w:line="97"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7"/>
          <w:szCs w:val="17"/>
          <w:color w:val="auto"/>
        </w:rPr>
        <w:t>On June 23, 2016, voters in the U.K. voted for the U.K. to exit the European Union (E.U.) (referred to as Brexit). The U.K. is currently due to leave the E.U. on October 31, 2019, but the actual timing, terms of its withdrawal and the nature of its future with the E.U. are still being debated. Since the 2016 vote, the primary impact on Quanex’s financial performance has been related to foreign currency fluctuations of the British Pound Sterling. This fluctuation has driven foreign currency translation impacts, as well as raw material cost increases from upstream suppliers located outside of the U.K.</w:t>
      </w:r>
    </w:p>
    <w:p>
      <w:pPr>
        <w:spacing w:after="0" w:line="90"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auto"/>
        </w:rPr>
        <w:t>Given the lack of comparable precedent, it is difficult for us to predict the future impacts on our U.K. based operations, which accounted for approximately 14% of our total sales for the year ended October 31, 2018. Due to the fact that we manufacture and sell a majority of our U.K. products within the U.K., there is minimal risk to our ability to physically deliver goods and complete sales. As such, we believe we are well positioned within the U.K. to respond to potential changes to underlying demand as a result of the final Brexit outcome. The primary focus for our U.K. operations centers on the availability and pricing of raw materials. While we source the majority of our raw materials from within the U.K., many of the primary upstream raw materials our vendors utilize are being sourced from outside of the U.K., which could expose us to cross-border issues and raw material price impacts due to foreign currency volatility. If the U.K. exits the E.U. without an agreement (referred to as a hard Brexit), there could be complete closure of the U.K. border which could have wide-spread negative ramifications for the U.K. We do not expect a full closure to occur and instead assume at a minimum that trading with certain countries will continue uninterrupted. Since we purchase the same raw materials utilized in our U.K. facilities at our other non-U.K. facilities and source raw materials from multiple countries, we are prepared to utilize our existing Quanex-wide supply infrastructure to minimize potential supply disruptions as much as possible.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April 30, 2019 Compared to Three Months Ended April 30, 2018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gridSpan w:val="4"/>
          </w:tcPr>
          <w:p>
            <w:pPr>
              <w:jc w:val="right"/>
              <w:spacing w:after="0"/>
              <w:rPr>
                <w:sz w:val="20"/>
                <w:szCs w:val="20"/>
                <w:color w:val="auto"/>
              </w:rPr>
            </w:pPr>
            <w:r>
              <w:rPr>
                <w:rFonts w:ascii="Arial" w:cs="Arial" w:eastAsia="Arial" w:hAnsi="Arial"/>
                <w:sz w:val="16"/>
                <w:szCs w:val="16"/>
                <w:b w:val="1"/>
                <w:bCs w:val="1"/>
                <w:color w:val="auto"/>
                <w:w w:val="95"/>
              </w:rPr>
              <w:t>Three Months Ended April 30,</w:t>
            </w:r>
          </w:p>
        </w:tc>
        <w:tc>
          <w:tcPr>
            <w:tcW w:w="1380" w:type="dxa"/>
            <w:vAlign w:val="bottom"/>
          </w:tcPr>
          <w:p>
            <w:pPr>
              <w:spacing w:after="0"/>
              <w:rPr>
                <w:sz w:val="18"/>
                <w:szCs w:val="18"/>
                <w:color w:val="auto"/>
              </w:rPr>
            </w:pPr>
          </w:p>
        </w:tc>
      </w:tr>
      <w:tr>
        <w:trPr>
          <w:trHeight w:val="33"/>
        </w:trPr>
        <w:tc>
          <w:tcPr>
            <w:tcW w:w="6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8"/>
        </w:trPr>
        <w:tc>
          <w:tcPr>
            <w:tcW w:w="64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Change $</w:t>
            </w:r>
          </w:p>
        </w:tc>
        <w:tc>
          <w:tcPr>
            <w:tcW w:w="13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 Variance</w:t>
            </w:r>
          </w:p>
        </w:tc>
      </w:tr>
      <w:tr>
        <w:trPr>
          <w:trHeight w:val="250"/>
        </w:trPr>
        <w:tc>
          <w:tcPr>
            <w:tcW w:w="6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2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(Dollars in millions)</w:t>
            </w:r>
          </w:p>
        </w:tc>
        <w:tc>
          <w:tcPr>
            <w:tcW w:w="1380" w:type="dxa"/>
            <w:vAlign w:val="bottom"/>
          </w:tcPr>
          <w:p>
            <w:pPr>
              <w:spacing w:after="0"/>
              <w:rPr>
                <w:sz w:val="21"/>
                <w:szCs w:val="21"/>
                <w:color w:val="auto"/>
              </w:rPr>
            </w:pPr>
          </w:p>
        </w:tc>
      </w:tr>
      <w:tr>
        <w:trPr>
          <w:trHeight w:val="256"/>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Cost of sales (excluding depreciation and amortization)</w:t>
            </w: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171.4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169.0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Restructuring charges</w:t>
            </w: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c>
          <w:tcPr>
            <w:tcW w:w="1380" w:type="dxa"/>
            <w:vAlign w:val="bottom"/>
          </w:tcPr>
          <w:p>
            <w:pPr>
              <w:jc w:val="right"/>
              <w:spacing w:after="0"/>
              <w:rPr>
                <w:sz w:val="20"/>
                <w:szCs w:val="20"/>
                <w:color w:val="auto"/>
              </w:rPr>
            </w:pPr>
            <w:r>
              <w:rPr>
                <w:rFonts w:ascii="Arial" w:cs="Arial" w:eastAsia="Arial" w:hAnsi="Arial"/>
                <w:sz w:val="18"/>
                <w:szCs w:val="18"/>
                <w:color w:val="auto"/>
              </w:rPr>
              <w:t>50 %</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Asset impairment charges</w:t>
            </w: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30.0</w:t>
            </w:r>
          </w:p>
        </w:tc>
        <w:tc>
          <w:tcPr>
            <w:tcW w:w="13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6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44"/>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c>
          <w:tcPr>
            <w:tcW w:w="13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(0.6)</w:t>
            </w:r>
          </w:p>
        </w:tc>
        <w:tc>
          <w:tcPr>
            <w:tcW w:w="13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6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57"/>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w:t>
            </w:r>
          </w:p>
        </w:tc>
      </w:tr>
      <w:tr>
        <w:trPr>
          <w:trHeight w:val="20"/>
        </w:trPr>
        <w:tc>
          <w:tcPr>
            <w:tcW w:w="6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period-over-period results by reportable segment follow.</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Related to Operating Income by Reportable Segment: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NA Fenestration</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4"/>
          </w:tcPr>
          <w:p>
            <w:pPr>
              <w:jc w:val="right"/>
              <w:ind w:right="113"/>
              <w:spacing w:after="0"/>
              <w:rPr>
                <w:sz w:val="20"/>
                <w:szCs w:val="20"/>
                <w:color w:val="auto"/>
              </w:rPr>
            </w:pPr>
            <w:r>
              <w:rPr>
                <w:rFonts w:ascii="Arial" w:cs="Arial" w:eastAsia="Arial" w:hAnsi="Arial"/>
                <w:sz w:val="16"/>
                <w:szCs w:val="16"/>
                <w:b w:val="1"/>
                <w:bCs w:val="1"/>
                <w:color w:val="auto"/>
                <w:w w:val="93"/>
              </w:rPr>
              <w:t>Three Months Ended April 30,</w:t>
            </w:r>
          </w:p>
        </w:tc>
        <w:tc>
          <w:tcPr>
            <w:tcW w:w="124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64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8"/>
              </w:rPr>
              <w:t>$ Change</w:t>
            </w: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 Variance</w:t>
            </w:r>
          </w:p>
        </w:tc>
      </w:tr>
      <w:tr>
        <w:trPr>
          <w:trHeight w:val="173"/>
        </w:trPr>
        <w:tc>
          <w:tcPr>
            <w:tcW w:w="6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gridSpan w:val="4"/>
          </w:tcPr>
          <w:p>
            <w:pPr>
              <w:jc w:val="right"/>
              <w:ind w:right="633"/>
              <w:spacing w:after="0"/>
              <w:rPr>
                <w:sz w:val="20"/>
                <w:szCs w:val="20"/>
                <w:color w:val="auto"/>
              </w:rPr>
            </w:pPr>
            <w:r>
              <w:rPr>
                <w:rFonts w:ascii="Arial" w:cs="Arial" w:eastAsia="Arial" w:hAnsi="Arial"/>
                <w:sz w:val="13"/>
                <w:szCs w:val="13"/>
                <w:b w:val="1"/>
                <w:bCs w:val="1"/>
                <w:color w:val="auto"/>
              </w:rPr>
              <w:t>(Dollars in millions)</w:t>
            </w:r>
          </w:p>
        </w:tc>
        <w:tc>
          <w:tcPr>
            <w:tcW w:w="1240" w:type="dxa"/>
            <w:vAlign w:val="bottom"/>
          </w:tcPr>
          <w:p>
            <w:pPr>
              <w:spacing w:after="0"/>
              <w:rPr>
                <w:sz w:val="15"/>
                <w:szCs w:val="15"/>
                <w:color w:val="auto"/>
              </w:rPr>
            </w:pPr>
          </w:p>
        </w:tc>
      </w:tr>
      <w:tr>
        <w:trPr>
          <w:trHeight w:val="259"/>
        </w:trPr>
        <w:tc>
          <w:tcPr>
            <w:tcW w:w="6400" w:type="dxa"/>
            <w:vAlign w:val="bottom"/>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114.2</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1240" w:type="dxa"/>
            <w:vAlign w:val="bottom"/>
          </w:tcPr>
          <w:p>
            <w:pPr>
              <w:jc w:val="center"/>
              <w:ind w:left="33"/>
              <w:spacing w:after="0"/>
              <w:rPr>
                <w:sz w:val="20"/>
                <w:szCs w:val="20"/>
                <w:color w:val="auto"/>
              </w:rPr>
            </w:pPr>
            <w:r>
              <w:rPr>
                <w:rFonts w:ascii="Arial" w:cs="Arial" w:eastAsia="Arial" w:hAnsi="Arial"/>
                <w:sz w:val="18"/>
                <w:szCs w:val="18"/>
                <w:color w:val="auto"/>
                <w:w w:val="92"/>
              </w:rPr>
              <w:t>1%</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(excluding 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w:t>
            </w:r>
          </w:p>
        </w:tc>
        <w:tc>
          <w:tcPr>
            <w:tcW w:w="1240" w:type="dxa"/>
            <w:vAlign w:val="bottom"/>
            <w:tcBorders>
              <w:bottom w:val="single" w:sz="8" w:color="CCEEFF"/>
            </w:tcBorders>
            <w:shd w:val="clear" w:color="auto" w:fill="CCEEFF"/>
          </w:tcPr>
          <w:p>
            <w:pPr>
              <w:jc w:val="center"/>
              <w:ind w:left="33"/>
              <w:spacing w:after="0"/>
              <w:rPr>
                <w:sz w:val="20"/>
                <w:szCs w:val="20"/>
                <w:color w:val="auto"/>
              </w:rPr>
            </w:pPr>
            <w:r>
              <w:rPr>
                <w:rFonts w:ascii="Arial" w:cs="Arial" w:eastAsia="Arial" w:hAnsi="Arial"/>
                <w:sz w:val="18"/>
                <w:szCs w:val="18"/>
                <w:color w:val="auto"/>
                <w:w w:val="94"/>
              </w:rPr>
              <w:t>(2)%</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1240" w:type="dxa"/>
            <w:vAlign w:val="bottom"/>
          </w:tcPr>
          <w:p>
            <w:pPr>
              <w:jc w:val="center"/>
              <w:ind w:left="33"/>
              <w:spacing w:after="0"/>
              <w:rPr>
                <w:sz w:val="20"/>
                <w:szCs w:val="20"/>
                <w:color w:val="auto"/>
              </w:rPr>
            </w:pPr>
            <w:r>
              <w:rPr>
                <w:rFonts w:ascii="Arial" w:cs="Arial" w:eastAsia="Arial" w:hAnsi="Arial"/>
                <w:sz w:val="18"/>
                <w:szCs w:val="18"/>
                <w:color w:val="auto"/>
                <w:w w:val="92"/>
              </w:rPr>
              <w:t>8%</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4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94"/>
              </w:rPr>
              <w:t>50%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40" w:type="dxa"/>
            <w:vAlign w:val="bottom"/>
          </w:tcPr>
          <w:p>
            <w:pPr>
              <w:jc w:val="center"/>
              <w:ind w:left="13"/>
              <w:spacing w:after="0"/>
              <w:rPr>
                <w:sz w:val="20"/>
                <w:szCs w:val="20"/>
                <w:color w:val="auto"/>
              </w:rPr>
            </w:pPr>
            <w:r>
              <w:rPr>
                <w:rFonts w:ascii="Arial" w:cs="Arial" w:eastAsia="Arial" w:hAnsi="Arial"/>
                <w:sz w:val="18"/>
                <w:szCs w:val="18"/>
                <w:color w:val="auto"/>
                <w:w w:val="99"/>
              </w:rPr>
              <w:t>—%</w:t>
            </w:r>
          </w:p>
        </w:tc>
      </w:tr>
      <w:tr>
        <w:trPr>
          <w:trHeight w:val="27"/>
        </w:trPr>
        <w:tc>
          <w:tcPr>
            <w:tcW w:w="6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0.7</w:t>
            </w:r>
          </w:p>
        </w:tc>
        <w:tc>
          <w:tcPr>
            <w:tcW w:w="124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94"/>
              </w:rPr>
              <w:t>13%</w:t>
            </w:r>
          </w:p>
        </w:tc>
      </w:tr>
      <w:tr>
        <w:trPr>
          <w:trHeight w:val="20"/>
        </w:trPr>
        <w:tc>
          <w:tcPr>
            <w:tcW w:w="6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Operating income margin</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increased $1.1 million, or 1%, for the three months ended April 30, 2019 compared to the same period in 2018, which was driven</w:t>
      </w:r>
      <w:r>
        <w:rPr>
          <w:rFonts w:ascii="Arial" w:cs="Arial" w:eastAsia="Arial" w:hAnsi="Arial"/>
          <w:sz w:val="18"/>
          <w:szCs w:val="18"/>
          <w:i w:val="1"/>
          <w:iCs w:val="1"/>
          <w:color w:val="auto"/>
        </w:rPr>
        <w:t xml:space="preserve"> </w:t>
      </w:r>
      <w:r>
        <w:rPr>
          <w:rFonts w:ascii="Arial" w:cs="Arial" w:eastAsia="Arial" w:hAnsi="Arial"/>
          <w:sz w:val="18"/>
          <w:szCs w:val="18"/>
          <w:color w:val="auto"/>
        </w:rPr>
        <w:t>by $1.0 million of price increases.</w:t>
      </w:r>
    </w:p>
    <w:p>
      <w:pPr>
        <w:spacing w:after="0" w:line="89"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i w:val="1"/>
          <w:iCs w:val="1"/>
          <w:color w:val="auto"/>
        </w:rPr>
        <w:t xml:space="preserve">Cost of Sales. </w:t>
      </w:r>
      <w:r>
        <w:rPr>
          <w:rFonts w:ascii="Arial" w:cs="Arial" w:eastAsia="Arial" w:hAnsi="Arial"/>
          <w:sz w:val="17"/>
          <w:szCs w:val="17"/>
          <w:color w:val="auto"/>
        </w:rPr>
        <w:t>The cost of sales increased $1.6 million, or 2%, when comparing the three months ended April 30, 2019 to the same period in 2018. Cost</w:t>
      </w:r>
      <w:r>
        <w:rPr>
          <w:rFonts w:ascii="Arial" w:cs="Arial" w:eastAsia="Arial" w:hAnsi="Arial"/>
          <w:sz w:val="17"/>
          <w:szCs w:val="17"/>
          <w:i w:val="1"/>
          <w:iCs w:val="1"/>
          <w:color w:val="auto"/>
        </w:rPr>
        <w:t xml:space="preserve"> </w:t>
      </w:r>
      <w:r>
        <w:rPr>
          <w:rFonts w:ascii="Arial" w:cs="Arial" w:eastAsia="Arial" w:hAnsi="Arial"/>
          <w:sz w:val="17"/>
          <w:szCs w:val="17"/>
          <w:color w:val="auto"/>
        </w:rPr>
        <w:t>of sales increased primarily due to inflationary cost increases for raw materials, of which a portion are recovered through surcharges.</w:t>
      </w:r>
    </w:p>
    <w:p>
      <w:pPr>
        <w:spacing w:after="0" w:line="6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Selling, General and Administrative. S</w:t>
      </w:r>
      <w:r>
        <w:rPr>
          <w:rFonts w:ascii="Arial" w:cs="Arial" w:eastAsia="Arial" w:hAnsi="Arial"/>
          <w:sz w:val="18"/>
          <w:szCs w:val="18"/>
          <w:color w:val="auto"/>
        </w:rPr>
        <w:t>elling, general and administrative expenses decreased $1.1 million, or 8%, when comparing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April 30, 2019 to the same period in 2018. This decrease was due primarily to lower incentive accruals and salary expenses as a result of a reduction in headcount.</w:t>
      </w:r>
    </w:p>
    <w:p>
      <w:pPr>
        <w:spacing w:after="0" w:line="10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Restructuring Charges. </w:t>
      </w:r>
      <w:r>
        <w:rPr>
          <w:rFonts w:ascii="Arial" w:cs="Arial" w:eastAsia="Arial" w:hAnsi="Arial"/>
          <w:sz w:val="18"/>
          <w:szCs w:val="18"/>
          <w:color w:val="auto"/>
        </w:rPr>
        <w:t>Restructuring charges of $0.1 million primarily relate to facility lease expenses related to a vinyl extrusion plant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closed in January 2017 in the U.S. that has not been sublet or otherwise exited as of April 30, 2019. Restructuring charges of $0.2 million incurred for the three months ended April 30, 2018 relate to two such plants in the prior year.</w:t>
      </w:r>
    </w:p>
    <w:p>
      <w:pPr>
        <w:spacing w:after="0" w:line="10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expense remained flat for the three months ended April 30, 2019 compared to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in 2018. The incremental depreciation expense associated with property, plant and equipment placed into service during the trailing twelve months ended April 30, 2019 was offset by the run-off of depreciation expense associated with existing assets and disposals during this period.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EU Fenestration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4"/>
          </w:tcPr>
          <w:p>
            <w:pPr>
              <w:jc w:val="right"/>
              <w:ind w:right="114"/>
              <w:spacing w:after="0"/>
              <w:rPr>
                <w:sz w:val="20"/>
                <w:szCs w:val="20"/>
                <w:color w:val="auto"/>
              </w:rPr>
            </w:pPr>
            <w:r>
              <w:rPr>
                <w:rFonts w:ascii="Arial" w:cs="Arial" w:eastAsia="Arial" w:hAnsi="Arial"/>
                <w:sz w:val="16"/>
                <w:szCs w:val="16"/>
                <w:b w:val="1"/>
                <w:bCs w:val="1"/>
                <w:color w:val="auto"/>
                <w:w w:val="93"/>
              </w:rPr>
              <w:t>Three Months Ended April 30,</w:t>
            </w:r>
          </w:p>
        </w:tc>
        <w:tc>
          <w:tcPr>
            <w:tcW w:w="124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64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8"/>
              </w:rPr>
              <w:t>$ Change</w:t>
            </w: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Variance %</w:t>
            </w:r>
          </w:p>
        </w:tc>
      </w:tr>
      <w:tr>
        <w:trPr>
          <w:trHeight w:val="173"/>
        </w:trPr>
        <w:tc>
          <w:tcPr>
            <w:tcW w:w="6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gridSpan w:val="4"/>
          </w:tcPr>
          <w:p>
            <w:pPr>
              <w:jc w:val="right"/>
              <w:ind w:right="634"/>
              <w:spacing w:after="0"/>
              <w:rPr>
                <w:sz w:val="20"/>
                <w:szCs w:val="20"/>
                <w:color w:val="auto"/>
              </w:rPr>
            </w:pPr>
            <w:r>
              <w:rPr>
                <w:rFonts w:ascii="Arial" w:cs="Arial" w:eastAsia="Arial" w:hAnsi="Arial"/>
                <w:sz w:val="13"/>
                <w:szCs w:val="13"/>
                <w:b w:val="1"/>
                <w:bCs w:val="1"/>
                <w:color w:val="auto"/>
              </w:rPr>
              <w:t>(Dollars in millions)</w:t>
            </w:r>
          </w:p>
        </w:tc>
        <w:tc>
          <w:tcPr>
            <w:tcW w:w="1240" w:type="dxa"/>
            <w:vAlign w:val="bottom"/>
          </w:tcPr>
          <w:p>
            <w:pPr>
              <w:spacing w:after="0"/>
              <w:rPr>
                <w:sz w:val="15"/>
                <w:szCs w:val="15"/>
                <w:color w:val="auto"/>
              </w:rPr>
            </w:pPr>
          </w:p>
        </w:tc>
      </w:tr>
      <w:tr>
        <w:trPr>
          <w:trHeight w:val="259"/>
        </w:trPr>
        <w:tc>
          <w:tcPr>
            <w:tcW w:w="6400" w:type="dxa"/>
            <w:vAlign w:val="bottom"/>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5"/>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2.8</w:t>
            </w:r>
          </w:p>
        </w:tc>
        <w:tc>
          <w:tcPr>
            <w:tcW w:w="1240" w:type="dxa"/>
            <w:vAlign w:val="bottom"/>
          </w:tcPr>
          <w:p>
            <w:pPr>
              <w:jc w:val="center"/>
              <w:ind w:left="34"/>
              <w:spacing w:after="0"/>
              <w:rPr>
                <w:sz w:val="20"/>
                <w:szCs w:val="20"/>
                <w:color w:val="auto"/>
              </w:rPr>
            </w:pPr>
            <w:r>
              <w:rPr>
                <w:rFonts w:ascii="Arial" w:cs="Arial" w:eastAsia="Arial" w:hAnsi="Arial"/>
                <w:sz w:val="18"/>
                <w:szCs w:val="18"/>
                <w:color w:val="auto"/>
                <w:w w:val="92"/>
              </w:rPr>
              <w:t>7%</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(excluding 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240" w:type="dxa"/>
            <w:vAlign w:val="bottom"/>
            <w:tcBorders>
              <w:bottom w:val="single" w:sz="8" w:color="CCEEFF"/>
            </w:tcBorders>
            <w:shd w:val="clear" w:color="auto" w:fill="CCEEFF"/>
          </w:tcPr>
          <w:p>
            <w:pPr>
              <w:jc w:val="center"/>
              <w:ind w:left="34"/>
              <w:spacing w:after="0"/>
              <w:rPr>
                <w:sz w:val="20"/>
                <w:szCs w:val="20"/>
                <w:color w:val="auto"/>
              </w:rPr>
            </w:pPr>
            <w:r>
              <w:rPr>
                <w:rFonts w:ascii="Arial" w:cs="Arial" w:eastAsia="Arial" w:hAnsi="Arial"/>
                <w:sz w:val="18"/>
                <w:szCs w:val="18"/>
                <w:color w:val="auto"/>
                <w:w w:val="94"/>
              </w:rPr>
              <w:t>(5)%</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15"/>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(0.5)</w:t>
            </w:r>
          </w:p>
        </w:tc>
        <w:tc>
          <w:tcPr>
            <w:tcW w:w="1240" w:type="dxa"/>
            <w:vAlign w:val="bottom"/>
          </w:tcPr>
          <w:p>
            <w:pPr>
              <w:jc w:val="center"/>
              <w:ind w:left="34"/>
              <w:spacing w:after="0"/>
              <w:rPr>
                <w:sz w:val="20"/>
                <w:szCs w:val="20"/>
                <w:color w:val="auto"/>
              </w:rPr>
            </w:pPr>
            <w:r>
              <w:rPr>
                <w:rFonts w:ascii="Arial" w:cs="Arial" w:eastAsia="Arial" w:hAnsi="Arial"/>
                <w:sz w:val="18"/>
                <w:szCs w:val="18"/>
                <w:color w:val="auto"/>
                <w:w w:val="92"/>
              </w:rPr>
              <w:t>8%</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4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w w:val="94"/>
              </w:rPr>
              <w:t>12%</w:t>
            </w:r>
          </w:p>
        </w:tc>
      </w:tr>
      <w:tr>
        <w:trPr>
          <w:trHeight w:val="297"/>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2.3</w:t>
            </w:r>
          </w:p>
        </w:tc>
        <w:tc>
          <w:tcPr>
            <w:tcW w:w="1240" w:type="dxa"/>
            <w:vAlign w:val="bottom"/>
            <w:tcBorders>
              <w:bottom w:val="single" w:sz="8" w:color="CCEEFF"/>
            </w:tcBorders>
          </w:tcPr>
          <w:p>
            <w:pPr>
              <w:jc w:val="center"/>
              <w:ind w:left="14"/>
              <w:spacing w:after="0"/>
              <w:rPr>
                <w:sz w:val="20"/>
                <w:szCs w:val="20"/>
                <w:color w:val="auto"/>
              </w:rPr>
            </w:pPr>
            <w:r>
              <w:rPr>
                <w:rFonts w:ascii="Arial" w:cs="Arial" w:eastAsia="Arial" w:hAnsi="Arial"/>
                <w:sz w:val="18"/>
                <w:szCs w:val="18"/>
                <w:color w:val="auto"/>
                <w:w w:val="94"/>
              </w:rPr>
              <w:t>92%</w:t>
            </w:r>
          </w:p>
        </w:tc>
      </w:tr>
      <w:tr>
        <w:trPr>
          <w:trHeight w:val="230"/>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income margin</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7"/>
        </w:trPr>
        <w:tc>
          <w:tcPr>
            <w:tcW w:w="64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Net sales increased $2.8 million, or 7%, when comparing the three months ended April 30, 2019 to the same period in 2018. This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reflects $3.7 million of volume increases and $1.9 million of base price increases, partially offset by $2.8 million of foreign currency rate changes.</w:t>
      </w:r>
    </w:p>
    <w:p>
      <w:pPr>
        <w:spacing w:after="0" w:line="4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The cost of sales increased $1.3 million, or 5%, for the three months ended April 30, 2019 compared to the same period in 2018, which</w:t>
      </w:r>
      <w:r>
        <w:rPr>
          <w:rFonts w:ascii="Arial" w:cs="Arial" w:eastAsia="Arial" w:hAnsi="Arial"/>
          <w:sz w:val="18"/>
          <w:szCs w:val="18"/>
          <w:i w:val="1"/>
          <w:iCs w:val="1"/>
          <w:color w:val="auto"/>
        </w:rPr>
        <w:t xml:space="preserve"> </w:t>
      </w:r>
      <w:r>
        <w:rPr>
          <w:rFonts w:ascii="Arial" w:cs="Arial" w:eastAsia="Arial" w:hAnsi="Arial"/>
          <w:sz w:val="18"/>
          <w:szCs w:val="18"/>
          <w:color w:val="auto"/>
        </w:rPr>
        <w:t>was driven by higher volume, partially offset by foreign currency exchange rate changes.</w:t>
      </w:r>
    </w:p>
    <w:p>
      <w:pPr>
        <w:spacing w:after="0" w:line="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expense decreased $0.5 million, or 8%, for the three months ended April 30,</w:t>
      </w:r>
      <w:r>
        <w:rPr>
          <w:rFonts w:ascii="Arial" w:cs="Arial" w:eastAsia="Arial" w:hAnsi="Arial"/>
          <w:sz w:val="18"/>
          <w:szCs w:val="18"/>
          <w:i w:val="1"/>
          <w:iCs w:val="1"/>
          <w:color w:val="auto"/>
        </w:rPr>
        <w:t xml:space="preserve"> </w:t>
      </w:r>
      <w:r>
        <w:rPr>
          <w:rFonts w:ascii="Arial" w:cs="Arial" w:eastAsia="Arial" w:hAnsi="Arial"/>
          <w:sz w:val="18"/>
          <w:szCs w:val="18"/>
          <w:color w:val="auto"/>
        </w:rPr>
        <w:t>2019 compared to the same period in 2018. The decrease was primarily attributable to foreign currency exchange rate changes, and other selling costs at our U.K. vinyl business.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for the three months ended April 30, 2019 decreased $0.3 million, or 12%,</w:t>
      </w:r>
      <w:r>
        <w:rPr>
          <w:rFonts w:ascii="Arial" w:cs="Arial" w:eastAsia="Arial" w:hAnsi="Arial"/>
          <w:sz w:val="18"/>
          <w:szCs w:val="18"/>
          <w:i w:val="1"/>
          <w:iCs w:val="1"/>
          <w:color w:val="auto"/>
        </w:rPr>
        <w:t xml:space="preserve"> </w:t>
      </w:r>
      <w:r>
        <w:rPr>
          <w:rFonts w:ascii="Arial" w:cs="Arial" w:eastAsia="Arial" w:hAnsi="Arial"/>
          <w:sz w:val="18"/>
          <w:szCs w:val="18"/>
          <w:color w:val="auto"/>
        </w:rPr>
        <w:t>when compared to the same period in 2018 primarily due to the effect of foreign currency exchange rate changes.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NA Cabinet Components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5"/>
          </w:tcPr>
          <w:p>
            <w:pPr>
              <w:jc w:val="right"/>
              <w:ind w:right="133"/>
              <w:spacing w:after="0"/>
              <w:rPr>
                <w:sz w:val="20"/>
                <w:szCs w:val="20"/>
                <w:color w:val="auto"/>
              </w:rPr>
            </w:pPr>
            <w:r>
              <w:rPr>
                <w:rFonts w:ascii="Arial" w:cs="Arial" w:eastAsia="Arial" w:hAnsi="Arial"/>
                <w:sz w:val="16"/>
                <w:szCs w:val="16"/>
                <w:b w:val="1"/>
                <w:bCs w:val="1"/>
                <w:color w:val="auto"/>
                <w:w w:val="97"/>
              </w:rPr>
              <w:t>Three Months Ended April 30,</w:t>
            </w:r>
          </w:p>
        </w:tc>
        <w:tc>
          <w:tcPr>
            <w:tcW w:w="1240" w:type="dxa"/>
            <w:vAlign w:val="bottom"/>
          </w:tcPr>
          <w:p>
            <w:pPr>
              <w:spacing w:after="0"/>
              <w:rPr>
                <w:sz w:val="18"/>
                <w:szCs w:val="18"/>
                <w:color w:val="auto"/>
              </w:rPr>
            </w:pPr>
          </w:p>
        </w:tc>
      </w:tr>
      <w:tr>
        <w:trPr>
          <w:trHeight w:val="33"/>
        </w:trPr>
        <w:tc>
          <w:tcPr>
            <w:tcW w:w="6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63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8"/>
              </w:rPr>
              <w:t>$ Change</w:t>
            </w: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Variance %</w:t>
            </w:r>
          </w:p>
        </w:tc>
      </w:tr>
      <w:tr>
        <w:trPr>
          <w:trHeight w:val="173"/>
        </w:trPr>
        <w:tc>
          <w:tcPr>
            <w:tcW w:w="6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60" w:type="dxa"/>
            <w:vAlign w:val="bottom"/>
            <w:gridSpan w:val="4"/>
          </w:tcPr>
          <w:p>
            <w:pPr>
              <w:jc w:val="right"/>
              <w:ind w:right="653"/>
              <w:spacing w:after="0"/>
              <w:rPr>
                <w:sz w:val="20"/>
                <w:szCs w:val="20"/>
                <w:color w:val="auto"/>
              </w:rPr>
            </w:pPr>
            <w:r>
              <w:rPr>
                <w:rFonts w:ascii="Arial" w:cs="Arial" w:eastAsia="Arial" w:hAnsi="Arial"/>
                <w:sz w:val="13"/>
                <w:szCs w:val="13"/>
                <w:b w:val="1"/>
                <w:bCs w:val="1"/>
                <w:color w:val="auto"/>
              </w:rPr>
              <w:t>(Dollars in millions)</w:t>
            </w:r>
          </w:p>
        </w:tc>
        <w:tc>
          <w:tcPr>
            <w:tcW w:w="1240" w:type="dxa"/>
            <w:vAlign w:val="bottom"/>
          </w:tcPr>
          <w:p>
            <w:pPr>
              <w:spacing w:after="0"/>
              <w:rPr>
                <w:sz w:val="15"/>
                <w:szCs w:val="15"/>
                <w:color w:val="auto"/>
              </w:rPr>
            </w:pPr>
          </w:p>
        </w:tc>
      </w:tr>
      <w:tr>
        <w:trPr>
          <w:trHeight w:val="259"/>
        </w:trPr>
        <w:tc>
          <w:tcPr>
            <w:tcW w:w="6360" w:type="dxa"/>
            <w:vAlign w:val="bottom"/>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62.8</w:t>
            </w:r>
          </w:p>
        </w:tc>
        <w:tc>
          <w:tcPr>
            <w:tcW w:w="120" w:type="dxa"/>
            <w:vAlign w:val="bottom"/>
          </w:tcPr>
          <w:p>
            <w:pPr>
              <w:spacing w:after="0"/>
              <w:rPr>
                <w:sz w:val="22"/>
                <w:szCs w:val="22"/>
                <w:color w:val="auto"/>
              </w:rPr>
            </w:pPr>
          </w:p>
        </w:tc>
        <w:tc>
          <w:tcPr>
            <w:tcW w:w="280" w:type="dxa"/>
            <w:vAlign w:val="bottom"/>
          </w:tcPr>
          <w:p>
            <w:pPr>
              <w:jc w:val="right"/>
              <w:ind w:right="73"/>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4"/>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0.2</w:t>
            </w:r>
          </w:p>
        </w:tc>
        <w:tc>
          <w:tcPr>
            <w:tcW w:w="1240" w:type="dxa"/>
            <w:vAlign w:val="bottom"/>
          </w:tcPr>
          <w:p>
            <w:pPr>
              <w:jc w:val="center"/>
              <w:ind w:left="13"/>
              <w:spacing w:after="0"/>
              <w:rPr>
                <w:sz w:val="20"/>
                <w:szCs w:val="20"/>
                <w:color w:val="auto"/>
              </w:rPr>
            </w:pPr>
            <w:r>
              <w:rPr>
                <w:rFonts w:ascii="Arial" w:cs="Arial" w:eastAsia="Arial" w:hAnsi="Arial"/>
                <w:sz w:val="18"/>
                <w:szCs w:val="18"/>
                <w:color w:val="auto"/>
                <w:w w:val="99"/>
              </w:rPr>
              <w:t>—%</w:t>
            </w:r>
          </w:p>
        </w:tc>
      </w:tr>
      <w:tr>
        <w:trPr>
          <w:trHeight w:val="27"/>
        </w:trPr>
        <w:tc>
          <w:tcPr>
            <w:tcW w:w="6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(excluding 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40" w:type="dxa"/>
            <w:vAlign w:val="bottom"/>
            <w:tcBorders>
              <w:bottom w:val="single" w:sz="8" w:color="CCEEFF"/>
            </w:tcBorders>
            <w:shd w:val="clear" w:color="auto" w:fill="CCEEFF"/>
          </w:tcPr>
          <w:p>
            <w:pPr>
              <w:jc w:val="center"/>
              <w:ind w:left="33"/>
              <w:spacing w:after="0"/>
              <w:rPr>
                <w:sz w:val="20"/>
                <w:szCs w:val="20"/>
                <w:color w:val="auto"/>
              </w:rPr>
            </w:pPr>
            <w:r>
              <w:rPr>
                <w:rFonts w:ascii="Arial" w:cs="Arial" w:eastAsia="Arial" w:hAnsi="Arial"/>
                <w:sz w:val="18"/>
                <w:szCs w:val="18"/>
                <w:color w:val="auto"/>
                <w:w w:val="92"/>
              </w:rPr>
              <w:t>1%</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1"/>
                <w:szCs w:val="21"/>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4"/>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40" w:type="dxa"/>
            <w:vAlign w:val="bottom"/>
          </w:tcPr>
          <w:p>
            <w:pPr>
              <w:jc w:val="center"/>
              <w:ind w:left="13"/>
              <w:spacing w:after="0"/>
              <w:rPr>
                <w:sz w:val="20"/>
                <w:szCs w:val="20"/>
                <w:color w:val="auto"/>
              </w:rPr>
            </w:pPr>
            <w:r>
              <w:rPr>
                <w:rFonts w:ascii="Arial" w:cs="Arial" w:eastAsia="Arial" w:hAnsi="Arial"/>
                <w:sz w:val="18"/>
                <w:szCs w:val="18"/>
                <w:color w:val="auto"/>
                <w:w w:val="99"/>
              </w:rPr>
              <w:t>—%</w:t>
            </w:r>
          </w:p>
        </w:tc>
      </w:tr>
      <w:tr>
        <w:trPr>
          <w:trHeight w:val="27"/>
        </w:trPr>
        <w:tc>
          <w:tcPr>
            <w:tcW w:w="6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4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94"/>
              </w:rPr>
              <w:t>13%</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Asset impairment charges</w:t>
            </w:r>
          </w:p>
        </w:tc>
        <w:tc>
          <w:tcPr>
            <w:tcW w:w="300" w:type="dxa"/>
            <w:vAlign w:val="bottom"/>
          </w:tcPr>
          <w:p>
            <w:pPr>
              <w:spacing w:after="0"/>
              <w:rPr>
                <w:sz w:val="21"/>
                <w:szCs w:val="21"/>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30.0</w:t>
            </w:r>
          </w:p>
        </w:tc>
        <w:tc>
          <w:tcPr>
            <w:tcW w:w="1240" w:type="dxa"/>
            <w:vAlign w:val="bottom"/>
          </w:tcPr>
          <w:p>
            <w:pPr>
              <w:jc w:val="center"/>
              <w:ind w:left="13"/>
              <w:spacing w:after="0"/>
              <w:rPr>
                <w:sz w:val="20"/>
                <w:szCs w:val="20"/>
                <w:color w:val="auto"/>
              </w:rPr>
            </w:pPr>
            <w:r>
              <w:rPr>
                <w:rFonts w:ascii="Arial" w:cs="Arial" w:eastAsia="Arial" w:hAnsi="Arial"/>
                <w:sz w:val="18"/>
                <w:szCs w:val="18"/>
                <w:color w:val="auto"/>
                <w:w w:val="92"/>
              </w:rPr>
              <w:t>(100)%</w:t>
            </w:r>
          </w:p>
        </w:tc>
      </w:tr>
      <w:tr>
        <w:trPr>
          <w:trHeight w:val="27"/>
        </w:trPr>
        <w:tc>
          <w:tcPr>
            <w:tcW w:w="6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40" w:type="dxa"/>
            <w:vAlign w:val="bottom"/>
            <w:tcBorders>
              <w:bottom w:val="single" w:sz="8" w:color="CCEEFF"/>
            </w:tcBorders>
            <w:shd w:val="clear" w:color="auto" w:fill="CCEEFF"/>
          </w:tcPr>
          <w:p>
            <w:pPr>
              <w:jc w:val="center"/>
              <w:ind w:left="33"/>
              <w:spacing w:after="0"/>
              <w:rPr>
                <w:sz w:val="20"/>
                <w:szCs w:val="20"/>
                <w:color w:val="auto"/>
              </w:rPr>
            </w:pPr>
            <w:r>
              <w:rPr>
                <w:rFonts w:ascii="Arial" w:cs="Arial" w:eastAsia="Arial" w:hAnsi="Arial"/>
                <w:sz w:val="18"/>
                <w:szCs w:val="18"/>
                <w:color w:val="auto"/>
                <w:w w:val="90"/>
              </w:rPr>
              <w:t>14,450%</w:t>
            </w:r>
          </w:p>
        </w:tc>
      </w:tr>
      <w:tr>
        <w:trPr>
          <w:trHeight w:val="20"/>
        </w:trPr>
        <w:tc>
          <w:tcPr>
            <w:tcW w:w="6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30"/>
        </w:trPr>
        <w:tc>
          <w:tcPr>
            <w:tcW w:w="6360" w:type="dxa"/>
            <w:vAlign w:val="bottom"/>
          </w:tcPr>
          <w:p>
            <w:pPr>
              <w:ind w:left="40"/>
              <w:spacing w:after="0"/>
              <w:rPr>
                <w:sz w:val="20"/>
                <w:szCs w:val="20"/>
                <w:color w:val="auto"/>
              </w:rPr>
            </w:pPr>
            <w:r>
              <w:rPr>
                <w:rFonts w:ascii="Arial" w:cs="Arial" w:eastAsia="Arial" w:hAnsi="Arial"/>
                <w:sz w:val="18"/>
                <w:szCs w:val="18"/>
                <w:color w:val="auto"/>
              </w:rPr>
              <w:t>Operating loss margin</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spacing w:after="0" w:line="148"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i w:val="1"/>
          <w:iCs w:val="1"/>
          <w:color w:val="auto"/>
        </w:rPr>
        <w:t>Net Sales</w:t>
      </w:r>
      <w:r>
        <w:rPr>
          <w:rFonts w:ascii="Arial" w:cs="Arial" w:eastAsia="Arial" w:hAnsi="Arial"/>
          <w:sz w:val="17"/>
          <w:szCs w:val="17"/>
          <w:color w:val="auto"/>
        </w:rPr>
        <w:t>. Net sales increased $0.2 million for the three months ended April 30, 2019 compared to the same period in 2018. On a year-over-year basis,</w:t>
      </w:r>
      <w:r>
        <w:rPr>
          <w:rFonts w:ascii="Arial" w:cs="Arial" w:eastAsia="Arial" w:hAnsi="Arial"/>
          <w:sz w:val="17"/>
          <w:szCs w:val="17"/>
          <w:i w:val="1"/>
          <w:iCs w:val="1"/>
          <w:color w:val="auto"/>
        </w:rPr>
        <w:t xml:space="preserve"> </w:t>
      </w:r>
      <w:r>
        <w:rPr>
          <w:rFonts w:ascii="Arial" w:cs="Arial" w:eastAsia="Arial" w:hAnsi="Arial"/>
          <w:sz w:val="17"/>
          <w:szCs w:val="17"/>
          <w:color w:val="auto"/>
        </w:rPr>
        <w:t>we realized an increase of $1.8 million of price increases, which was partially offset by a decrease of $1.6 million related to lower volumes.</w:t>
      </w:r>
    </w:p>
    <w:p>
      <w:pPr>
        <w:spacing w:after="0" w:line="6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Cost of Sales</w:t>
      </w:r>
      <w:r>
        <w:rPr>
          <w:rFonts w:ascii="Arial" w:cs="Arial" w:eastAsia="Arial" w:hAnsi="Arial"/>
          <w:sz w:val="18"/>
          <w:szCs w:val="18"/>
          <w:color w:val="auto"/>
        </w:rPr>
        <w:t>. Cost of sales decreased $0.4 million, or 1%, for the three months ended April 30, 2019 compared with the same period in 2018 as a result</w:t>
      </w:r>
      <w:r>
        <w:rPr>
          <w:rFonts w:ascii="Arial" w:cs="Arial" w:eastAsia="Arial" w:hAnsi="Arial"/>
          <w:sz w:val="18"/>
          <w:szCs w:val="18"/>
          <w:i w:val="1"/>
          <w:iCs w:val="1"/>
          <w:color w:val="auto"/>
        </w:rPr>
        <w:t xml:space="preserve"> </w:t>
      </w:r>
      <w:r>
        <w:rPr>
          <w:rFonts w:ascii="Arial" w:cs="Arial" w:eastAsia="Arial" w:hAnsi="Arial"/>
          <w:sz w:val="18"/>
          <w:szCs w:val="18"/>
          <w:color w:val="auto"/>
        </w:rPr>
        <w:t>of lower volume.</w:t>
      </w:r>
    </w:p>
    <w:p>
      <w:pPr>
        <w:spacing w:after="0" w:line="8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Selling, General and Administrative</w:t>
      </w:r>
      <w:r>
        <w:rPr>
          <w:rFonts w:ascii="Arial" w:cs="Arial" w:eastAsia="Arial" w:hAnsi="Arial"/>
          <w:sz w:val="18"/>
          <w:szCs w:val="18"/>
          <w:color w:val="auto"/>
        </w:rPr>
        <w:t>. Selling, general and administrative expense remained flat for the three months ended April 30, 2019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in 2018, primarily due to lower headcount offsetting compensation inflation year over year.</w:t>
      </w:r>
    </w:p>
    <w:p>
      <w:pPr>
        <w:spacing w:after="0" w:line="89"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i w:val="1"/>
          <w:iCs w:val="1"/>
          <w:color w:val="auto"/>
        </w:rPr>
        <w:t>Depreciation and Amortization</w:t>
      </w:r>
      <w:r>
        <w:rPr>
          <w:rFonts w:ascii="Arial" w:cs="Arial" w:eastAsia="Arial" w:hAnsi="Arial"/>
          <w:sz w:val="17"/>
          <w:szCs w:val="17"/>
          <w:color w:val="auto"/>
        </w:rPr>
        <w:t>. Depreciation and amortization expense decreased $0.5 million, or 13%, for the three months ended April 30, 2019</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with the same period in 2018, reflecting the run-off of depreciation expense related to existing assets and disposals during the period.</w:t>
      </w:r>
    </w:p>
    <w:p>
      <w:pPr>
        <w:spacing w:after="0" w:line="66"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i w:val="1"/>
          <w:iCs w:val="1"/>
          <w:color w:val="auto"/>
        </w:rPr>
        <w:t xml:space="preserve">Asset impairment charges. </w:t>
      </w:r>
      <w:r>
        <w:rPr>
          <w:rFonts w:ascii="Arial" w:cs="Arial" w:eastAsia="Arial" w:hAnsi="Arial"/>
          <w:sz w:val="16"/>
          <w:szCs w:val="16"/>
          <w:color w:val="auto"/>
        </w:rPr>
        <w:t>Asset impairment charges for the three months ended April 30, 2019 represent a $30.0 million goodwill impairment which</w:t>
      </w:r>
      <w:r>
        <w:rPr>
          <w:rFonts w:ascii="Arial" w:cs="Arial" w:eastAsia="Arial" w:hAnsi="Arial"/>
          <w:sz w:val="16"/>
          <w:szCs w:val="16"/>
          <w:i w:val="1"/>
          <w:iCs w:val="1"/>
          <w:color w:val="auto"/>
        </w:rPr>
        <w:t xml:space="preserve"> </w:t>
      </w:r>
      <w:r>
        <w:rPr>
          <w:rFonts w:ascii="Arial" w:cs="Arial" w:eastAsia="Arial" w:hAnsi="Arial"/>
          <w:sz w:val="16"/>
          <w:szCs w:val="16"/>
          <w:color w:val="auto"/>
        </w:rPr>
        <w:t>was recorded as a result of an industry-wide shift from semi-custom cabinets to stock cabinets. For additional discussion of this interim assessment, see Note 3, "Goodwill and Intangible Assets," to the accompanying unaudited condensed consolidated financial statements contained elsewhere herein.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Unallocated Corporate &amp; Other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5"/>
          </w:tcPr>
          <w:p>
            <w:pPr>
              <w:jc w:val="right"/>
              <w:ind w:right="54"/>
              <w:spacing w:after="0"/>
              <w:rPr>
                <w:sz w:val="20"/>
                <w:szCs w:val="20"/>
                <w:color w:val="auto"/>
              </w:rPr>
            </w:pPr>
            <w:r>
              <w:rPr>
                <w:rFonts w:ascii="Arial" w:cs="Arial" w:eastAsia="Arial" w:hAnsi="Arial"/>
                <w:sz w:val="16"/>
                <w:szCs w:val="16"/>
                <w:b w:val="1"/>
                <w:bCs w:val="1"/>
                <w:color w:val="auto"/>
                <w:w w:val="98"/>
              </w:rPr>
              <w:t>Three Months Ended April 30,</w:t>
            </w:r>
          </w:p>
        </w:tc>
        <w:tc>
          <w:tcPr>
            <w:tcW w:w="1240" w:type="dxa"/>
            <w:vAlign w:val="bottom"/>
          </w:tcPr>
          <w:p>
            <w:pPr>
              <w:spacing w:after="0"/>
              <w:rPr>
                <w:sz w:val="18"/>
                <w:szCs w:val="18"/>
                <w:color w:val="auto"/>
              </w:rPr>
            </w:pPr>
          </w:p>
        </w:tc>
      </w:tr>
      <w:tr>
        <w:trPr>
          <w:trHeight w:val="33"/>
        </w:trPr>
        <w:tc>
          <w:tcPr>
            <w:tcW w:w="65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652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85"/>
              </w:rPr>
              <w:t>Change</w:t>
            </w: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Variance %</w:t>
            </w:r>
          </w:p>
        </w:tc>
      </w:tr>
      <w:tr>
        <w:trPr>
          <w:trHeight w:val="173"/>
        </w:trPr>
        <w:tc>
          <w:tcPr>
            <w:tcW w:w="6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gridSpan w:val="5"/>
          </w:tcPr>
          <w:p>
            <w:pPr>
              <w:jc w:val="right"/>
              <w:ind w:right="574"/>
              <w:spacing w:after="0"/>
              <w:rPr>
                <w:sz w:val="20"/>
                <w:szCs w:val="20"/>
                <w:color w:val="auto"/>
              </w:rPr>
            </w:pPr>
            <w:r>
              <w:rPr>
                <w:rFonts w:ascii="Arial" w:cs="Arial" w:eastAsia="Arial" w:hAnsi="Arial"/>
                <w:sz w:val="13"/>
                <w:szCs w:val="13"/>
                <w:b w:val="1"/>
                <w:bCs w:val="1"/>
                <w:color w:val="auto"/>
              </w:rPr>
              <w:t>(Dollars in millions)</w:t>
            </w:r>
          </w:p>
        </w:tc>
        <w:tc>
          <w:tcPr>
            <w:tcW w:w="1240" w:type="dxa"/>
            <w:vAlign w:val="bottom"/>
          </w:tcPr>
          <w:p>
            <w:pPr>
              <w:spacing w:after="0"/>
              <w:rPr>
                <w:sz w:val="15"/>
                <w:szCs w:val="15"/>
                <w:color w:val="auto"/>
              </w:rPr>
            </w:pPr>
          </w:p>
        </w:tc>
      </w:tr>
      <w:tr>
        <w:trPr>
          <w:trHeight w:val="259"/>
        </w:trPr>
        <w:tc>
          <w:tcPr>
            <w:tcW w:w="6520" w:type="dxa"/>
            <w:vAlign w:val="bottom"/>
          </w:tcPr>
          <w:p>
            <w:pPr>
              <w:ind w:left="40"/>
              <w:spacing w:after="0"/>
              <w:rPr>
                <w:sz w:val="20"/>
                <w:szCs w:val="20"/>
                <w:color w:val="auto"/>
              </w:rPr>
            </w:pPr>
            <w:r>
              <w:rPr>
                <w:rFonts w:ascii="Arial" w:cs="Arial" w:eastAsia="Arial" w:hAnsi="Arial"/>
                <w:sz w:val="18"/>
                <w:szCs w:val="18"/>
                <w:color w:val="auto"/>
              </w:rPr>
              <w:t>Net sales</w:t>
            </w:r>
          </w:p>
        </w:tc>
        <w:tc>
          <w:tcPr>
            <w:tcW w:w="760" w:type="dxa"/>
            <w:vAlign w:val="bottom"/>
          </w:tcPr>
          <w:p>
            <w:pPr>
              <w:jc w:val="right"/>
              <w:ind w:right="553"/>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1"/>
              </w:rPr>
              <w:t>(1.5)</w:t>
            </w:r>
          </w:p>
        </w:tc>
        <w:tc>
          <w:tcPr>
            <w:tcW w:w="100" w:type="dxa"/>
            <w:vAlign w:val="bottom"/>
          </w:tcPr>
          <w:p>
            <w:pPr>
              <w:spacing w:after="0"/>
              <w:rPr>
                <w:sz w:val="22"/>
                <w:szCs w:val="22"/>
                <w:color w:val="auto"/>
              </w:rPr>
            </w:pPr>
          </w:p>
        </w:tc>
        <w:tc>
          <w:tcPr>
            <w:tcW w:w="740" w:type="dxa"/>
            <w:vAlign w:val="bottom"/>
          </w:tcPr>
          <w:p>
            <w:pPr>
              <w:jc w:val="right"/>
              <w:ind w:right="539"/>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6"/>
              </w:rPr>
              <w:t>(1.4)</w:t>
            </w:r>
          </w:p>
        </w:tc>
        <w:tc>
          <w:tcPr>
            <w:tcW w:w="100" w:type="dxa"/>
            <w:vAlign w:val="bottom"/>
          </w:tcPr>
          <w:p>
            <w:pPr>
              <w:spacing w:after="0"/>
              <w:rPr>
                <w:sz w:val="22"/>
                <w:szCs w:val="22"/>
                <w:color w:val="auto"/>
              </w:rPr>
            </w:pPr>
          </w:p>
        </w:tc>
        <w:tc>
          <w:tcPr>
            <w:tcW w:w="380" w:type="dxa"/>
            <w:vAlign w:val="bottom"/>
          </w:tcPr>
          <w:p>
            <w:pPr>
              <w:jc w:val="right"/>
              <w:ind w:right="177"/>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c>
          <w:tcPr>
            <w:tcW w:w="1240" w:type="dxa"/>
            <w:vAlign w:val="bottom"/>
          </w:tcPr>
          <w:p>
            <w:pPr>
              <w:jc w:val="center"/>
              <w:ind w:left="34"/>
              <w:spacing w:after="0"/>
              <w:rPr>
                <w:sz w:val="20"/>
                <w:szCs w:val="20"/>
                <w:color w:val="auto"/>
              </w:rPr>
            </w:pPr>
            <w:r>
              <w:rPr>
                <w:rFonts w:ascii="Arial" w:cs="Arial" w:eastAsia="Arial" w:hAnsi="Arial"/>
                <w:sz w:val="18"/>
                <w:szCs w:val="18"/>
                <w:color w:val="auto"/>
                <w:w w:val="94"/>
              </w:rPr>
              <w:t>(7)%</w:t>
            </w:r>
          </w:p>
        </w:tc>
      </w:tr>
      <w:tr>
        <w:trPr>
          <w:trHeight w:val="27"/>
        </w:trPr>
        <w:tc>
          <w:tcPr>
            <w:tcW w:w="6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(excluding depreciation and amortization)</w:t>
            </w:r>
          </w:p>
        </w:tc>
        <w:tc>
          <w:tcPr>
            <w:tcW w:w="7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(1.2)</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40" w:type="dxa"/>
            <w:vAlign w:val="bottom"/>
            <w:tcBorders>
              <w:bottom w:val="single" w:sz="8" w:color="CCEEFF"/>
            </w:tcBorders>
            <w:shd w:val="clear" w:color="auto" w:fill="CCEEFF"/>
          </w:tcPr>
          <w:p>
            <w:pPr>
              <w:jc w:val="center"/>
              <w:ind w:left="34"/>
              <w:spacing w:after="0"/>
              <w:rPr>
                <w:sz w:val="20"/>
                <w:szCs w:val="20"/>
                <w:color w:val="auto"/>
              </w:rPr>
            </w:pPr>
            <w:r>
              <w:rPr>
                <w:rFonts w:ascii="Arial" w:cs="Arial" w:eastAsia="Arial" w:hAnsi="Arial"/>
                <w:sz w:val="18"/>
                <w:szCs w:val="18"/>
                <w:color w:val="auto"/>
                <w:w w:val="92"/>
              </w:rPr>
              <w:t>9%</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76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6"/>
              </w:rPr>
              <w:t>(0.1)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1.4</w:t>
            </w:r>
          </w:p>
        </w:tc>
        <w:tc>
          <w:tcPr>
            <w:tcW w:w="1240" w:type="dxa"/>
            <w:vAlign w:val="bottom"/>
          </w:tcPr>
          <w:p>
            <w:pPr>
              <w:jc w:val="center"/>
              <w:ind w:left="34"/>
              <w:spacing w:after="0"/>
              <w:rPr>
                <w:sz w:val="20"/>
                <w:szCs w:val="20"/>
                <w:color w:val="auto"/>
              </w:rPr>
            </w:pPr>
            <w:r>
              <w:rPr>
                <w:rFonts w:ascii="Arial" w:cs="Arial" w:eastAsia="Arial" w:hAnsi="Arial"/>
                <w:sz w:val="18"/>
                <w:szCs w:val="18"/>
                <w:color w:val="auto"/>
                <w:w w:val="93"/>
              </w:rPr>
              <w:t>(1,400)%</w:t>
            </w:r>
          </w:p>
        </w:tc>
      </w:tr>
      <w:tr>
        <w:trPr>
          <w:trHeight w:val="27"/>
        </w:trPr>
        <w:tc>
          <w:tcPr>
            <w:tcW w:w="6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7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4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w w:val="94"/>
              </w:rPr>
              <w:t>50%</w:t>
            </w: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76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(1.7)</w:t>
            </w:r>
          </w:p>
        </w:tc>
        <w:tc>
          <w:tcPr>
            <w:tcW w:w="10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(0.4)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40" w:type="dxa"/>
            <w:vAlign w:val="bottom"/>
          </w:tcPr>
          <w:p>
            <w:pPr>
              <w:jc w:val="center"/>
              <w:ind w:left="14"/>
              <w:spacing w:after="0"/>
              <w:rPr>
                <w:sz w:val="20"/>
                <w:szCs w:val="20"/>
                <w:color w:val="auto"/>
              </w:rPr>
            </w:pPr>
            <w:r>
              <w:rPr>
                <w:rFonts w:ascii="Arial" w:cs="Arial" w:eastAsia="Arial" w:hAnsi="Arial"/>
                <w:sz w:val="18"/>
                <w:szCs w:val="18"/>
                <w:color w:val="auto"/>
                <w:w w:val="92"/>
              </w:rPr>
              <w:t>(325)%</w:t>
            </w:r>
          </w:p>
        </w:tc>
      </w:tr>
      <w:tr>
        <w:trPr>
          <w:trHeight w:val="20"/>
        </w:trPr>
        <w:tc>
          <w:tcPr>
            <w:tcW w:w="6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Net sales for Unallocated Corporate &amp; Other represents the elimination of inter-segment sales for the three months ended April 30, 2019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Cost of Sales</w:t>
      </w:r>
      <w:r>
        <w:rPr>
          <w:rFonts w:ascii="Arial" w:cs="Arial" w:eastAsia="Arial" w:hAnsi="Arial"/>
          <w:sz w:val="16"/>
          <w:szCs w:val="16"/>
          <w:color w:val="auto"/>
        </w:rPr>
        <w:t>. Cost of sales for Unallocated Corporate &amp; Other consists of the elimination of inter-segment sales, profit in inventory, and other costs.</w:t>
      </w:r>
    </w:p>
    <w:p>
      <w:pPr>
        <w:spacing w:after="0" w:line="1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Selling, General and Administrative</w:t>
      </w:r>
      <w:r>
        <w:rPr>
          <w:rFonts w:ascii="Arial" w:cs="Arial" w:eastAsia="Arial" w:hAnsi="Arial"/>
          <w:sz w:val="18"/>
          <w:szCs w:val="18"/>
          <w:color w:val="auto"/>
        </w:rPr>
        <w:t>. Selling, general and administrative expenses increased $1.4 million for the three months ended April 30, 2019</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in 2018. This increase is attributable to $2.4 million of higher compensation expense primarily related to prior year lower stock based compensation expense from stock price fluctuations and expected payouts.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was partially offset by $0.4 million of lower medical expenses due to reimbursements of prior period claims, as well as reductions of $0.4 million in legal expenses and $0.4 million in severance costs.</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decreased $0.1 million, for the three months ended April 30, 2019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in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related to Non-Operating Items:</w:t>
      </w:r>
    </w:p>
    <w:p>
      <w:pPr>
        <w:spacing w:after="0" w:line="21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increased $0.1 million for the three months ended April 30, 2019 compared to the same period in 2018. A lower</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outstanding balance was partially offset by higher interest rates during the period.</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Other, net</w:t>
      </w:r>
      <w:r>
        <w:rPr>
          <w:rFonts w:ascii="Arial" w:cs="Arial" w:eastAsia="Arial" w:hAnsi="Arial"/>
          <w:sz w:val="18"/>
          <w:szCs w:val="18"/>
          <w:color w:val="auto"/>
        </w:rPr>
        <w:t>. The decrease in other, net of $0.2 million at April 30, 2019 compared to the same period in 2018 relates primarily to an increase in pension</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expenses.</w:t>
      </w:r>
    </w:p>
    <w:p>
      <w:pPr>
        <w:spacing w:after="0" w:line="11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We recorded income tax expense of $2.0 million on a pre-tax loss of $22.0 million for the three months ended April 30, 2019, an</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rate of 8.9% and income tax expense of $1.4 million on pre-tax income of $5.5 million for the three months ended April 30, 2018, an effective rate of 25.2%. The difference in the effective rates between these periods relates to the fact that the $30.0 million asset impairment charge in the North American Cabinets Components segment did not generate a tax benefit.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April 30, 2019 Compared to Six Months Ended April 30, 2018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4"/>
          </w:tcPr>
          <w:p>
            <w:pPr>
              <w:jc w:val="right"/>
              <w:ind w:right="51"/>
              <w:spacing w:after="0"/>
              <w:rPr>
                <w:sz w:val="20"/>
                <w:szCs w:val="20"/>
                <w:color w:val="auto"/>
              </w:rPr>
            </w:pPr>
            <w:r>
              <w:rPr>
                <w:rFonts w:ascii="Arial" w:cs="Arial" w:eastAsia="Arial" w:hAnsi="Arial"/>
                <w:sz w:val="16"/>
                <w:szCs w:val="16"/>
                <w:b w:val="1"/>
                <w:bCs w:val="1"/>
                <w:color w:val="auto"/>
                <w:w w:val="96"/>
              </w:rPr>
              <w:t>Six Months Ended April 30,</w:t>
            </w:r>
          </w:p>
        </w:tc>
        <w:tc>
          <w:tcPr>
            <w:tcW w:w="1380" w:type="dxa"/>
            <w:vAlign w:val="bottom"/>
          </w:tcPr>
          <w:p>
            <w:pPr>
              <w:spacing w:after="0"/>
              <w:rPr>
                <w:sz w:val="18"/>
                <w:szCs w:val="18"/>
                <w:color w:val="auto"/>
              </w:rPr>
            </w:pPr>
          </w:p>
        </w:tc>
      </w:tr>
      <w:tr>
        <w:trPr>
          <w:trHeight w:val="33"/>
        </w:trPr>
        <w:tc>
          <w:tcPr>
            <w:tcW w:w="6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8"/>
        </w:trPr>
        <w:tc>
          <w:tcPr>
            <w:tcW w:w="64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Change $</w:t>
            </w:r>
          </w:p>
        </w:tc>
        <w:tc>
          <w:tcPr>
            <w:tcW w:w="13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 Variance</w:t>
            </w:r>
          </w:p>
        </w:tc>
      </w:tr>
      <w:tr>
        <w:trPr>
          <w:trHeight w:val="250"/>
        </w:trPr>
        <w:tc>
          <w:tcPr>
            <w:tcW w:w="6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6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(Dollars in millions)</w:t>
            </w:r>
          </w:p>
        </w:tc>
        <w:tc>
          <w:tcPr>
            <w:tcW w:w="1380" w:type="dxa"/>
            <w:vAlign w:val="bottom"/>
          </w:tcPr>
          <w:p>
            <w:pPr>
              <w:spacing w:after="0"/>
              <w:rPr>
                <w:sz w:val="21"/>
                <w:szCs w:val="21"/>
                <w:color w:val="auto"/>
              </w:rPr>
            </w:pPr>
          </w:p>
        </w:tc>
      </w:tr>
      <w:tr>
        <w:trPr>
          <w:trHeight w:val="256"/>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415.0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405.9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Cost of sales (excluding depreciation and amortization)</w:t>
            </w: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329.9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323.5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6.4</w:t>
            </w: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Restructuring charges</w:t>
            </w: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w:t>
            </w:r>
          </w:p>
        </w:tc>
        <w:tc>
          <w:tcPr>
            <w:tcW w:w="1380" w:type="dxa"/>
            <w:vAlign w:val="bottom"/>
          </w:tcPr>
          <w:p>
            <w:pPr>
              <w:jc w:val="right"/>
              <w:spacing w:after="0"/>
              <w:rPr>
                <w:sz w:val="20"/>
                <w:szCs w:val="20"/>
                <w:color w:val="auto"/>
              </w:rPr>
            </w:pPr>
            <w:r>
              <w:rPr>
                <w:rFonts w:ascii="Arial" w:cs="Arial" w:eastAsia="Arial" w:hAnsi="Arial"/>
                <w:sz w:val="18"/>
                <w:szCs w:val="18"/>
                <w:color w:val="auto"/>
              </w:rPr>
              <w:t>67 %</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Asset impairment charges</w:t>
            </w: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30.0</w:t>
            </w:r>
          </w:p>
        </w:tc>
        <w:tc>
          <w:tcPr>
            <w:tcW w:w="13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6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44"/>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w:t>
            </w:r>
          </w:p>
        </w:tc>
        <w:tc>
          <w:tcPr>
            <w:tcW w:w="13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7"/>
        </w:trPr>
        <w:tc>
          <w:tcPr>
            <w:tcW w:w="6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57"/>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403 %</w:t>
            </w:r>
          </w:p>
        </w:tc>
      </w:tr>
      <w:tr>
        <w:trPr>
          <w:trHeight w:val="20"/>
        </w:trPr>
        <w:tc>
          <w:tcPr>
            <w:tcW w:w="6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period-over-period results by reportable segment follow.</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Related to Operating Income by Reportable Segment: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NA Fenestration</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gridSpan w:val="4"/>
          </w:tcPr>
          <w:p>
            <w:pPr>
              <w:jc w:val="right"/>
              <w:ind w:right="213"/>
              <w:spacing w:after="0"/>
              <w:rPr>
                <w:sz w:val="20"/>
                <w:szCs w:val="20"/>
                <w:color w:val="auto"/>
              </w:rPr>
            </w:pPr>
            <w:r>
              <w:rPr>
                <w:rFonts w:ascii="Arial" w:cs="Arial" w:eastAsia="Arial" w:hAnsi="Arial"/>
                <w:sz w:val="16"/>
                <w:szCs w:val="16"/>
                <w:b w:val="1"/>
                <w:bCs w:val="1"/>
                <w:color w:val="auto"/>
                <w:w w:val="94"/>
              </w:rPr>
              <w:t>Six Months Ended April 30,</w:t>
            </w:r>
          </w:p>
        </w:tc>
        <w:tc>
          <w:tcPr>
            <w:tcW w:w="124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8"/>
        </w:trPr>
        <w:tc>
          <w:tcPr>
            <w:tcW w:w="64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8"/>
              </w:rPr>
              <w:t>$ Change</w:t>
            </w: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 Variance</w:t>
            </w:r>
          </w:p>
        </w:tc>
      </w:tr>
      <w:tr>
        <w:trPr>
          <w:trHeight w:val="173"/>
        </w:trPr>
        <w:tc>
          <w:tcPr>
            <w:tcW w:w="6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80" w:type="dxa"/>
            <w:vAlign w:val="bottom"/>
            <w:gridSpan w:val="4"/>
          </w:tcPr>
          <w:p>
            <w:pPr>
              <w:jc w:val="right"/>
              <w:ind w:right="633"/>
              <w:spacing w:after="0"/>
              <w:rPr>
                <w:sz w:val="20"/>
                <w:szCs w:val="20"/>
                <w:color w:val="auto"/>
              </w:rPr>
            </w:pPr>
            <w:r>
              <w:rPr>
                <w:rFonts w:ascii="Arial" w:cs="Arial" w:eastAsia="Arial" w:hAnsi="Arial"/>
                <w:sz w:val="13"/>
                <w:szCs w:val="13"/>
                <w:b w:val="1"/>
                <w:bCs w:val="1"/>
                <w:color w:val="auto"/>
              </w:rPr>
              <w:t>(Dollars in millions)</w:t>
            </w:r>
          </w:p>
        </w:tc>
        <w:tc>
          <w:tcPr>
            <w:tcW w:w="1240" w:type="dxa"/>
            <w:vAlign w:val="bottom"/>
          </w:tcPr>
          <w:p>
            <w:pPr>
              <w:spacing w:after="0"/>
              <w:rPr>
                <w:sz w:val="15"/>
                <w:szCs w:val="15"/>
                <w:color w:val="auto"/>
              </w:rPr>
            </w:pPr>
          </w:p>
        </w:tc>
      </w:tr>
      <w:tr>
        <w:trPr>
          <w:trHeight w:val="259"/>
        </w:trPr>
        <w:tc>
          <w:tcPr>
            <w:tcW w:w="6400" w:type="dxa"/>
            <w:vAlign w:val="bottom"/>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224.4</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5"/>
              <w:spacing w:after="0"/>
              <w:rPr>
                <w:sz w:val="20"/>
                <w:szCs w:val="20"/>
                <w:color w:val="auto"/>
              </w:rPr>
            </w:pPr>
            <w:r>
              <w:rPr>
                <w:rFonts w:ascii="Arial" w:cs="Arial" w:eastAsia="Arial" w:hAnsi="Arial"/>
                <w:sz w:val="18"/>
                <w:szCs w:val="18"/>
                <w:color w:val="auto"/>
              </w:rPr>
              <w:t>216.9</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7.5</w:t>
            </w:r>
          </w:p>
        </w:tc>
        <w:tc>
          <w:tcPr>
            <w:tcW w:w="1240" w:type="dxa"/>
            <w:vAlign w:val="bottom"/>
          </w:tcPr>
          <w:p>
            <w:pPr>
              <w:jc w:val="center"/>
              <w:ind w:left="33"/>
              <w:spacing w:after="0"/>
              <w:rPr>
                <w:sz w:val="20"/>
                <w:szCs w:val="20"/>
                <w:color w:val="auto"/>
              </w:rPr>
            </w:pPr>
            <w:r>
              <w:rPr>
                <w:rFonts w:ascii="Arial" w:cs="Arial" w:eastAsia="Arial" w:hAnsi="Arial"/>
                <w:sz w:val="18"/>
                <w:szCs w:val="18"/>
                <w:color w:val="auto"/>
                <w:w w:val="92"/>
              </w:rPr>
              <w:t>3%</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(excluding 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177.2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168.4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w:t>
            </w:r>
          </w:p>
        </w:tc>
        <w:tc>
          <w:tcPr>
            <w:tcW w:w="1240" w:type="dxa"/>
            <w:vAlign w:val="bottom"/>
            <w:tcBorders>
              <w:bottom w:val="single" w:sz="8" w:color="CCEEFF"/>
            </w:tcBorders>
            <w:shd w:val="clear" w:color="auto" w:fill="CCEEFF"/>
          </w:tcPr>
          <w:p>
            <w:pPr>
              <w:jc w:val="center"/>
              <w:ind w:left="33"/>
              <w:spacing w:after="0"/>
              <w:rPr>
                <w:sz w:val="20"/>
                <w:szCs w:val="20"/>
                <w:color w:val="auto"/>
              </w:rPr>
            </w:pPr>
            <w:r>
              <w:rPr>
                <w:rFonts w:ascii="Arial" w:cs="Arial" w:eastAsia="Arial" w:hAnsi="Arial"/>
                <w:sz w:val="18"/>
                <w:szCs w:val="18"/>
                <w:color w:val="auto"/>
                <w:w w:val="94"/>
              </w:rPr>
              <w:t>(5)%</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15"/>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1240" w:type="dxa"/>
            <w:vAlign w:val="bottom"/>
          </w:tcPr>
          <w:p>
            <w:pPr>
              <w:jc w:val="center"/>
              <w:ind w:left="33"/>
              <w:spacing w:after="0"/>
              <w:rPr>
                <w:sz w:val="20"/>
                <w:szCs w:val="20"/>
                <w:color w:val="auto"/>
              </w:rPr>
            </w:pPr>
            <w:r>
              <w:rPr>
                <w:rFonts w:ascii="Arial" w:cs="Arial" w:eastAsia="Arial" w:hAnsi="Arial"/>
                <w:sz w:val="18"/>
                <w:szCs w:val="18"/>
                <w:color w:val="auto"/>
                <w:w w:val="92"/>
              </w:rPr>
              <w:t>6%</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4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94"/>
              </w:rPr>
              <w:t>60%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15"/>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w:t>
            </w:r>
          </w:p>
        </w:tc>
        <w:tc>
          <w:tcPr>
            <w:tcW w:w="1240" w:type="dxa"/>
            <w:vAlign w:val="bottom"/>
          </w:tcPr>
          <w:p>
            <w:pPr>
              <w:jc w:val="center"/>
              <w:ind w:left="33"/>
              <w:spacing w:after="0"/>
              <w:rPr>
                <w:sz w:val="20"/>
                <w:szCs w:val="20"/>
                <w:color w:val="auto"/>
              </w:rPr>
            </w:pPr>
            <w:r>
              <w:rPr>
                <w:rFonts w:ascii="Arial" w:cs="Arial" w:eastAsia="Arial" w:hAnsi="Arial"/>
                <w:sz w:val="18"/>
                <w:szCs w:val="18"/>
                <w:color w:val="auto"/>
                <w:w w:val="92"/>
              </w:rPr>
              <w:t>1%</w:t>
            </w:r>
          </w:p>
        </w:tc>
      </w:tr>
      <w:tr>
        <w:trPr>
          <w:trHeight w:val="27"/>
        </w:trPr>
        <w:tc>
          <w:tcPr>
            <w:tcW w:w="6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0.8</w:t>
            </w:r>
          </w:p>
        </w:tc>
        <w:tc>
          <w:tcPr>
            <w:tcW w:w="1240" w:type="dxa"/>
            <w:vAlign w:val="bottom"/>
            <w:tcBorders>
              <w:bottom w:val="single" w:sz="8" w:color="CCEEFF"/>
            </w:tcBorders>
            <w:shd w:val="clear" w:color="auto" w:fill="CCEEFF"/>
          </w:tcPr>
          <w:p>
            <w:pPr>
              <w:jc w:val="center"/>
              <w:ind w:left="33"/>
              <w:spacing w:after="0"/>
              <w:rPr>
                <w:sz w:val="20"/>
                <w:szCs w:val="20"/>
                <w:color w:val="auto"/>
              </w:rPr>
            </w:pPr>
            <w:r>
              <w:rPr>
                <w:rFonts w:ascii="Arial" w:cs="Arial" w:eastAsia="Arial" w:hAnsi="Arial"/>
                <w:sz w:val="18"/>
                <w:szCs w:val="18"/>
                <w:color w:val="auto"/>
                <w:w w:val="88"/>
              </w:rPr>
              <w:t>11%</w:t>
            </w:r>
          </w:p>
        </w:tc>
      </w:tr>
      <w:tr>
        <w:trPr>
          <w:trHeight w:val="20"/>
        </w:trPr>
        <w:tc>
          <w:tcPr>
            <w:tcW w:w="6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Operating income margin</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increased $7.5 million, or 3%, for the six months ended April 30, 2019 compared to the same period in 2018. We experienced $4.2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of revenue growth driven both by new volume and market growth, an increase of $2.5 million related to price and an increase of $0.8 million related to surcharges.</w:t>
      </w:r>
    </w:p>
    <w:p>
      <w:pPr>
        <w:spacing w:after="0" w:line="10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The cost of sales increased $8.8 million, or 5%, when comparing the six months ended April 30, 2019 to the same period in 2018. Cost of</w:t>
      </w:r>
      <w:r>
        <w:rPr>
          <w:rFonts w:ascii="Arial" w:cs="Arial" w:eastAsia="Arial" w:hAnsi="Arial"/>
          <w:sz w:val="18"/>
          <w:szCs w:val="18"/>
          <w:i w:val="1"/>
          <w:iCs w:val="1"/>
          <w:color w:val="auto"/>
        </w:rPr>
        <w:t xml:space="preserve"> </w:t>
      </w:r>
      <w:r>
        <w:rPr>
          <w:rFonts w:ascii="Arial" w:cs="Arial" w:eastAsia="Arial" w:hAnsi="Arial"/>
          <w:sz w:val="18"/>
          <w:szCs w:val="18"/>
          <w:color w:val="auto"/>
        </w:rPr>
        <w:t>sales increased due to the corresponding increase in volume coupled with inflationary cost increases. A portion of the raw material increases are recovered through surcharges.</w:t>
      </w:r>
    </w:p>
    <w:p>
      <w:pPr>
        <w:spacing w:after="0" w:line="10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Selling, General and Administrative. S</w:t>
      </w:r>
      <w:r>
        <w:rPr>
          <w:rFonts w:ascii="Arial" w:cs="Arial" w:eastAsia="Arial" w:hAnsi="Arial"/>
          <w:sz w:val="18"/>
          <w:szCs w:val="18"/>
          <w:color w:val="auto"/>
        </w:rPr>
        <w:t>elling, general and administrative expenses decreased $1.6 million, or 6%, when comparing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April 30, 2019 to the same period in 2018. This decrease was due primarily to lower incentive accruals and salary expenses as a result of a reduction in headcount.</w:t>
      </w:r>
    </w:p>
    <w:p>
      <w:pPr>
        <w:spacing w:after="0" w:line="10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i w:val="1"/>
          <w:iCs w:val="1"/>
          <w:color w:val="auto"/>
        </w:rPr>
        <w:t xml:space="preserve">Restructuring Charges. </w:t>
      </w:r>
      <w:r>
        <w:rPr>
          <w:rFonts w:ascii="Arial" w:cs="Arial" w:eastAsia="Arial" w:hAnsi="Arial"/>
          <w:sz w:val="17"/>
          <w:szCs w:val="17"/>
          <w:color w:val="auto"/>
        </w:rPr>
        <w:t>Restructuring charges of $0.2 million incurred during the six months ended April 30, 2019 primarily relate to facility lease</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related to a vinyl extrusion plant which was closed in January 2017 in the U.S. that has not been sublet or otherwise exited as of April 30, 2019. Restructuring charges of $0.5 million incurred for the six months ended April 30, 2018 relate to two such plants in the prior year.</w:t>
      </w:r>
    </w:p>
    <w:p>
      <w:pPr>
        <w:spacing w:after="0" w:line="8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expense decreased $0.2 million when comparing the six months ended April 30, 2019</w:t>
      </w:r>
      <w:r>
        <w:rPr>
          <w:rFonts w:ascii="Arial" w:cs="Arial" w:eastAsia="Arial" w:hAnsi="Arial"/>
          <w:sz w:val="17"/>
          <w:szCs w:val="17"/>
          <w:i w:val="1"/>
          <w:iCs w:val="1"/>
          <w:color w:val="auto"/>
        </w:rPr>
        <w:t xml:space="preserve"> </w:t>
      </w:r>
      <w:r>
        <w:rPr>
          <w:rFonts w:ascii="Arial" w:cs="Arial" w:eastAsia="Arial" w:hAnsi="Arial"/>
          <w:sz w:val="17"/>
          <w:szCs w:val="17"/>
          <w:color w:val="auto"/>
        </w:rPr>
        <w:t>and 2018. The incremental depreciation expense associated with property, plant and equipment placed into service during the trailing twelve months ended April 30, 2019 was offset by the run-off of depreciation expense associated with existing assets and disposals during this period.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EU Fenestration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gridSpan w:val="4"/>
          </w:tcPr>
          <w:p>
            <w:pPr>
              <w:jc w:val="right"/>
              <w:ind w:right="214"/>
              <w:spacing w:after="0"/>
              <w:rPr>
                <w:sz w:val="20"/>
                <w:szCs w:val="20"/>
                <w:color w:val="auto"/>
              </w:rPr>
            </w:pPr>
            <w:r>
              <w:rPr>
                <w:rFonts w:ascii="Arial" w:cs="Arial" w:eastAsia="Arial" w:hAnsi="Arial"/>
                <w:sz w:val="16"/>
                <w:szCs w:val="16"/>
                <w:b w:val="1"/>
                <w:bCs w:val="1"/>
                <w:color w:val="auto"/>
                <w:w w:val="94"/>
              </w:rPr>
              <w:t>Six Months Ended April 30,</w:t>
            </w:r>
          </w:p>
        </w:tc>
        <w:tc>
          <w:tcPr>
            <w:tcW w:w="124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8"/>
        </w:trPr>
        <w:tc>
          <w:tcPr>
            <w:tcW w:w="64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8"/>
              </w:rPr>
              <w:t>$ Change</w:t>
            </w: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Variance %</w:t>
            </w:r>
          </w:p>
        </w:tc>
      </w:tr>
      <w:tr>
        <w:trPr>
          <w:trHeight w:val="173"/>
        </w:trPr>
        <w:tc>
          <w:tcPr>
            <w:tcW w:w="6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80" w:type="dxa"/>
            <w:vAlign w:val="bottom"/>
            <w:gridSpan w:val="4"/>
          </w:tcPr>
          <w:p>
            <w:pPr>
              <w:jc w:val="right"/>
              <w:ind w:right="634"/>
              <w:spacing w:after="0"/>
              <w:rPr>
                <w:sz w:val="20"/>
                <w:szCs w:val="20"/>
                <w:color w:val="auto"/>
              </w:rPr>
            </w:pPr>
            <w:r>
              <w:rPr>
                <w:rFonts w:ascii="Arial" w:cs="Arial" w:eastAsia="Arial" w:hAnsi="Arial"/>
                <w:sz w:val="13"/>
                <w:szCs w:val="13"/>
                <w:b w:val="1"/>
                <w:bCs w:val="1"/>
                <w:color w:val="auto"/>
              </w:rPr>
              <w:t>(Dollars in millions)</w:t>
            </w:r>
          </w:p>
        </w:tc>
        <w:tc>
          <w:tcPr>
            <w:tcW w:w="1240" w:type="dxa"/>
            <w:vAlign w:val="bottom"/>
          </w:tcPr>
          <w:p>
            <w:pPr>
              <w:spacing w:after="0"/>
              <w:rPr>
                <w:sz w:val="15"/>
                <w:szCs w:val="15"/>
                <w:color w:val="auto"/>
              </w:rPr>
            </w:pPr>
          </w:p>
        </w:tc>
      </w:tr>
      <w:tr>
        <w:trPr>
          <w:trHeight w:val="259"/>
        </w:trPr>
        <w:tc>
          <w:tcPr>
            <w:tcW w:w="6400" w:type="dxa"/>
            <w:vAlign w:val="bottom"/>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3"/>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6"/>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4.1</w:t>
            </w:r>
          </w:p>
        </w:tc>
        <w:tc>
          <w:tcPr>
            <w:tcW w:w="1240" w:type="dxa"/>
            <w:vAlign w:val="bottom"/>
          </w:tcPr>
          <w:p>
            <w:pPr>
              <w:jc w:val="center"/>
              <w:ind w:left="34"/>
              <w:spacing w:after="0"/>
              <w:rPr>
                <w:sz w:val="20"/>
                <w:szCs w:val="20"/>
                <w:color w:val="auto"/>
              </w:rPr>
            </w:pPr>
            <w:r>
              <w:rPr>
                <w:rFonts w:ascii="Arial" w:cs="Arial" w:eastAsia="Arial" w:hAnsi="Arial"/>
                <w:sz w:val="18"/>
                <w:szCs w:val="18"/>
                <w:color w:val="auto"/>
                <w:w w:val="92"/>
              </w:rPr>
              <w:t>6%</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(excluding 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c>
          <w:tcPr>
            <w:tcW w:w="1240" w:type="dxa"/>
            <w:vAlign w:val="bottom"/>
            <w:tcBorders>
              <w:bottom w:val="single" w:sz="8" w:color="CCEEFF"/>
            </w:tcBorders>
            <w:shd w:val="clear" w:color="auto" w:fill="CCEEFF"/>
          </w:tcPr>
          <w:p>
            <w:pPr>
              <w:jc w:val="center"/>
              <w:ind w:left="34"/>
              <w:spacing w:after="0"/>
              <w:rPr>
                <w:sz w:val="20"/>
                <w:szCs w:val="20"/>
                <w:color w:val="auto"/>
              </w:rPr>
            </w:pPr>
            <w:r>
              <w:rPr>
                <w:rFonts w:ascii="Arial" w:cs="Arial" w:eastAsia="Arial" w:hAnsi="Arial"/>
                <w:sz w:val="18"/>
                <w:szCs w:val="18"/>
                <w:color w:val="auto"/>
                <w:w w:val="94"/>
              </w:rPr>
              <w:t>(2)%</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940" w:type="dxa"/>
            <w:vAlign w:val="bottom"/>
          </w:tcPr>
          <w:p>
            <w:pPr>
              <w:jc w:val="right"/>
              <w:ind w:right="113"/>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16"/>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c>
          <w:tcPr>
            <w:tcW w:w="1240" w:type="dxa"/>
            <w:vAlign w:val="bottom"/>
          </w:tcPr>
          <w:p>
            <w:pPr>
              <w:jc w:val="center"/>
              <w:ind w:left="34"/>
              <w:spacing w:after="0"/>
              <w:rPr>
                <w:sz w:val="20"/>
                <w:szCs w:val="20"/>
                <w:color w:val="auto"/>
              </w:rPr>
            </w:pPr>
            <w:r>
              <w:rPr>
                <w:rFonts w:ascii="Arial" w:cs="Arial" w:eastAsia="Arial" w:hAnsi="Arial"/>
                <w:sz w:val="18"/>
                <w:szCs w:val="18"/>
                <w:color w:val="auto"/>
                <w:w w:val="92"/>
              </w:rPr>
              <w:t>1%</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4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w w:val="94"/>
              </w:rPr>
              <w:t>10%</w:t>
            </w:r>
          </w:p>
        </w:tc>
      </w:tr>
      <w:tr>
        <w:trPr>
          <w:trHeight w:val="297"/>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3.7</w:t>
            </w:r>
          </w:p>
        </w:tc>
        <w:tc>
          <w:tcPr>
            <w:tcW w:w="1240" w:type="dxa"/>
            <w:vAlign w:val="bottom"/>
            <w:tcBorders>
              <w:bottom w:val="single" w:sz="8" w:color="CCEEFF"/>
            </w:tcBorders>
          </w:tcPr>
          <w:p>
            <w:pPr>
              <w:jc w:val="center"/>
              <w:ind w:left="14"/>
              <w:spacing w:after="0"/>
              <w:rPr>
                <w:sz w:val="20"/>
                <w:szCs w:val="20"/>
                <w:color w:val="auto"/>
              </w:rPr>
            </w:pPr>
            <w:r>
              <w:rPr>
                <w:rFonts w:ascii="Arial" w:cs="Arial" w:eastAsia="Arial" w:hAnsi="Arial"/>
                <w:sz w:val="18"/>
                <w:szCs w:val="18"/>
                <w:color w:val="auto"/>
                <w:w w:val="94"/>
              </w:rPr>
              <w:t>95%</w:t>
            </w:r>
          </w:p>
        </w:tc>
      </w:tr>
      <w:tr>
        <w:trPr>
          <w:trHeight w:val="230"/>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income margin</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7"/>
        </w:trPr>
        <w:tc>
          <w:tcPr>
            <w:tcW w:w="64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increased $4.1 million, or 6%, when comparing the six months ended April 30, 2019 to the same period in 2018. This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reflects $5.0 million of volume increases and $3.5 million of base price increases, partially offset by $4.4 million of unfavorable foreign currency rate changes.</w:t>
      </w:r>
    </w:p>
    <w:p>
      <w:pPr>
        <w:spacing w:after="0" w:line="100"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i w:val="1"/>
          <w:iCs w:val="1"/>
          <w:color w:val="auto"/>
        </w:rPr>
        <w:t xml:space="preserve">Cost of Sales. </w:t>
      </w:r>
      <w:r>
        <w:rPr>
          <w:rFonts w:ascii="Arial" w:cs="Arial" w:eastAsia="Arial" w:hAnsi="Arial"/>
          <w:sz w:val="17"/>
          <w:szCs w:val="17"/>
          <w:color w:val="auto"/>
        </w:rPr>
        <w:t>The cost of sales increased $1.0 million, or 2%, for the six months ended April 30, 2019 compared to the same period in 2018. The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was primarily attributable to a corresponding increase in volume of products sold, partially offset by foreign currency exchange rate changes.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expense decreased $0.1 million for the six months ended April 30, 2019</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in 2018 due to foreign currency exchange rate changes.</w:t>
      </w:r>
    </w:p>
    <w:p>
      <w:pPr>
        <w:spacing w:after="0" w:line="8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for the six months ended April 30, 2019 declined $0.5 million, or 10%, when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in 2018 due to exchange rate changes coupled with assets becoming fully depreciated.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NA Cabinet Components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gridSpan w:val="4"/>
          </w:tcPr>
          <w:p>
            <w:pPr>
              <w:jc w:val="right"/>
              <w:ind w:right="233"/>
              <w:spacing w:after="0"/>
              <w:rPr>
                <w:sz w:val="20"/>
                <w:szCs w:val="20"/>
                <w:color w:val="auto"/>
              </w:rPr>
            </w:pPr>
            <w:r>
              <w:rPr>
                <w:rFonts w:ascii="Arial" w:cs="Arial" w:eastAsia="Arial" w:hAnsi="Arial"/>
                <w:sz w:val="16"/>
                <w:szCs w:val="16"/>
                <w:b w:val="1"/>
                <w:bCs w:val="1"/>
                <w:color w:val="auto"/>
                <w:w w:val="95"/>
              </w:rPr>
              <w:t>Six Months Ended April 30,</w:t>
            </w:r>
          </w:p>
        </w:tc>
        <w:tc>
          <w:tcPr>
            <w:tcW w:w="1240" w:type="dxa"/>
            <w:vAlign w:val="bottom"/>
          </w:tcPr>
          <w:p>
            <w:pPr>
              <w:spacing w:after="0"/>
              <w:rPr>
                <w:sz w:val="18"/>
                <w:szCs w:val="18"/>
                <w:color w:val="auto"/>
              </w:rPr>
            </w:pPr>
          </w:p>
        </w:tc>
      </w:tr>
      <w:tr>
        <w:trPr>
          <w:trHeight w:val="33"/>
        </w:trPr>
        <w:tc>
          <w:tcPr>
            <w:tcW w:w="6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8"/>
        </w:trPr>
        <w:tc>
          <w:tcPr>
            <w:tcW w:w="63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5"/>
              </w:rPr>
              <w:t>$ Change</w:t>
            </w: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Variance %</w:t>
            </w:r>
          </w:p>
        </w:tc>
      </w:tr>
      <w:tr>
        <w:trPr>
          <w:trHeight w:val="173"/>
        </w:trPr>
        <w:tc>
          <w:tcPr>
            <w:tcW w:w="6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20" w:type="dxa"/>
            <w:vAlign w:val="bottom"/>
            <w:gridSpan w:val="4"/>
          </w:tcPr>
          <w:p>
            <w:pPr>
              <w:jc w:val="right"/>
              <w:ind w:right="673"/>
              <w:spacing w:after="0"/>
              <w:rPr>
                <w:sz w:val="20"/>
                <w:szCs w:val="20"/>
                <w:color w:val="auto"/>
              </w:rPr>
            </w:pPr>
            <w:r>
              <w:rPr>
                <w:rFonts w:ascii="Arial" w:cs="Arial" w:eastAsia="Arial" w:hAnsi="Arial"/>
                <w:sz w:val="13"/>
                <w:szCs w:val="13"/>
                <w:b w:val="1"/>
                <w:bCs w:val="1"/>
                <w:color w:val="auto"/>
              </w:rPr>
              <w:t>(Dollars in millions)</w:t>
            </w:r>
          </w:p>
        </w:tc>
        <w:tc>
          <w:tcPr>
            <w:tcW w:w="1240" w:type="dxa"/>
            <w:vAlign w:val="bottom"/>
          </w:tcPr>
          <w:p>
            <w:pPr>
              <w:spacing w:after="0"/>
              <w:rPr>
                <w:sz w:val="15"/>
                <w:szCs w:val="15"/>
                <w:color w:val="auto"/>
              </w:rPr>
            </w:pPr>
          </w:p>
        </w:tc>
      </w:tr>
      <w:tr>
        <w:trPr>
          <w:trHeight w:val="259"/>
        </w:trPr>
        <w:tc>
          <w:tcPr>
            <w:tcW w:w="6320" w:type="dxa"/>
            <w:vAlign w:val="bottom"/>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116.7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55"/>
              <w:spacing w:after="0"/>
              <w:rPr>
                <w:sz w:val="20"/>
                <w:szCs w:val="20"/>
                <w:color w:val="auto"/>
              </w:rPr>
            </w:pPr>
            <w:r>
              <w:rPr>
                <w:rFonts w:ascii="Arial" w:cs="Arial" w:eastAsia="Arial" w:hAnsi="Arial"/>
                <w:sz w:val="18"/>
                <w:szCs w:val="18"/>
                <w:color w:val="auto"/>
              </w:rPr>
              <w:t>118.6</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1240" w:type="dxa"/>
            <w:vAlign w:val="bottom"/>
          </w:tcPr>
          <w:p>
            <w:pPr>
              <w:jc w:val="center"/>
              <w:ind w:left="33"/>
              <w:spacing w:after="0"/>
              <w:rPr>
                <w:sz w:val="20"/>
                <w:szCs w:val="20"/>
                <w:color w:val="auto"/>
              </w:rPr>
            </w:pPr>
            <w:r>
              <w:rPr>
                <w:rFonts w:ascii="Arial" w:cs="Arial" w:eastAsia="Arial" w:hAnsi="Arial"/>
                <w:sz w:val="18"/>
                <w:szCs w:val="18"/>
                <w:color w:val="auto"/>
                <w:w w:val="94"/>
              </w:rPr>
              <w:t>(2)%</w:t>
            </w:r>
          </w:p>
        </w:tc>
      </w:tr>
      <w:tr>
        <w:trPr>
          <w:trHeight w:val="27"/>
        </w:trPr>
        <w:tc>
          <w:tcPr>
            <w:tcW w:w="6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(excluding 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101.6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104.4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40" w:type="dxa"/>
            <w:vAlign w:val="bottom"/>
            <w:tcBorders>
              <w:bottom w:val="single" w:sz="8" w:color="CCEEFF"/>
            </w:tcBorders>
            <w:shd w:val="clear" w:color="auto" w:fill="CCEEFF"/>
          </w:tcPr>
          <w:p>
            <w:pPr>
              <w:jc w:val="center"/>
              <w:ind w:left="33"/>
              <w:spacing w:after="0"/>
              <w:rPr>
                <w:sz w:val="20"/>
                <w:szCs w:val="20"/>
                <w:color w:val="auto"/>
              </w:rPr>
            </w:pPr>
            <w:r>
              <w:rPr>
                <w:rFonts w:ascii="Arial" w:cs="Arial" w:eastAsia="Arial" w:hAnsi="Arial"/>
                <w:sz w:val="18"/>
                <w:szCs w:val="18"/>
                <w:color w:val="auto"/>
                <w:w w:val="92"/>
              </w:rPr>
              <w:t>3%</w:t>
            </w: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1"/>
                <w:szCs w:val="21"/>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55"/>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0.3</w:t>
            </w:r>
          </w:p>
        </w:tc>
        <w:tc>
          <w:tcPr>
            <w:tcW w:w="1240" w:type="dxa"/>
            <w:vAlign w:val="bottom"/>
          </w:tcPr>
          <w:p>
            <w:pPr>
              <w:jc w:val="center"/>
              <w:ind w:left="33"/>
              <w:spacing w:after="0"/>
              <w:rPr>
                <w:sz w:val="20"/>
                <w:szCs w:val="20"/>
                <w:color w:val="auto"/>
              </w:rPr>
            </w:pPr>
            <w:r>
              <w:rPr>
                <w:rFonts w:ascii="Arial" w:cs="Arial" w:eastAsia="Arial" w:hAnsi="Arial"/>
                <w:sz w:val="18"/>
                <w:szCs w:val="18"/>
                <w:color w:val="auto"/>
                <w:w w:val="94"/>
              </w:rPr>
              <w:t>(3)%</w:t>
            </w:r>
          </w:p>
        </w:tc>
      </w:tr>
      <w:tr>
        <w:trPr>
          <w:trHeight w:val="27"/>
        </w:trPr>
        <w:tc>
          <w:tcPr>
            <w:tcW w:w="6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4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91"/>
              </w:rPr>
              <w:t>100%</w:t>
            </w: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55"/>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(0.9)</w:t>
            </w:r>
          </w:p>
        </w:tc>
        <w:tc>
          <w:tcPr>
            <w:tcW w:w="1240" w:type="dxa"/>
            <w:vAlign w:val="bottom"/>
          </w:tcPr>
          <w:p>
            <w:pPr>
              <w:jc w:val="center"/>
              <w:ind w:left="13"/>
              <w:spacing w:after="0"/>
              <w:rPr>
                <w:sz w:val="20"/>
                <w:szCs w:val="20"/>
                <w:color w:val="auto"/>
              </w:rPr>
            </w:pPr>
            <w:r>
              <w:rPr>
                <w:rFonts w:ascii="Arial" w:cs="Arial" w:eastAsia="Arial" w:hAnsi="Arial"/>
                <w:sz w:val="18"/>
                <w:szCs w:val="18"/>
                <w:color w:val="auto"/>
                <w:w w:val="94"/>
              </w:rPr>
              <w:t>12%</w:t>
            </w:r>
          </w:p>
        </w:tc>
      </w:tr>
      <w:tr>
        <w:trPr>
          <w:trHeight w:val="27"/>
        </w:trPr>
        <w:tc>
          <w:tcPr>
            <w:tcW w:w="6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impairment charges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30.0</w:t>
            </w:r>
          </w:p>
        </w:tc>
        <w:tc>
          <w:tcPr>
            <w:tcW w:w="124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92"/>
              </w:rPr>
              <w:t>(100)%</w:t>
            </w:r>
          </w:p>
        </w:tc>
      </w:tr>
      <w:tr>
        <w:trPr>
          <w:trHeight w:val="297"/>
        </w:trPr>
        <w:tc>
          <w:tcPr>
            <w:tcW w:w="6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Operating loss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240" w:type="dxa"/>
            <w:vAlign w:val="bottom"/>
            <w:tcBorders>
              <w:bottom w:val="single" w:sz="8" w:color="CCEEFF"/>
            </w:tcBorders>
          </w:tcPr>
          <w:p>
            <w:pPr>
              <w:jc w:val="center"/>
              <w:ind w:left="33"/>
              <w:spacing w:after="0"/>
              <w:rPr>
                <w:sz w:val="20"/>
                <w:szCs w:val="20"/>
                <w:color w:val="auto"/>
              </w:rPr>
            </w:pPr>
            <w:r>
              <w:rPr>
                <w:rFonts w:ascii="Arial" w:cs="Arial" w:eastAsia="Arial" w:hAnsi="Arial"/>
                <w:sz w:val="18"/>
                <w:szCs w:val="18"/>
                <w:color w:val="auto"/>
                <w:w w:val="93"/>
              </w:rPr>
              <w:t>(1,136)%</w:t>
            </w:r>
          </w:p>
        </w:tc>
      </w:tr>
      <w:tr>
        <w:trPr>
          <w:trHeight w:val="230"/>
        </w:trPr>
        <w:tc>
          <w:tcPr>
            <w:tcW w:w="6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loss margin</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7"/>
        </w:trPr>
        <w:tc>
          <w:tcPr>
            <w:tcW w:w="63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decreased $1.9 million, or 2%, for the six months ended April 30, 2019 compared to the same period in 2018. On a year-over-year</w:t>
      </w:r>
      <w:r>
        <w:rPr>
          <w:rFonts w:ascii="Arial" w:cs="Arial" w:eastAsia="Arial" w:hAnsi="Arial"/>
          <w:sz w:val="18"/>
          <w:szCs w:val="18"/>
          <w:i w:val="1"/>
          <w:iCs w:val="1"/>
          <w:color w:val="auto"/>
        </w:rPr>
        <w:t xml:space="preserve"> </w:t>
      </w:r>
      <w:r>
        <w:rPr>
          <w:rFonts w:ascii="Arial" w:cs="Arial" w:eastAsia="Arial" w:hAnsi="Arial"/>
          <w:sz w:val="18"/>
          <w:szCs w:val="18"/>
          <w:color w:val="auto"/>
        </w:rPr>
        <w:t>basis, we realized a decrease of $6.0 million related to lower volumes, which was partially offset by $4.1 million of price increases and raw material surcharges.</w:t>
      </w:r>
    </w:p>
    <w:p>
      <w:pPr>
        <w:spacing w:after="0" w:line="10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Cost of Sales</w:t>
      </w:r>
      <w:r>
        <w:rPr>
          <w:rFonts w:ascii="Arial" w:cs="Arial" w:eastAsia="Arial" w:hAnsi="Arial"/>
          <w:sz w:val="18"/>
          <w:szCs w:val="18"/>
          <w:color w:val="auto"/>
        </w:rPr>
        <w:t>. Cost of sales decreased $2.8 million, or 3%, for the six months ended April 30, 2019 compared with the same period in 2018 as a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lower volume.</w:t>
      </w:r>
    </w:p>
    <w:p>
      <w:pPr>
        <w:spacing w:after="0" w:line="89"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i w:val="1"/>
          <w:iCs w:val="1"/>
          <w:color w:val="auto"/>
        </w:rPr>
        <w:t>Selling, General and Administrative</w:t>
      </w:r>
      <w:r>
        <w:rPr>
          <w:rFonts w:ascii="Arial" w:cs="Arial" w:eastAsia="Arial" w:hAnsi="Arial"/>
          <w:sz w:val="16"/>
          <w:szCs w:val="16"/>
          <w:color w:val="auto"/>
        </w:rPr>
        <w:t>. Selling, general and administrative expense increased $0.3 million, or 3%, for the six months ended April 30, 2019</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same period in 2018, primarily due to wage inflation over the period, which was partially offset by a decline in workers' compensation.</w:t>
      </w:r>
    </w:p>
    <w:p>
      <w:pPr>
        <w:spacing w:after="0" w:line="4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Restructuring Charges</w:t>
      </w:r>
      <w:r>
        <w:rPr>
          <w:rFonts w:ascii="Arial" w:cs="Arial" w:eastAsia="Arial" w:hAnsi="Arial"/>
          <w:sz w:val="18"/>
          <w:szCs w:val="18"/>
          <w:color w:val="auto"/>
        </w:rPr>
        <w:t>. Restructuring charges of $0.1 million in the six months ended April 30, 2018 represent equipment moving and other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costs associated with the Mexican plant closure effected in October 2016.</w:t>
      </w:r>
    </w:p>
    <w:p>
      <w:pPr>
        <w:spacing w:after="0" w:line="89"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i w:val="1"/>
          <w:iCs w:val="1"/>
          <w:color w:val="auto"/>
        </w:rPr>
        <w:t>Depreciation and Amortization</w:t>
      </w:r>
      <w:r>
        <w:rPr>
          <w:rFonts w:ascii="Arial" w:cs="Arial" w:eastAsia="Arial" w:hAnsi="Arial"/>
          <w:sz w:val="17"/>
          <w:szCs w:val="17"/>
          <w:color w:val="auto"/>
        </w:rPr>
        <w:t>. Depreciation and amortization expense decreased $0.9 million, or 12%, for the six months ended April 30, 2019</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same period in 2018, reflecting the run-off of depreciation expense related to existing assets and disposals during the period.</w:t>
      </w:r>
    </w:p>
    <w:p>
      <w:pPr>
        <w:spacing w:after="0" w:line="66"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i w:val="1"/>
          <w:iCs w:val="1"/>
          <w:color w:val="auto"/>
        </w:rPr>
        <w:t xml:space="preserve">Asset impairment charges. </w:t>
      </w:r>
      <w:r>
        <w:rPr>
          <w:rFonts w:ascii="Arial" w:cs="Arial" w:eastAsia="Arial" w:hAnsi="Arial"/>
          <w:sz w:val="16"/>
          <w:szCs w:val="16"/>
          <w:color w:val="auto"/>
        </w:rPr>
        <w:t>Asset impairment charges of $30.0 million for the six months ended April 30, 2019 represent a goodwill impairment which</w:t>
      </w:r>
      <w:r>
        <w:rPr>
          <w:rFonts w:ascii="Arial" w:cs="Arial" w:eastAsia="Arial" w:hAnsi="Arial"/>
          <w:sz w:val="16"/>
          <w:szCs w:val="16"/>
          <w:i w:val="1"/>
          <w:iCs w:val="1"/>
          <w:color w:val="auto"/>
        </w:rPr>
        <w:t xml:space="preserve"> </w:t>
      </w:r>
      <w:r>
        <w:rPr>
          <w:rFonts w:ascii="Arial" w:cs="Arial" w:eastAsia="Arial" w:hAnsi="Arial"/>
          <w:sz w:val="16"/>
          <w:szCs w:val="16"/>
          <w:color w:val="auto"/>
        </w:rPr>
        <w:t>was recorded as a result of an industry-wide shift from custom cabinets to stock cabinets. For additional discussion of this interim assessment, see Note 3, "Goodwill and Intangible Assets," to the accompanying unaudited condensed consolidated financial statements contained elsewhere herein.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Unallocated Corporate &amp; Other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gridSpan w:val="4"/>
          </w:tcPr>
          <w:p>
            <w:pPr>
              <w:jc w:val="right"/>
              <w:ind w:right="154"/>
              <w:spacing w:after="0"/>
              <w:rPr>
                <w:sz w:val="20"/>
                <w:szCs w:val="20"/>
                <w:color w:val="auto"/>
              </w:rPr>
            </w:pPr>
            <w:r>
              <w:rPr>
                <w:rFonts w:ascii="Arial" w:cs="Arial" w:eastAsia="Arial" w:hAnsi="Arial"/>
                <w:sz w:val="16"/>
                <w:szCs w:val="16"/>
                <w:b w:val="1"/>
                <w:bCs w:val="1"/>
                <w:color w:val="auto"/>
                <w:w w:val="94"/>
              </w:rPr>
              <w:t>Six Months Ended April 30,</w:t>
            </w:r>
          </w:p>
        </w:tc>
        <w:tc>
          <w:tcPr>
            <w:tcW w:w="1240" w:type="dxa"/>
            <w:vAlign w:val="bottom"/>
          </w:tcPr>
          <w:p>
            <w:pPr>
              <w:spacing w:after="0"/>
              <w:rPr>
                <w:sz w:val="18"/>
                <w:szCs w:val="18"/>
                <w:color w:val="auto"/>
              </w:rPr>
            </w:pPr>
          </w:p>
        </w:tc>
      </w:tr>
      <w:tr>
        <w:trPr>
          <w:trHeight w:val="33"/>
        </w:trPr>
        <w:tc>
          <w:tcPr>
            <w:tcW w:w="65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8"/>
        </w:trPr>
        <w:tc>
          <w:tcPr>
            <w:tcW w:w="652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8"/>
              </w:rPr>
              <w:t>$ Change</w:t>
            </w: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Variance %</w:t>
            </w:r>
          </w:p>
        </w:tc>
      </w:tr>
      <w:tr>
        <w:trPr>
          <w:trHeight w:val="173"/>
        </w:trPr>
        <w:tc>
          <w:tcPr>
            <w:tcW w:w="6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20" w:type="dxa"/>
            <w:vAlign w:val="bottom"/>
            <w:gridSpan w:val="4"/>
          </w:tcPr>
          <w:p>
            <w:pPr>
              <w:jc w:val="right"/>
              <w:ind w:right="574"/>
              <w:spacing w:after="0"/>
              <w:rPr>
                <w:sz w:val="20"/>
                <w:szCs w:val="20"/>
                <w:color w:val="auto"/>
              </w:rPr>
            </w:pPr>
            <w:r>
              <w:rPr>
                <w:rFonts w:ascii="Arial" w:cs="Arial" w:eastAsia="Arial" w:hAnsi="Arial"/>
                <w:sz w:val="13"/>
                <w:szCs w:val="13"/>
                <w:b w:val="1"/>
                <w:bCs w:val="1"/>
                <w:color w:val="auto"/>
              </w:rPr>
              <w:t>(Dollars in millions)</w:t>
            </w:r>
          </w:p>
        </w:tc>
        <w:tc>
          <w:tcPr>
            <w:tcW w:w="1240" w:type="dxa"/>
            <w:vAlign w:val="bottom"/>
          </w:tcPr>
          <w:p>
            <w:pPr>
              <w:spacing w:after="0"/>
              <w:rPr>
                <w:sz w:val="15"/>
                <w:szCs w:val="15"/>
                <w:color w:val="auto"/>
              </w:rPr>
            </w:pPr>
          </w:p>
        </w:tc>
      </w:tr>
      <w:tr>
        <w:trPr>
          <w:trHeight w:val="259"/>
        </w:trPr>
        <w:tc>
          <w:tcPr>
            <w:tcW w:w="6520" w:type="dxa"/>
            <w:vAlign w:val="bottom"/>
          </w:tcPr>
          <w:p>
            <w:pPr>
              <w:ind w:left="40"/>
              <w:spacing w:after="0"/>
              <w:rPr>
                <w:sz w:val="20"/>
                <w:szCs w:val="20"/>
                <w:color w:val="auto"/>
              </w:rPr>
            </w:pPr>
            <w:r>
              <w:rPr>
                <w:rFonts w:ascii="Arial" w:cs="Arial" w:eastAsia="Arial" w:hAnsi="Arial"/>
                <w:sz w:val="18"/>
                <w:szCs w:val="18"/>
                <w:color w:val="auto"/>
              </w:rPr>
              <w:t>Net sales</w:t>
            </w:r>
          </w:p>
        </w:tc>
        <w:tc>
          <w:tcPr>
            <w:tcW w:w="740" w:type="dxa"/>
            <w:vAlign w:val="bottom"/>
          </w:tcPr>
          <w:p>
            <w:pPr>
              <w:jc w:val="right"/>
              <w:ind w:right="536"/>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7"/>
              </w:rPr>
              <w:t>(3.0)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(0.6)</w:t>
            </w:r>
          </w:p>
        </w:tc>
        <w:tc>
          <w:tcPr>
            <w:tcW w:w="1240" w:type="dxa"/>
            <w:vAlign w:val="bottom"/>
          </w:tcPr>
          <w:p>
            <w:pPr>
              <w:jc w:val="center"/>
              <w:ind w:left="14"/>
              <w:spacing w:after="0"/>
              <w:rPr>
                <w:sz w:val="20"/>
                <w:szCs w:val="20"/>
                <w:color w:val="auto"/>
              </w:rPr>
            </w:pPr>
            <w:r>
              <w:rPr>
                <w:rFonts w:ascii="Arial" w:cs="Arial" w:eastAsia="Arial" w:hAnsi="Arial"/>
                <w:sz w:val="18"/>
                <w:szCs w:val="18"/>
                <w:color w:val="auto"/>
                <w:w w:val="95"/>
              </w:rPr>
              <w:t>(25)%</w:t>
            </w:r>
          </w:p>
        </w:tc>
      </w:tr>
      <w:tr>
        <w:trPr>
          <w:trHeight w:val="27"/>
        </w:trPr>
        <w:tc>
          <w:tcPr>
            <w:tcW w:w="6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(excluding depreciation and amortization)</w:t>
            </w:r>
          </w:p>
        </w:tc>
        <w:tc>
          <w:tcPr>
            <w:tcW w:w="7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4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w w:val="94"/>
              </w:rPr>
              <w:t>35%</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74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5.1</w:t>
            </w:r>
          </w:p>
        </w:tc>
        <w:tc>
          <w:tcPr>
            <w:tcW w:w="1240" w:type="dxa"/>
            <w:vAlign w:val="bottom"/>
          </w:tcPr>
          <w:p>
            <w:pPr>
              <w:jc w:val="center"/>
              <w:ind w:left="34"/>
              <w:spacing w:after="0"/>
              <w:rPr>
                <w:sz w:val="20"/>
                <w:szCs w:val="20"/>
                <w:color w:val="auto"/>
              </w:rPr>
            </w:pPr>
            <w:r>
              <w:rPr>
                <w:rFonts w:ascii="Arial" w:cs="Arial" w:eastAsia="Arial" w:hAnsi="Arial"/>
                <w:sz w:val="18"/>
                <w:szCs w:val="18"/>
                <w:color w:val="auto"/>
                <w:w w:val="93"/>
              </w:rPr>
              <w:t>(1,020)%</w:t>
            </w:r>
          </w:p>
        </w:tc>
      </w:tr>
      <w:tr>
        <w:trPr>
          <w:trHeight w:val="27"/>
        </w:trPr>
        <w:tc>
          <w:tcPr>
            <w:tcW w:w="6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7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w w:val="99"/>
              </w:rPr>
              <w:t>—%</w:t>
            </w: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7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40" w:type="dxa"/>
            <w:vAlign w:val="bottom"/>
          </w:tcPr>
          <w:p>
            <w:pPr>
              <w:jc w:val="center"/>
              <w:ind w:left="14"/>
              <w:spacing w:after="0"/>
              <w:rPr>
                <w:sz w:val="20"/>
                <w:szCs w:val="20"/>
                <w:color w:val="auto"/>
              </w:rPr>
            </w:pPr>
            <w:r>
              <w:rPr>
                <w:rFonts w:ascii="Arial" w:cs="Arial" w:eastAsia="Arial" w:hAnsi="Arial"/>
                <w:sz w:val="18"/>
                <w:szCs w:val="18"/>
                <w:color w:val="auto"/>
                <w:w w:val="92"/>
              </w:rPr>
              <w:t>(340)%</w:t>
            </w:r>
          </w:p>
        </w:tc>
      </w:tr>
      <w:tr>
        <w:trPr>
          <w:trHeight w:val="20"/>
        </w:trPr>
        <w:tc>
          <w:tcPr>
            <w:tcW w:w="65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Net sales for Unallocated Corporate &amp; Other represents the elimination of inter-segment sales for the six months ended April 30, 2019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Cost of Sales</w:t>
      </w:r>
      <w:r>
        <w:rPr>
          <w:rFonts w:ascii="Arial" w:cs="Arial" w:eastAsia="Arial" w:hAnsi="Arial"/>
          <w:sz w:val="16"/>
          <w:szCs w:val="16"/>
          <w:color w:val="auto"/>
        </w:rPr>
        <w:t>. Cost of sales for Unallocated Corporate &amp; Other consists of the elimination of inter-segment sales, profit in inventory, and other costs.</w:t>
      </w:r>
    </w:p>
    <w:p>
      <w:pPr>
        <w:spacing w:after="0" w:line="19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i w:val="1"/>
          <w:iCs w:val="1"/>
          <w:color w:val="auto"/>
        </w:rPr>
        <w:t>Selling, General and Administrative</w:t>
      </w:r>
      <w:r>
        <w:rPr>
          <w:rFonts w:ascii="Arial" w:cs="Arial" w:eastAsia="Arial" w:hAnsi="Arial"/>
          <w:sz w:val="17"/>
          <w:szCs w:val="17"/>
          <w:color w:val="auto"/>
        </w:rPr>
        <w:t>. Selling, general and administrative expenses increased $5.1 million for the six months ended April 30, 2019</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same period in 2018. This increase is attributable to (i) $2.5 million of higher compensation expense primarily related to the valuations of our stock based compensation awards, (ii) $1.2 million of higher medical expenses due to a higher claims experience, and (iii) higher severance expense of $1.2 million as a result of a reduction in headcount during the six months ended April 30, 2019 as compared to the prior year period.</w:t>
      </w:r>
    </w:p>
    <w:p>
      <w:pPr>
        <w:spacing w:after="0" w:line="11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remained flat for the six months ended April 30, 2019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2018. Relatively few new assets were placed in service at corporate during the trailing twelve months ended April 30,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related to Non-Operating Items:</w:t>
      </w:r>
    </w:p>
    <w:p>
      <w:pPr>
        <w:spacing w:after="0" w:line="21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increased $0.1 million for the six months ended April 30, 2019 compared to the same period in 2018. Lower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rates on our revolving credit facility were offset by a higher average outstanding debt balance.</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Other, net</w:t>
      </w:r>
      <w:r>
        <w:rPr>
          <w:rFonts w:ascii="Arial" w:cs="Arial" w:eastAsia="Arial" w:hAnsi="Arial"/>
          <w:sz w:val="18"/>
          <w:szCs w:val="18"/>
          <w:color w:val="auto"/>
        </w:rPr>
        <w:t>. The decrease in other, net of $0.4 million at April 30, 2019 compared to the same period in 2018 relates primarily to a decrease in net</w:t>
      </w:r>
      <w:r>
        <w:rPr>
          <w:rFonts w:ascii="Arial" w:cs="Arial" w:eastAsia="Arial" w:hAnsi="Arial"/>
          <w:sz w:val="18"/>
          <w:szCs w:val="18"/>
          <w:i w:val="1"/>
          <w:iCs w:val="1"/>
          <w:color w:val="auto"/>
        </w:rPr>
        <w:t xml:space="preserve"> </w:t>
      </w:r>
      <w:r>
        <w:rPr>
          <w:rFonts w:ascii="Arial" w:cs="Arial" w:eastAsia="Arial" w:hAnsi="Arial"/>
          <w:sz w:val="18"/>
          <w:szCs w:val="18"/>
          <w:color w:val="auto"/>
        </w:rPr>
        <w:t>pension service benefits.</w:t>
      </w:r>
    </w:p>
    <w:p>
      <w:pPr>
        <w:spacing w:after="0" w:line="11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We recorded income tax expense of $1.0 million on a pre-tax loss of $26.6 million for the six months ended April 30, 2019, an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rate of 3.6% and income tax benefit of $6.2 million on pre-tax income of $2.9 million for the six months ended April 30, 2018, an effective benefit rate of 211.5%. The effective rate for the six months ended April 30, 2019 was primarily impacted by the fact that the $30.0 million asset impairment charge in the North American Cabinets Components segment did not generate a tax benefit. The effective rate for the six months ended April 30, 2018 reflects the impact of the Tax Cuts and Jobs Act, which was signed into law on December 22, 2017 and reduced our federal tax rate from 35.0% to 21.0% as of January 1, 2018, which resulted in a discrete tax benefit.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Historically, our principal sources of funds have been cash on hand, cash flow from operations, and borrowings under our credit facilities.</w:t>
      </w:r>
    </w:p>
    <w:p>
      <w:pPr>
        <w:spacing w:after="0" w:line="14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maintain a $325.0 million revolving credit facility (the Credit Facility). The Credit Facility matures in 2023 (5-year term) and requires interest payments calculated, at our election and depending upon our Consolidated Leverage Ratio, at either a Base Rate plus an applicable margin (0.25% to 1.00%) or the LIBOR Rate plus an applicable margin (1.25% to 2.00%). The applicable rate during the six months ended April 30, 2019 fluctuated between LIBOR + 1.50% and 1.75%. In addition to the Consolidated Leverage Ratio covenant, we are required to meet a Consolidated Interest Coverage Ratio covenant, and there are limitations on certain transactions including our ability to incur indebtedness, incur liens, dispose of material assets, acquire businesses, make restricted payments and pay dividends (limited to $20.0 million per year). We are amortizing deferred financing fees of $1.3 million straight-line over the remaining term of the facility.</w:t>
      </w:r>
    </w:p>
    <w:p>
      <w:pPr>
        <w:spacing w:after="0" w:line="108"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As of April 30, 2019, we had $20.3 million of cash and equivalents, $210.0 million outstanding under the Credit Facility, $4.8 million of outstanding letters of credit and $17.2 million outstanding under capital leases. We had $110.2 million available for use under the Credit Facility at April 30, 2019.</w:t>
      </w:r>
    </w:p>
    <w:p>
      <w:pPr>
        <w:spacing w:after="0" w:line="6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repatriated $5.3 million of foreign cash during the six months ended April 30, 2019. We expect to repatriate excess cash moving forward and utilize the funds to retire debt or meet current working capital needs.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Analysis of Cash Flow</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cash flow results for the six months ended April 30, 2019 and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1040" w:type="dxa"/>
            <w:vAlign w:val="bottom"/>
          </w:tcPr>
          <w:p>
            <w:pPr>
              <w:spacing w:after="0"/>
              <w:rPr>
                <w:sz w:val="16"/>
                <w:szCs w:val="16"/>
                <w:color w:val="auto"/>
              </w:rPr>
            </w:pPr>
          </w:p>
        </w:tc>
      </w:tr>
      <w:tr>
        <w:trPr>
          <w:trHeight w:val="276"/>
        </w:trPr>
        <w:tc>
          <w:tcPr>
            <w:tcW w:w="80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April 30,</w:t>
            </w:r>
          </w:p>
        </w:tc>
        <w:tc>
          <w:tcPr>
            <w:tcW w:w="1040" w:type="dxa"/>
            <w:vAlign w:val="bottom"/>
            <w:tcBorders>
              <w:bottom w:val="single" w:sz="8" w:color="auto"/>
            </w:tcBorders>
          </w:tcPr>
          <w:p>
            <w:pPr>
              <w:spacing w:after="0"/>
              <w:rPr>
                <w:sz w:val="24"/>
                <w:szCs w:val="24"/>
                <w:color w:val="auto"/>
              </w:rPr>
            </w:pPr>
          </w:p>
        </w:tc>
      </w:tr>
      <w:tr>
        <w:trPr>
          <w:trHeight w:val="264"/>
        </w:trPr>
        <w:tc>
          <w:tcPr>
            <w:tcW w:w="800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r>
      <w:tr>
        <w:trPr>
          <w:trHeight w:val="196"/>
        </w:trPr>
        <w:tc>
          <w:tcPr>
            <w:tcW w:w="8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1040" w:type="dxa"/>
            <w:vAlign w:val="bottom"/>
          </w:tcPr>
          <w:p>
            <w:pPr>
              <w:spacing w:after="0"/>
              <w:rPr>
                <w:sz w:val="17"/>
                <w:szCs w:val="17"/>
                <w:color w:val="auto"/>
              </w:rPr>
            </w:pPr>
          </w:p>
        </w:tc>
      </w:tr>
      <w:tr>
        <w:trPr>
          <w:trHeight w:val="256"/>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0.1</w:t>
            </w:r>
          </w:p>
        </w:tc>
        <w:tc>
          <w:tcPr>
            <w:tcW w:w="6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21.6</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Cash used for investing activities</w:t>
            </w:r>
          </w:p>
        </w:tc>
        <w:tc>
          <w:tcPr>
            <w:tcW w:w="1040" w:type="dxa"/>
            <w:vAlign w:val="bottom"/>
          </w:tcPr>
          <w:p>
            <w:pPr>
              <w:jc w:val="right"/>
              <w:ind w:right="834"/>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59"/>
              <w:spacing w:after="0"/>
              <w:rPr>
                <w:sz w:val="20"/>
                <w:szCs w:val="20"/>
                <w:color w:val="auto"/>
              </w:rPr>
            </w:pPr>
            <w:r>
              <w:rPr>
                <w:rFonts w:ascii="Arial" w:cs="Arial" w:eastAsia="Arial" w:hAnsi="Arial"/>
                <w:sz w:val="18"/>
                <w:szCs w:val="18"/>
                <w:color w:val="auto"/>
              </w:rPr>
              <w:t>(12.7)</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7"/>
        </w:trPr>
        <w:tc>
          <w:tcPr>
            <w:tcW w:w="8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8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provided by (used for) financing activities</w:t>
            </w:r>
          </w:p>
        </w:tc>
        <w:tc>
          <w:tcPr>
            <w:tcW w:w="1040" w:type="dxa"/>
            <w:vAlign w:val="bottom"/>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3.9</w:t>
            </w:r>
          </w:p>
        </w:tc>
        <w:tc>
          <w:tcPr>
            <w:tcW w:w="6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7"/>
        </w:trPr>
        <w:tc>
          <w:tcPr>
            <w:tcW w:w="80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Operating cash flow for the six months ended April 30, 2019 declined approximately $21.5 million compared to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April 30, 2018. Cash receipts were unfavorably impacted by a reduction in net income as well as unfavorable working capital changes, including a higher payout of accrued incentives and higher spending on the seasonal inventory build compared to 2018.</w:t>
      </w:r>
    </w:p>
    <w:p>
      <w:pPr>
        <w:spacing w:after="0" w:line="10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for investing activities decreased $2.3 million when comparing the six months ended April 30, 2019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in 2018 related to a decline in capital expenditures.</w:t>
      </w:r>
    </w:p>
    <w:p>
      <w:pPr>
        <w:spacing w:after="0" w:line="8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provided by financing activities was $3.9 million for the six months ended April 30, 2019, primarily attributable to $14.2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of net borrowings of debt, partially offset by dividends paid to our shareholders of $5.3 million, and $4.7 million related to the purchase of treasury stock. For the six months ended April 30, 2018, cash used for financing activities was $13.9 million, primarily attributable to $12.9 million of net repayments of debt, dividends paid to our shareholders of $2.8 million, and $0.7 million of cash paid for payroll taxes related to stock based compensation, partially offset by $2.6 million of proceeds received from stock option exercises.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Requirements</w:t>
      </w:r>
    </w:p>
    <w:p>
      <w:pPr>
        <w:spacing w:after="0" w:line="171"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Our strategy for deploying cash is to invest in organic growth opportunities, develop our infrastructure, and make strategic acquisitions. Other uses of cash include paying cash dividends to our shareholders and repurchasing our common stock. We have historically invested cash and cash equivalents in commercial paper with terms of three months or less. We did not have any investments during the six months ended April 30, 2019 and 2018. We maintain cash balances in foreign countries which total $13.1 million as of April 30, 2019. During the six months ended April 30, 2019, we repatriated $5.3 million of foreign earnings from our foreign locations.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The preparation of our financial statements in accordance with accounting principles generally accepted in the U.S. (U.S. GAAP) requires us to make estimates and assumptions that affect the reported amount of assets, liabilities, revenues and expenses and related disclosures of contingent assets and liabilities. Estimates and assumptions about future events and their effects cannot be perceived with certainty. Estimates may change as new events occur, as more experience is acquired, as additional information becomes available and as our operating environment changes. We base our estimates on historical experience and on various other assumptions that we believe are reasonable under the circumstances, and that we believe provide a basis for making judgments about the carrying value of assets and liabilities that are not readily available through open market quotes. We must use our judgment with regard to uncertainties in order to make these estimates. Actual results could differ from these estimates.</w:t>
      </w:r>
    </w:p>
    <w:p>
      <w:pPr>
        <w:spacing w:after="0" w:line="9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a description of our critical accounting policies and estimates, see our Annual Report on Form 10-K for the fiscal year ended October 31, 2018. During the six months ended April 30, 2019, we changed our critical accounting policy related to inventory. Specifically, we changed the method of inventory costing for certain inventory to the first-in first-out (FIFO) method from the last-in first-out (LIFO) method. For further details of this change, refer to "Part I, Financial Information" of this Quarterly Report on Form 10-Q.</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4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(FASB) or other standards setting bodies that we adopt as of the specified effective date. Unless otherwise discussed, we believe the impact of any recently issued standards that are not yet effective are either not applicable to us at this time or will not have a material impact on our consolidated financial statements upon adoption.</w:t>
      </w:r>
    </w:p>
    <w:p>
      <w:pPr>
        <w:spacing w:after="0" w:line="8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 Amendments to the Accounting Standards Codification</w:t>
      </w:r>
      <w:r>
        <w:rPr>
          <w:rFonts w:ascii="Arial" w:cs="Arial" w:eastAsia="Arial" w:hAnsi="Arial"/>
          <w:sz w:val="17"/>
          <w:szCs w:val="17"/>
          <w:color w:val="auto"/>
        </w:rPr>
        <w:t>. These amendments replace current guidance and require the recognition of lease assets and lease liabilities by lessees for those leases classified as operating leases under previous U.S. GAAP. The amendments apply to any entity that enters into leasing arrangements. This guidance becomes effective for fiscal years beginning after December 15, 2018, and, therefore, we will adopt this pronouncement in fiscal 2020 using the current period adjustment method approved by the FASB in March 2018. This method allows us to not restate comparative periods and instead apply the new standard on a prospective basis as of the date of adoption. Under this method, a cumulative-effect adjustment is recorded to retained earnings as of the beginning of the period of adoption. We are currently in the process of gathering and reviewing our contracts, as well as reviewing our current accounting policies, controls, processes and disclosures that will change as a result of adopting this new standard. We are also evaluating the practical expedients available to us within the new guidance so that we can make a determination on which practical expedients to adopt. While our evaluation is still in process, we expect the adoption to have a significant impact on our Consolidated Balance Sheet.</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Refer to our Annual Report on Form 10-K for the year ended October 31, 2018 for additional standards we are currently evaluating.</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3. Quantitative and Qualitative Disclosures About Market Risk</w:t>
      </w:r>
    </w:p>
    <w:p>
      <w:pPr>
        <w:spacing w:after="0" w:line="17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following discussion of our exposure to various market risks contains “forward looking statements” regarding our estimates, assumptions and beliefs concerning our exposure. Although we believe these estimates and assumptions are reasonable in light of information currently available to us, we cannot provide assurance that these estimates will not materially differ from actual results due to the inherent unpredictability of interest rates, foreign currency rates and commodity prices as well as other factors. We do not use derivative financial instruments for speculative or trading purposes.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outstanding debt bears interest at variable rates and accordingly is sensitive to changes in interest rates. Based upon the balances of the variable rate debt at April 30, 2019, a hypothetical 1.0% increase or decrease in interest rates could result in approximately $2.1 million of additional pretax charges or credit to our operating results per year. This sensitivity is impacted by the amount of borrowings under our credit facilities, and amounts outstanding under finance leases.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Rate Risk</w:t>
      </w:r>
    </w:p>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international operations have exposure to foreign currency rate risks, primarily due to fluctuations in the Euro, the British Pound Sterling and the Canadian Dollar. From time to time, we enter into foreign exchange contracts associated with our operations to manage a portion of the foreign currency rate risk.</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notional and fair market values of these positions at April 30, 2019 and October 31, 2018, were as follows (in thousands):</w:t>
      </w: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840" w:type="dxa"/>
            <w:vAlign w:val="bottom"/>
            <w:tcBorders>
              <w:bottom w:val="single" w:sz="8" w:color="auto"/>
            </w:tcBorders>
            <w:gridSpan w:val="3"/>
          </w:tcPr>
          <w:p>
            <w:pPr>
              <w:jc w:val="right"/>
              <w:ind w:right="675"/>
              <w:spacing w:after="0"/>
              <w:rPr>
                <w:sz w:val="20"/>
                <w:szCs w:val="20"/>
                <w:color w:val="auto"/>
              </w:rPr>
            </w:pPr>
            <w:r>
              <w:rPr>
                <w:rFonts w:ascii="Arial" w:cs="Arial" w:eastAsia="Arial" w:hAnsi="Arial"/>
                <w:sz w:val="14"/>
                <w:szCs w:val="14"/>
                <w:b w:val="1"/>
                <w:bCs w:val="1"/>
                <w:color w:val="auto"/>
              </w:rPr>
              <w:t>Notional as indicated</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875"/>
              <w:spacing w:after="0"/>
              <w:rPr>
                <w:sz w:val="20"/>
                <w:szCs w:val="20"/>
                <w:color w:val="auto"/>
              </w:rPr>
            </w:pPr>
            <w:r>
              <w:rPr>
                <w:rFonts w:ascii="Arial" w:cs="Arial" w:eastAsia="Arial" w:hAnsi="Arial"/>
                <w:sz w:val="14"/>
                <w:szCs w:val="14"/>
                <w:b w:val="1"/>
                <w:bCs w:val="1"/>
                <w:color w:val="auto"/>
              </w:rPr>
              <w:t>Fair Value in $</w:t>
            </w:r>
          </w:p>
        </w:tc>
      </w:tr>
      <w:tr>
        <w:trPr>
          <w:trHeight w:val="152"/>
        </w:trPr>
        <w:tc>
          <w:tcPr>
            <w:tcW w:w="35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500" w:type="dxa"/>
            <w:vAlign w:val="bottom"/>
            <w:gridSpan w:val="2"/>
          </w:tcPr>
          <w:p>
            <w:pPr>
              <w:ind w:left="400"/>
              <w:spacing w:after="0" w:line="153" w:lineRule="exact"/>
              <w:rPr>
                <w:sz w:val="20"/>
                <w:szCs w:val="20"/>
                <w:color w:val="auto"/>
              </w:rPr>
            </w:pPr>
            <w:r>
              <w:rPr>
                <w:rFonts w:ascii="Arial" w:cs="Arial" w:eastAsia="Arial" w:hAnsi="Arial"/>
                <w:sz w:val="14"/>
                <w:szCs w:val="14"/>
                <w:b w:val="1"/>
                <w:bCs w:val="1"/>
                <w:color w:val="auto"/>
              </w:rPr>
              <w:t>April 30,</w:t>
            </w:r>
          </w:p>
        </w:tc>
        <w:tc>
          <w:tcPr>
            <w:tcW w:w="156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October 31,</w:t>
            </w:r>
          </w:p>
        </w:tc>
        <w:tc>
          <w:tcPr>
            <w:tcW w:w="240" w:type="dxa"/>
            <w:vAlign w:val="bottom"/>
          </w:tcPr>
          <w:p>
            <w:pPr>
              <w:spacing w:after="0"/>
              <w:rPr>
                <w:sz w:val="13"/>
                <w:szCs w:val="13"/>
                <w:color w:val="auto"/>
              </w:rPr>
            </w:pPr>
          </w:p>
        </w:tc>
        <w:tc>
          <w:tcPr>
            <w:tcW w:w="122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April 30,</w:t>
            </w:r>
          </w:p>
        </w:tc>
        <w:tc>
          <w:tcPr>
            <w:tcW w:w="220" w:type="dxa"/>
            <w:vAlign w:val="bottom"/>
          </w:tcPr>
          <w:p>
            <w:pPr>
              <w:spacing w:after="0"/>
              <w:rPr>
                <w:sz w:val="13"/>
                <w:szCs w:val="13"/>
                <w:color w:val="auto"/>
              </w:rPr>
            </w:pPr>
          </w:p>
        </w:tc>
        <w:tc>
          <w:tcPr>
            <w:tcW w:w="1160" w:type="dxa"/>
            <w:vAlign w:val="bottom"/>
          </w:tcPr>
          <w:p>
            <w:pPr>
              <w:jc w:val="right"/>
              <w:ind w:right="275"/>
              <w:spacing w:after="0" w:line="153" w:lineRule="exact"/>
              <w:rPr>
                <w:sz w:val="20"/>
                <w:szCs w:val="20"/>
                <w:color w:val="auto"/>
              </w:rPr>
            </w:pPr>
            <w:r>
              <w:rPr>
                <w:rFonts w:ascii="Arial" w:cs="Arial" w:eastAsia="Arial" w:hAnsi="Arial"/>
                <w:sz w:val="14"/>
                <w:szCs w:val="14"/>
                <w:b w:val="1"/>
                <w:bCs w:val="1"/>
                <w:color w:val="auto"/>
              </w:rPr>
              <w:t>October 31,</w:t>
            </w:r>
          </w:p>
        </w:tc>
      </w:tr>
      <w:tr>
        <w:trPr>
          <w:trHeight w:val="192"/>
        </w:trPr>
        <w:tc>
          <w:tcPr>
            <w:tcW w:w="35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3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3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2018</w:t>
            </w:r>
          </w:p>
        </w:tc>
      </w:tr>
      <w:tr>
        <w:trPr>
          <w:trHeight w:val="243"/>
        </w:trPr>
        <w:tc>
          <w:tcPr>
            <w:tcW w:w="3540" w:type="dxa"/>
            <w:vAlign w:val="bottom"/>
          </w:tcPr>
          <w:p>
            <w:pPr>
              <w:jc w:val="center"/>
              <w:ind w:right="1290"/>
              <w:spacing w:after="0"/>
              <w:rPr>
                <w:sz w:val="20"/>
                <w:szCs w:val="20"/>
                <w:color w:val="auto"/>
              </w:rPr>
            </w:pPr>
            <w:r>
              <w:rPr>
                <w:rFonts w:ascii="Arial" w:cs="Arial" w:eastAsia="Arial" w:hAnsi="Arial"/>
                <w:sz w:val="18"/>
                <w:szCs w:val="18"/>
                <w:color w:val="auto"/>
                <w:w w:val="91"/>
              </w:rPr>
              <w:t>Foreign currency derivatives:</w:t>
            </w:r>
          </w:p>
        </w:tc>
        <w:tc>
          <w:tcPr>
            <w:tcW w:w="19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jc w:val="center"/>
              <w:ind w:right="1230"/>
              <w:spacing w:after="0"/>
              <w:rPr>
                <w:sz w:val="20"/>
                <w:szCs w:val="20"/>
                <w:color w:val="auto"/>
              </w:rPr>
            </w:pPr>
            <w:r>
              <w:rPr>
                <w:rFonts w:ascii="Arial" w:cs="Arial" w:eastAsia="Arial" w:hAnsi="Arial"/>
                <w:sz w:val="18"/>
                <w:szCs w:val="18"/>
                <w:color w:val="auto"/>
                <w:w w:val="94"/>
              </w:rPr>
              <w:t>Sell EUR, buy USD</w:t>
            </w:r>
          </w:p>
        </w:tc>
        <w:tc>
          <w:tcPr>
            <w:tcW w:w="192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rPr>
              <w:t>EUR</w:t>
            </w: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1,644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455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r>
      <w:tr>
        <w:trPr>
          <w:trHeight w:val="243"/>
        </w:trPr>
        <w:tc>
          <w:tcPr>
            <w:tcW w:w="3540" w:type="dxa"/>
            <w:vAlign w:val="bottom"/>
          </w:tcPr>
          <w:p>
            <w:pPr>
              <w:jc w:val="center"/>
              <w:ind w:right="1210"/>
              <w:spacing w:after="0"/>
              <w:rPr>
                <w:sz w:val="20"/>
                <w:szCs w:val="20"/>
                <w:color w:val="auto"/>
              </w:rPr>
            </w:pPr>
            <w:r>
              <w:rPr>
                <w:rFonts w:ascii="Arial" w:cs="Arial" w:eastAsia="Arial" w:hAnsi="Arial"/>
                <w:sz w:val="18"/>
                <w:szCs w:val="18"/>
                <w:color w:val="auto"/>
                <w:w w:val="95"/>
              </w:rPr>
              <w:t>Sell CAD, buy USD</w:t>
            </w:r>
          </w:p>
        </w:tc>
        <w:tc>
          <w:tcPr>
            <w:tcW w:w="1920" w:type="dxa"/>
            <w:vAlign w:val="bottom"/>
          </w:tcPr>
          <w:p>
            <w:pPr>
              <w:ind w:left="1380"/>
              <w:spacing w:after="0"/>
              <w:rPr>
                <w:sz w:val="20"/>
                <w:szCs w:val="20"/>
                <w:color w:val="auto"/>
              </w:rPr>
            </w:pPr>
            <w:r>
              <w:rPr>
                <w:rFonts w:ascii="Arial" w:cs="Arial" w:eastAsia="Arial" w:hAnsi="Arial"/>
                <w:sz w:val="18"/>
                <w:szCs w:val="18"/>
                <w:color w:val="auto"/>
              </w:rPr>
              <w:t>CAD</w:t>
            </w: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229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jc w:val="center"/>
              <w:ind w:right="1270"/>
              <w:spacing w:after="0"/>
              <w:rPr>
                <w:sz w:val="20"/>
                <w:szCs w:val="20"/>
                <w:color w:val="auto"/>
              </w:rPr>
            </w:pPr>
            <w:r>
              <w:rPr>
                <w:rFonts w:ascii="Arial" w:cs="Arial" w:eastAsia="Arial" w:hAnsi="Arial"/>
                <w:sz w:val="18"/>
                <w:szCs w:val="18"/>
                <w:color w:val="auto"/>
                <w:w w:val="91"/>
              </w:rPr>
              <w:t>Sell GBP, buy USD</w:t>
            </w:r>
          </w:p>
        </w:tc>
        <w:tc>
          <w:tcPr>
            <w:tcW w:w="192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rPr>
              <w:t>GBP</w:t>
            </w: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jc w:val="center"/>
              <w:ind w:right="1250"/>
              <w:spacing w:after="0"/>
              <w:rPr>
                <w:sz w:val="20"/>
                <w:szCs w:val="20"/>
                <w:color w:val="auto"/>
              </w:rPr>
            </w:pPr>
            <w:r>
              <w:rPr>
                <w:rFonts w:ascii="Arial" w:cs="Arial" w:eastAsia="Arial" w:hAnsi="Arial"/>
                <w:sz w:val="18"/>
                <w:szCs w:val="18"/>
                <w:color w:val="auto"/>
                <w:w w:val="93"/>
              </w:rPr>
              <w:t>Buy EUR, sell GBP</w:t>
            </w:r>
          </w:p>
        </w:tc>
        <w:tc>
          <w:tcPr>
            <w:tcW w:w="1920" w:type="dxa"/>
            <w:vAlign w:val="bottom"/>
          </w:tcPr>
          <w:p>
            <w:pPr>
              <w:ind w:left="1400"/>
              <w:spacing w:after="0"/>
              <w:rPr>
                <w:sz w:val="20"/>
                <w:szCs w:val="20"/>
                <w:color w:val="auto"/>
              </w:rPr>
            </w:pPr>
            <w:r>
              <w:rPr>
                <w:rFonts w:ascii="Arial" w:cs="Arial" w:eastAsia="Arial" w:hAnsi="Arial"/>
                <w:sz w:val="18"/>
                <w:szCs w:val="18"/>
                <w:color w:val="auto"/>
              </w:rPr>
              <w:t>EUR</w:t>
            </w: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3540" w:type="dxa"/>
            <w:vAlign w:val="bottom"/>
            <w:shd w:val="clear" w:color="auto" w:fill="CCEEFF"/>
          </w:tcPr>
          <w:p>
            <w:pPr>
              <w:jc w:val="center"/>
              <w:ind w:right="1230"/>
              <w:spacing w:after="0"/>
              <w:rPr>
                <w:sz w:val="20"/>
                <w:szCs w:val="20"/>
                <w:color w:val="auto"/>
              </w:rPr>
            </w:pPr>
            <w:r>
              <w:rPr>
                <w:rFonts w:ascii="Arial" w:cs="Arial" w:eastAsia="Arial" w:hAnsi="Arial"/>
                <w:sz w:val="18"/>
                <w:szCs w:val="18"/>
                <w:color w:val="auto"/>
                <w:w w:val="94"/>
              </w:rPr>
              <w:t>Buy USD, sell EUR</w:t>
            </w:r>
          </w:p>
        </w:tc>
        <w:tc>
          <w:tcPr>
            <w:tcW w:w="192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USD</w:t>
            </w:r>
          </w:p>
        </w:tc>
        <w:tc>
          <w:tcPr>
            <w:tcW w:w="13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At April 30, 2019 and October 31, 2018, we held foreign currency derivative contracts hedging cross-border intercompany and commercial activity for our insulating glass spacer business. Although these derivatives hedge our exposure to fluctuations in foreign currency rates, we do not apply hedge accounting and therefore, the change in the fair value of these foreign currency derivatives is recorded directly to other income and expense in the accompanying condensed consolidated statements of income (loss). To the extent the gain or loss on the derivative instrument offsets the gain or loss from the re-measurement of the underlying foreign currency balance, changes in exchange rates should have no effect. See Note 9, "Derivative Instruments," to the accompanying unaudited condensed consolidated financial statements contained elsewhere herein.</w:t>
      </w:r>
    </w:p>
    <w:p>
      <w:pPr>
        <w:spacing w:after="0" w:line="9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three and six months ended April 30, 2018, we maintained an unhedged foreign currency position associated with debt borrowed to facilitate an acquisition within our EU Fenestration business, resulting in an unrealized loss of $0.1 million and and unrealized gain of $0.2 million, respectively, associated with this foreign currency exposure.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4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purchase polyvinyl resin (PVC) as the significant raw material consumed in the manufacture of vinyl extrusions. We have a monthly resin adjuster in place with a majority of our customers and our resin supplier that is adjusted based upon published industry indices for resin prices for the prior month. This adjuster effectively shares the base pass-through price changes of PVC with our customers commensurate with the market at large. Our long-term exposure to changes in PVC prices is somewhat mitigated due to the contractual component of the resin adjuster program. In addition, there is a level of exposure to short-term volatility due to the one month lag.</w:t>
      </w:r>
    </w:p>
    <w:p>
      <w:pPr>
        <w:spacing w:after="0" w:line="10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also charge certain customers a surcharge related to petroleum-based raw materials. The surcharge is intended to offset the rising cost of products which are highly correlated to the price of oil including butyl and other oil-based raw materials. The surcharge is in place with the majority of our customers who purchase these products and is adjusted monthly based upon the 90-day average published price for Brent crude. The oil-based raw materials that we purchase are subject to similar pricing schemes. As such, our long-term exposure to changes in oil-based raw material prices is significantly reduced under this surcharge program.</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Similarly, our NA Cabinet Components business includes a surcharge provision in the majority of its customer arrangements to insulate against significant fluctuations in the price for various hardwood products used as the primary raw material for kitchen and bathroom cabinet doors. We are exposed to short-term volatility in wood prices due to a lag in the timing of price updates which generally could extend for up to three months.</w:t>
      </w:r>
    </w:p>
    <w:p>
      <w:pPr>
        <w:spacing w:after="0" w:line="8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While we maintain surcharges and other adjusters to manage our exposure to changes in the prices of our critical raw materials, we utilize several commodities in our business that are not covered by contractual surcharges or adjusters for which pricing can fluctuate, including titanium dioxide (TiO2), aluminum, silicone and other inputs. Further discussion of our industry risks is included within our Annual Report on Form 10-K for the year ended October 31, 2018.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the Chief Executive Officer and Chief Financial Officer, we have evaluated the effectiveness of our disclosure controls and procedures pursuant to Rules 13a-15(e) and 15d-15(e) under the Securities Exchange Act of 1934 (1934 Act) as of April 30, 2019. Based on that evaluation, the Chief Executive Officer and Chief Financial Officer concluded that, as of April 30, 2019, the disclosure controls and procedures are effective.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There have been no changes in internal controls over financial reporting (as defined in Rules 13a-15(f) and 15d-15(f) under the 1934 Act) during the most recent fiscal quarter that have materially affected or are reasonably likely to materially affect our internal control over financial reporting.</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PART II.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the three months ended April 30, 2019, we repurchased common stock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3"/>
              </w:rPr>
              <w:t>(c) Total Number of</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ind w:right="40"/>
              <w:spacing w:after="0"/>
              <w:rPr>
                <w:sz w:val="20"/>
                <w:szCs w:val="20"/>
                <w:color w:val="auto"/>
              </w:rPr>
            </w:pPr>
            <w:r>
              <w:rPr>
                <w:rFonts w:ascii="Arial" w:cs="Arial" w:eastAsia="Arial" w:hAnsi="Arial"/>
                <w:sz w:val="14"/>
                <w:szCs w:val="14"/>
                <w:b w:val="1"/>
                <w:bCs w:val="1"/>
                <w:color w:val="auto"/>
                <w:w w:val="95"/>
              </w:rPr>
              <w:t>(d) Maximum US Dollars</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2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Remaining that May Yet Be</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 Total Number of</w:t>
            </w:r>
          </w:p>
        </w:tc>
        <w:tc>
          <w:tcPr>
            <w:tcW w:w="15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(b) Average Price Paid</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Used to Purchase Shares</w:t>
            </w:r>
          </w:p>
        </w:tc>
        <w:tc>
          <w:tcPr>
            <w:tcW w:w="0" w:type="dxa"/>
            <w:vAlign w:val="bottom"/>
          </w:tcPr>
          <w:p>
            <w:pPr>
              <w:spacing w:after="0"/>
              <w:rPr>
                <w:sz w:val="1"/>
                <w:szCs w:val="1"/>
                <w:color w:val="auto"/>
              </w:rPr>
            </w:pPr>
          </w:p>
        </w:tc>
      </w:tr>
      <w:tr>
        <w:trPr>
          <w:trHeight w:val="149"/>
        </w:trPr>
        <w:tc>
          <w:tcPr>
            <w:tcW w:w="458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Under the Plans or</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 xml:space="preserve">Programs </w:t>
            </w:r>
            <w:r>
              <w:rPr>
                <w:rFonts w:ascii="Arial" w:cs="Arial" w:eastAsia="Arial" w:hAnsi="Arial"/>
                <w:sz w:val="8"/>
                <w:szCs w:val="8"/>
                <w:b w:val="1"/>
                <w:bCs w:val="1"/>
                <w:color w:val="auto"/>
                <w:w w:val="96"/>
              </w:rPr>
              <w:t>(1)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(1)</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February 1, 2019 through February 28, 2019</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25,949,910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March 1, 2019 through March 31, 2019</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152,636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15.67</w:t>
            </w:r>
          </w:p>
        </w:tc>
        <w:tc>
          <w:tcPr>
            <w:tcW w:w="100" w:type="dxa"/>
            <w:vAlign w:val="bottom"/>
          </w:tcPr>
          <w:p>
            <w:pPr>
              <w:spacing w:after="0"/>
              <w:rPr>
                <w:sz w:val="21"/>
                <w:szCs w:val="21"/>
                <w:color w:val="auto"/>
              </w:rPr>
            </w:pPr>
          </w:p>
        </w:tc>
        <w:tc>
          <w:tcPr>
            <w:tcW w:w="1580" w:type="dxa"/>
            <w:vAlign w:val="bottom"/>
          </w:tcPr>
          <w:p>
            <w:pPr>
              <w:jc w:val="right"/>
              <w:ind w:right="20"/>
              <w:spacing w:after="0"/>
              <w:rPr>
                <w:sz w:val="20"/>
                <w:szCs w:val="20"/>
                <w:color w:val="auto"/>
              </w:rPr>
            </w:pPr>
            <w:r>
              <w:rPr>
                <w:rFonts w:ascii="Arial" w:cs="Arial" w:eastAsia="Arial" w:hAnsi="Arial"/>
                <w:sz w:val="18"/>
                <w:szCs w:val="18"/>
                <w:color w:val="auto"/>
              </w:rPr>
              <w:t>152,636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20"/>
              <w:spacing w:after="0"/>
              <w:rPr>
                <w:sz w:val="20"/>
                <w:szCs w:val="20"/>
                <w:color w:val="auto"/>
              </w:rPr>
            </w:pPr>
            <w:r>
              <w:rPr>
                <w:rFonts w:ascii="Arial" w:cs="Arial" w:eastAsia="Arial" w:hAnsi="Arial"/>
                <w:sz w:val="18"/>
                <w:szCs w:val="18"/>
                <w:color w:val="auto"/>
              </w:rPr>
              <w:t>23,558,264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April 1, 2019 through April 30, 2019</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18,380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16.01</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18,380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23,264,059</w:t>
            </w:r>
          </w:p>
        </w:tc>
        <w:tc>
          <w:tcPr>
            <w:tcW w:w="0" w:type="dxa"/>
            <w:vAlign w:val="bottom"/>
          </w:tcPr>
          <w:p>
            <w:pPr>
              <w:spacing w:after="0"/>
              <w:rPr>
                <w:sz w:val="1"/>
                <w:szCs w:val="1"/>
                <w:color w:val="auto"/>
              </w:rPr>
            </w:pP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171,016</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15.71</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color w:val="auto"/>
              </w:rPr>
              <w:t>171,016</w:t>
            </w: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420" w:hanging="7"/>
        <w:spacing w:after="0" w:line="232" w:lineRule="auto"/>
        <w:tabs>
          <w:tab w:leader="none" w:pos="625"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On August 30, 2018, our Board of Directors approved a stock repurchase program that authorized the repurchase of up to $60.0 million worth of shares of our common stock. Repurchases under the new program will be made in open market transactions or privately negotiated transactions, subject to market conditions, applicable legal requirements and other relevant factors. The program does not have an expiration date or a limit on the number of shares that may be repurchased.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44"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exhibits required to be furnished pursuant to Item 6 are listed in the Exhibit Index filed herewith, which Exhibit Index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5"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QUANEX BUILDING PRODUCTS CORPORATION</w:t>
      </w:r>
    </w:p>
    <w:p>
      <w:pPr>
        <w:spacing w:after="0" w:line="189" w:lineRule="exact"/>
        <w:rPr>
          <w:sz w:val="20"/>
          <w:szCs w:val="20"/>
          <w:color w:val="auto"/>
        </w:rPr>
      </w:pPr>
    </w:p>
    <w:p>
      <w:pPr>
        <w:ind w:left="280"/>
        <w:spacing w:after="0"/>
        <w:tabs>
          <w:tab w:leader="none" w:pos="4580" w:val="left"/>
        </w:tabs>
        <w:rPr>
          <w:sz w:val="20"/>
          <w:szCs w:val="20"/>
          <w:color w:val="auto"/>
        </w:rPr>
      </w:pPr>
      <w:r>
        <w:rPr>
          <w:rFonts w:ascii="Arial" w:cs="Arial" w:eastAsia="Arial" w:hAnsi="Arial"/>
          <w:sz w:val="18"/>
          <w:szCs w:val="18"/>
          <w:color w:val="auto"/>
        </w:rPr>
        <w:t>Date: June 5, 2019</w:t>
      </w:r>
      <w:r>
        <w:rPr>
          <w:sz w:val="20"/>
          <w:szCs w:val="20"/>
          <w:color w:val="auto"/>
        </w:rPr>
        <w:tab/>
      </w:r>
      <w:r>
        <w:rPr>
          <w:rFonts w:ascii="Arial" w:cs="Arial" w:eastAsia="Arial" w:hAnsi="Arial"/>
          <w:sz w:val="16"/>
          <w:szCs w:val="16"/>
          <w:color w:val="auto"/>
        </w:rPr>
        <w:t>/s/ Brent L. Korb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31750</wp:posOffset>
            </wp:positionV>
            <wp:extent cx="4330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30700" cy="8890"/>
                    </a:xfrm>
                    <a:prstGeom prst="rect">
                      <a:avLst/>
                    </a:prstGeom>
                    <a:noFill/>
                  </pic:spPr>
                </pic:pic>
              </a:graphicData>
            </a:graphic>
          </wp:anchor>
        </w:drawing>
      </w:r>
    </w:p>
    <w:p>
      <w:pPr>
        <w:spacing w:after="0" w:line="5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Brent L. Korb</w:t>
      </w:r>
    </w:p>
    <w:p>
      <w:pPr>
        <w:spacing w:after="0" w:line="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Senior Vice President – Finance and Chief Financial Officer</w:t>
      </w:r>
    </w:p>
    <w:p>
      <w:pPr>
        <w:spacing w:after="0" w:line="2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(Principal Financial Officer)</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1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140" w:type="dxa"/>
            <w:vAlign w:val="bottom"/>
            <w:gridSpan w:val="3"/>
          </w:tcPr>
          <w:p>
            <w:pPr>
              <w:ind w:left="660"/>
              <w:spacing w:after="0"/>
              <w:rPr>
                <w:sz w:val="20"/>
                <w:szCs w:val="20"/>
                <w:color w:val="auto"/>
              </w:rPr>
            </w:pPr>
            <w:r>
              <w:rPr>
                <w:rFonts w:ascii="Arial" w:cs="Arial" w:eastAsia="Arial" w:hAnsi="Arial"/>
                <w:sz w:val="18"/>
                <w:szCs w:val="18"/>
                <w:b w:val="1"/>
                <w:bCs w:val="1"/>
                <w:color w:val="auto"/>
              </w:rPr>
              <w:t>EXHIBIT INDEX</w:t>
            </w:r>
          </w:p>
        </w:tc>
      </w:tr>
      <w:tr>
        <w:trPr>
          <w:trHeight w:val="413"/>
        </w:trPr>
        <w:tc>
          <w:tcPr>
            <w:tcW w:w="1460" w:type="dxa"/>
            <w:vAlign w:val="bottom"/>
            <w:gridSpan w:val="3"/>
          </w:tcPr>
          <w:p>
            <w:pPr>
              <w:spacing w:after="0"/>
              <w:rPr>
                <w:sz w:val="20"/>
                <w:szCs w:val="20"/>
                <w:color w:val="auto"/>
              </w:rPr>
            </w:pPr>
            <w:r>
              <w:rPr>
                <w:rFonts w:ascii="Arial" w:cs="Arial" w:eastAsia="Arial" w:hAnsi="Arial"/>
                <w:sz w:val="16"/>
                <w:szCs w:val="16"/>
                <w:b w:val="1"/>
                <w:bCs w:val="1"/>
                <w:color w:val="auto"/>
              </w:rPr>
              <w:t>Exhibit Number</w:t>
            </w:r>
          </w:p>
        </w:tc>
        <w:tc>
          <w:tcPr>
            <w:tcW w:w="9920" w:type="dxa"/>
            <w:vAlign w:val="bottom"/>
            <w:gridSpan w:val="5"/>
          </w:tcPr>
          <w:p>
            <w:pPr>
              <w:ind w:left="320"/>
              <w:spacing w:after="0"/>
              <w:rPr>
                <w:sz w:val="20"/>
                <w:szCs w:val="20"/>
                <w:color w:val="auto"/>
              </w:rPr>
            </w:pPr>
            <w:r>
              <w:rPr>
                <w:rFonts w:ascii="Arial" w:cs="Arial" w:eastAsia="Arial" w:hAnsi="Arial"/>
                <w:sz w:val="16"/>
                <w:szCs w:val="16"/>
                <w:b w:val="1"/>
                <w:bCs w:val="1"/>
                <w:color w:val="auto"/>
              </w:rPr>
              <w:t>Description of Exhibits</w:t>
            </w:r>
          </w:p>
        </w:tc>
      </w:tr>
      <w:tr>
        <w:trPr>
          <w:trHeight w:val="573"/>
        </w:trPr>
        <w:tc>
          <w:tcPr>
            <w:tcW w:w="1460" w:type="dxa"/>
            <w:vAlign w:val="bottom"/>
            <w:gridSpan w:val="3"/>
          </w:tcPr>
          <w:p>
            <w:pPr>
              <w:jc w:val="right"/>
              <w:ind w:right="480"/>
              <w:spacing w:after="0"/>
              <w:rPr>
                <w:rFonts w:ascii="Arial" w:cs="Arial" w:eastAsia="Arial" w:hAnsi="Arial"/>
                <w:sz w:val="18"/>
                <w:szCs w:val="18"/>
                <w:color w:val="0000FF"/>
              </w:rPr>
            </w:pPr>
            <w:hyperlink r:id="rId12">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420" w:type="dxa"/>
            <w:vAlign w:val="bottom"/>
          </w:tcPr>
          <w:p>
            <w:pPr>
              <w:spacing w:after="0"/>
              <w:rPr>
                <w:sz w:val="24"/>
                <w:szCs w:val="24"/>
                <w:color w:val="auto"/>
              </w:rPr>
            </w:pPr>
          </w:p>
        </w:tc>
        <w:tc>
          <w:tcPr>
            <w:tcW w:w="9500" w:type="dxa"/>
            <w:vAlign w:val="bottom"/>
            <w:gridSpan w:val="4"/>
          </w:tcPr>
          <w:p>
            <w:pPr>
              <w:spacing w:after="0"/>
              <w:rPr>
                <w:rFonts w:ascii="Arial" w:cs="Arial" w:eastAsia="Arial" w:hAnsi="Arial"/>
                <w:sz w:val="18"/>
                <w:szCs w:val="18"/>
                <w:color w:val="0000FF"/>
                <w:w w:val="93"/>
              </w:rPr>
            </w:pPr>
            <w:hyperlink r:id="rId12">
              <w:r>
                <w:rPr>
                  <w:rFonts w:ascii="Arial" w:cs="Arial" w:eastAsia="Arial" w:hAnsi="Arial"/>
                  <w:sz w:val="18"/>
                  <w:szCs w:val="18"/>
                  <w:color w:val="0000FF"/>
                  <w:w w:val="93"/>
                </w:rPr>
                <w:t>Restated Certificate of Incorporation of the Registrant dated as of March 4, 2016, filed as Exhibit 3.1 of the Registrant’s Current</w:t>
              </w:r>
            </w:hyperlink>
          </w:p>
        </w:tc>
      </w:tr>
      <w:tr>
        <w:trPr>
          <w:trHeight w:val="196"/>
        </w:trPr>
        <w:tc>
          <w:tcPr>
            <w:tcW w:w="76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0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8"/>
              </w:rPr>
            </w:pPr>
            <w:hyperlink r:id="rId12">
              <w:r>
                <w:rPr>
                  <w:rFonts w:ascii="Arial" w:cs="Arial" w:eastAsia="Arial" w:hAnsi="Arial"/>
                  <w:sz w:val="18"/>
                  <w:szCs w:val="18"/>
                  <w:color w:val="0000FF"/>
                  <w:w w:val="98"/>
                </w:rPr>
                <w:t>Report on Form 8-K (Reg. No. 001-33913) as filed with the Securities and Exchange Commission on March 7, 2016, and</w:t>
              </w:r>
            </w:hyperlink>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00" w:type="dxa"/>
            <w:vAlign w:val="bottom"/>
            <w:gridSpan w:val="4"/>
          </w:tcPr>
          <w:p>
            <w:pPr>
              <w:spacing w:after="0" w:line="196" w:lineRule="exact"/>
              <w:rPr>
                <w:rFonts w:ascii="Arial" w:cs="Arial" w:eastAsia="Arial" w:hAnsi="Arial"/>
                <w:sz w:val="18"/>
                <w:szCs w:val="18"/>
                <w:color w:val="0000FF"/>
              </w:rPr>
            </w:pPr>
            <w:hyperlink r:id="rId12">
              <w:r>
                <w:rPr>
                  <w:rFonts w:ascii="Arial" w:cs="Arial" w:eastAsia="Arial" w:hAnsi="Arial"/>
                  <w:sz w:val="18"/>
                  <w:szCs w:val="18"/>
                  <w:color w:val="0000FF"/>
                </w:rPr>
                <w:t>incorporated herein by reference.</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108" w:right="239" w:bottom="1440" w:gutter="0" w:footer="0" w:header="0"/>
        </w:sectPr>
      </w:pPr>
    </w:p>
    <w:p>
      <w:pPr>
        <w:ind w:left="760"/>
        <w:spacing w:after="0"/>
        <w:rPr>
          <w:rFonts w:ascii="Arial" w:cs="Arial" w:eastAsia="Arial" w:hAnsi="Arial"/>
          <w:sz w:val="15"/>
          <w:szCs w:val="15"/>
          <w:u w:val="single" w:color="auto"/>
          <w:color w:val="0000FF"/>
        </w:rPr>
      </w:pPr>
      <w:hyperlink r:id="rId13">
        <w:r>
          <w:rPr>
            <w:rFonts w:ascii="Arial" w:cs="Arial" w:eastAsia="Arial" w:hAnsi="Arial"/>
            <w:sz w:val="15"/>
            <w:szCs w:val="15"/>
            <w:u w:val="single" w:color="auto"/>
            <w:color w:val="0000FF"/>
          </w:rPr>
          <w:t>3.2</w:t>
        </w:r>
      </w:hyperlink>
    </w:p>
    <w:p>
      <w:pPr>
        <w:spacing w:after="0" w:line="200" w:lineRule="exact"/>
        <w:rPr>
          <w:sz w:val="20"/>
          <w:szCs w:val="20"/>
          <w:color w:val="auto"/>
        </w:rPr>
      </w:pPr>
    </w:p>
    <w:p>
      <w:pPr>
        <w:spacing w:after="0" w:line="235" w:lineRule="exact"/>
        <w:rPr>
          <w:sz w:val="20"/>
          <w:szCs w:val="20"/>
          <w:color w:val="auto"/>
        </w:rPr>
      </w:pPr>
    </w:p>
    <w:p>
      <w:pPr>
        <w:ind w:left="760"/>
        <w:spacing w:after="0"/>
        <w:rPr>
          <w:rFonts w:ascii="Arial" w:cs="Arial" w:eastAsia="Arial" w:hAnsi="Arial"/>
          <w:sz w:val="15"/>
          <w:szCs w:val="15"/>
          <w:u w:val="single" w:color="auto"/>
          <w:color w:val="0000FF"/>
        </w:rPr>
      </w:pPr>
      <w:hyperlink r:id="rId14">
        <w:r>
          <w:rPr>
            <w:rFonts w:ascii="Arial" w:cs="Arial" w:eastAsia="Arial" w:hAnsi="Arial"/>
            <w:sz w:val="15"/>
            <w:szCs w:val="15"/>
            <w:u w:val="single" w:color="auto"/>
            <w:color w:val="0000FF"/>
          </w:rPr>
          <w:t>4.1</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760"/>
        <w:spacing w:after="0"/>
        <w:rPr>
          <w:rFonts w:ascii="Arial" w:cs="Arial" w:eastAsia="Arial" w:hAnsi="Arial"/>
          <w:sz w:val="15"/>
          <w:szCs w:val="15"/>
          <w:u w:val="single" w:color="auto"/>
          <w:color w:val="0000FF"/>
        </w:rPr>
      </w:pPr>
      <w:hyperlink r:id="rId15">
        <w:r>
          <w:rPr>
            <w:rFonts w:ascii="Arial" w:cs="Arial" w:eastAsia="Arial" w:hAnsi="Arial"/>
            <w:sz w:val="15"/>
            <w:szCs w:val="15"/>
            <w:u w:val="single" w:color="auto"/>
            <w:color w:val="0000FF"/>
          </w:rPr>
          <w:t>4.2</w:t>
        </w:r>
      </w:hyperlink>
    </w:p>
    <w:p>
      <w:pPr>
        <w:spacing w:after="0" w:line="20" w:lineRule="exact"/>
        <w:rPr>
          <w:sz w:val="20"/>
          <w:szCs w:val="20"/>
          <w:color w:val="auto"/>
        </w:rPr>
      </w:pPr>
      <w:r>
        <w:rPr>
          <w:sz w:val="20"/>
          <w:szCs w:val="20"/>
          <w:color w:val="auto"/>
        </w:rPr>
        <w:br w:type="column"/>
      </w:r>
    </w:p>
    <w:p>
      <w:pPr>
        <w:jc w:val="both"/>
        <w:ind w:right="40"/>
        <w:spacing w:after="0" w:line="308" w:lineRule="auto"/>
        <w:rPr>
          <w:rFonts w:ascii="Arial" w:cs="Arial" w:eastAsia="Arial" w:hAnsi="Arial"/>
          <w:sz w:val="17"/>
          <w:szCs w:val="17"/>
          <w:u w:val="single" w:color="auto"/>
          <w:color w:val="0000FF"/>
        </w:rPr>
      </w:pPr>
      <w:hyperlink r:id="rId13">
        <w:r>
          <w:rPr>
            <w:rFonts w:ascii="Arial" w:cs="Arial" w:eastAsia="Arial" w:hAnsi="Arial"/>
            <w:sz w:val="17"/>
            <w:szCs w:val="17"/>
            <w:u w:val="single" w:color="auto"/>
            <w:color w:val="0000FF"/>
          </w:rPr>
          <w:t>Third Amended and Restated Bylaws of the Registrant as of March 4, 2016, filed as Exhibit 3.2 of the Registrant's Quarterly Report</w:t>
        </w:r>
      </w:hyperlink>
      <w:r>
        <w:rPr>
          <w:rFonts w:ascii="Arial" w:cs="Arial" w:eastAsia="Arial" w:hAnsi="Arial"/>
          <w:sz w:val="17"/>
          <w:szCs w:val="17"/>
          <w:u w:val="single" w:color="auto"/>
          <w:color w:val="0000FF"/>
        </w:rPr>
        <w:t xml:space="preserve"> </w:t>
      </w:r>
      <w:hyperlink r:id="rId13">
        <w:r>
          <w:rPr>
            <w:rFonts w:ascii="Arial" w:cs="Arial" w:eastAsia="Arial" w:hAnsi="Arial"/>
            <w:sz w:val="17"/>
            <w:szCs w:val="17"/>
            <w:u w:val="single" w:color="auto"/>
            <w:color w:val="0000FF"/>
          </w:rPr>
          <w:t>on Form 10-Q (Reg. No. 001-33913) for the quarter ended July 31, 2016, and incorporated herein by reference.</w:t>
        </w:r>
      </w:hyperlink>
    </w:p>
    <w:p>
      <w:pPr>
        <w:spacing w:after="0" w:line="106" w:lineRule="exact"/>
        <w:rPr>
          <w:sz w:val="20"/>
          <w:szCs w:val="20"/>
          <w:color w:val="auto"/>
        </w:rPr>
      </w:pPr>
    </w:p>
    <w:p>
      <w:pPr>
        <w:jc w:val="both"/>
        <w:ind w:right="20"/>
        <w:spacing w:after="0" w:line="264" w:lineRule="auto"/>
        <w:rPr>
          <w:rFonts w:ascii="Arial" w:cs="Arial" w:eastAsia="Arial" w:hAnsi="Arial"/>
          <w:sz w:val="18"/>
          <w:szCs w:val="18"/>
          <w:u w:val="single" w:color="auto"/>
          <w:color w:val="0000FF"/>
        </w:rPr>
      </w:pPr>
      <w:hyperlink r:id="rId14">
        <w:r>
          <w:rPr>
            <w:rFonts w:ascii="Arial" w:cs="Arial" w:eastAsia="Arial" w:hAnsi="Arial"/>
            <w:sz w:val="18"/>
            <w:szCs w:val="18"/>
            <w:u w:val="single" w:color="auto"/>
            <w:color w:val="0000FF"/>
          </w:rPr>
          <w:t>Form of Registrant’s Common Stock certificate, filed as Exhibit 4.1 of Amendment No. 1 to the Registrant’s Registration Statement</w:t>
        </w:r>
      </w:hyperlink>
      <w:r>
        <w:rPr>
          <w:rFonts w:ascii="Arial" w:cs="Arial" w:eastAsia="Arial" w:hAnsi="Arial"/>
          <w:sz w:val="18"/>
          <w:szCs w:val="18"/>
          <w:u w:val="single" w:color="auto"/>
          <w:color w:val="0000FF"/>
        </w:rPr>
        <w:t xml:space="preserve"> </w:t>
      </w:r>
      <w:hyperlink r:id="rId14">
        <w:r>
          <w:rPr>
            <w:rFonts w:ascii="Arial" w:cs="Arial" w:eastAsia="Arial" w:hAnsi="Arial"/>
            <w:sz w:val="18"/>
            <w:szCs w:val="18"/>
            <w:u w:val="single" w:color="auto"/>
            <w:color w:val="0000FF"/>
          </w:rPr>
          <w:t>on Form 10 (Reg. No. 001-33913) as filed with the Securities and Exchange Commission on February 14, 2008, and incorporated</w:t>
        </w:r>
      </w:hyperlink>
      <w:r>
        <w:rPr>
          <w:rFonts w:ascii="Arial" w:cs="Arial" w:eastAsia="Arial" w:hAnsi="Arial"/>
          <w:sz w:val="18"/>
          <w:szCs w:val="18"/>
          <w:u w:val="single" w:color="auto"/>
          <w:color w:val="0000FF"/>
        </w:rPr>
        <w:t xml:space="preserve"> </w:t>
      </w:r>
      <w:hyperlink r:id="rId14">
        <w:r>
          <w:rPr>
            <w:rFonts w:ascii="Arial" w:cs="Arial" w:eastAsia="Arial" w:hAnsi="Arial"/>
            <w:sz w:val="18"/>
            <w:szCs w:val="18"/>
            <w:u w:val="single" w:color="auto"/>
            <w:color w:val="0000FF"/>
          </w:rPr>
          <w:t>herein by reference.</w:t>
        </w:r>
      </w:hyperlink>
    </w:p>
    <w:p>
      <w:pPr>
        <w:spacing w:after="0" w:line="222" w:lineRule="exact"/>
        <w:rPr>
          <w:rFonts w:ascii="Arial" w:cs="Arial" w:eastAsia="Arial" w:hAnsi="Arial"/>
          <w:sz w:val="18"/>
          <w:szCs w:val="18"/>
          <w:u w:val="single" w:color="auto"/>
          <w:color w:val="0000FF"/>
        </w:rPr>
      </w:pPr>
    </w:p>
    <w:p>
      <w:pPr>
        <w:jc w:val="both"/>
        <w:ind w:right="20"/>
        <w:spacing w:after="0" w:line="286" w:lineRule="auto"/>
        <w:rPr>
          <w:rFonts w:ascii="Arial" w:cs="Arial" w:eastAsia="Arial" w:hAnsi="Arial"/>
          <w:sz w:val="17"/>
          <w:szCs w:val="17"/>
          <w:u w:val="single" w:color="auto"/>
          <w:color w:val="0000FF"/>
        </w:rPr>
      </w:pPr>
      <w:hyperlink r:id="rId15">
        <w:r>
          <w:rPr>
            <w:rFonts w:ascii="Arial" w:cs="Arial" w:eastAsia="Arial" w:hAnsi="Arial"/>
            <w:sz w:val="17"/>
            <w:szCs w:val="17"/>
            <w:u w:val="single" w:color="auto"/>
            <w:color w:val="0000FF"/>
          </w:rPr>
          <w:t>Credit Agreement dated as of October 18, 2018, by and among the Company; the lenders party thereto; and Wells Fargo Bank,</w:t>
        </w:r>
      </w:hyperlink>
      <w:r>
        <w:rPr>
          <w:rFonts w:ascii="Arial" w:cs="Arial" w:eastAsia="Arial" w:hAnsi="Arial"/>
          <w:sz w:val="17"/>
          <w:szCs w:val="17"/>
          <w:u w:val="single" w:color="auto"/>
          <w:color w:val="0000FF"/>
        </w:rPr>
        <w:t xml:space="preserve"> </w:t>
      </w:r>
      <w:hyperlink r:id="rId15">
        <w:r>
          <w:rPr>
            <w:rFonts w:ascii="Arial" w:cs="Arial" w:eastAsia="Arial" w:hAnsi="Arial"/>
            <w:sz w:val="17"/>
            <w:szCs w:val="17"/>
            <w:u w:val="single" w:color="auto"/>
            <w:color w:val="0000FF"/>
          </w:rPr>
          <w:t>National Association, as Agent; filed as Exhibit 10.1 of the Registrant's Current Report on Form 8-K (Reg. No. 001-33913) as filed</w:t>
        </w:r>
      </w:hyperlink>
      <w:r>
        <w:rPr>
          <w:rFonts w:ascii="Arial" w:cs="Arial" w:eastAsia="Arial" w:hAnsi="Arial"/>
          <w:sz w:val="17"/>
          <w:szCs w:val="17"/>
          <w:u w:val="single" w:color="auto"/>
          <w:color w:val="0000FF"/>
        </w:rPr>
        <w:t xml:space="preserve"> </w:t>
      </w:r>
      <w:hyperlink r:id="rId15">
        <w:r>
          <w:rPr>
            <w:rFonts w:ascii="Arial" w:cs="Arial" w:eastAsia="Arial" w:hAnsi="Arial"/>
            <w:sz w:val="17"/>
            <w:szCs w:val="17"/>
            <w:u w:val="single" w:color="auto"/>
            <w:color w:val="0000FF"/>
          </w:rPr>
          <w:t>with the Securities and Exchange Commission on October 18, 2018, and incorporated herein by reference.</w:t>
        </w:r>
      </w:hyperlink>
    </w:p>
    <w:p>
      <w:pPr>
        <w:spacing w:after="0" w:line="200" w:lineRule="exact"/>
        <w:rPr>
          <w:rFonts w:ascii="Arial" w:cs="Arial" w:eastAsia="Arial" w:hAnsi="Arial"/>
          <w:sz w:val="17"/>
          <w:szCs w:val="17"/>
          <w:u w:val="single" w:color="auto"/>
          <w:color w:val="0000FF"/>
        </w:rPr>
      </w:pPr>
    </w:p>
    <w:p>
      <w:pPr>
        <w:sectPr>
          <w:pgSz w:w="11900" w:h="16838" w:orient="portrait"/>
          <w:cols w:equalWidth="0" w:num="2">
            <w:col w:w="1160" w:space="720"/>
            <w:col w:w="9540"/>
          </w:cols>
          <w:pgMar w:left="240" w:top="108" w:right="239" w:bottom="1440" w:gutter="0" w:footer="0" w:header="0"/>
          <w:type w:val="continuous"/>
        </w:sectPr>
      </w:pPr>
    </w:p>
    <w:p>
      <w:pPr>
        <w:spacing w:after="0" w:line="2" w:lineRule="exact"/>
        <w:rPr>
          <w:rFonts w:ascii="Arial" w:cs="Arial" w:eastAsia="Arial" w:hAnsi="Arial"/>
          <w:sz w:val="17"/>
          <w:szCs w:val="17"/>
          <w:u w:val="single" w:color="auto"/>
          <w:color w:val="0000FF"/>
        </w:rPr>
      </w:pPr>
    </w:p>
    <w:tbl>
      <w:tblPr>
        <w:tblLayout w:type="fixed"/>
        <w:tblInd w:w="48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400" w:type="dxa"/>
            <w:vAlign w:val="bottom"/>
            <w:tcBorders>
              <w:bottom w:val="single" w:sz="8" w:color="0000FF"/>
            </w:tcBorders>
          </w:tcPr>
          <w:p>
            <w:pPr>
              <w:jc w:val="center"/>
              <w:spacing w:after="0"/>
              <w:rPr>
                <w:rFonts w:ascii="Arial" w:cs="Arial" w:eastAsia="Arial" w:hAnsi="Arial"/>
                <w:sz w:val="18"/>
                <w:szCs w:val="18"/>
                <w:color w:val="0000FF"/>
                <w:w w:val="95"/>
              </w:rPr>
            </w:pPr>
            <w:hyperlink w:anchor="page45">
              <w:r>
                <w:rPr>
                  <w:rFonts w:ascii="Arial" w:cs="Arial" w:eastAsia="Arial" w:hAnsi="Arial"/>
                  <w:sz w:val="18"/>
                  <w:szCs w:val="18"/>
                  <w:color w:val="0000FF"/>
                  <w:w w:val="95"/>
                </w:rPr>
                <w:t>*18.</w:t>
              </w:r>
              <w:r>
                <w:rPr>
                  <w:rFonts w:ascii="Arial" w:cs="Arial" w:eastAsia="Arial" w:hAnsi="Arial"/>
                  <w:sz w:val="18"/>
                  <w:szCs w:val="18"/>
                  <w:u w:val="single" w:color="auto"/>
                  <w:color w:val="0000FF"/>
                  <w:w w:val="95"/>
                </w:rPr>
                <w:t>1</w:t>
              </w:r>
            </w:hyperlink>
          </w:p>
        </w:tc>
        <w:tc>
          <w:tcPr>
            <w:tcW w:w="820" w:type="dxa"/>
            <w:vAlign w:val="bottom"/>
          </w:tcPr>
          <w:p>
            <w:pPr>
              <w:spacing w:after="0"/>
              <w:rPr>
                <w:sz w:val="17"/>
                <w:szCs w:val="17"/>
                <w:color w:val="auto"/>
              </w:rPr>
            </w:pPr>
          </w:p>
        </w:tc>
        <w:tc>
          <w:tcPr>
            <w:tcW w:w="3300" w:type="dxa"/>
            <w:vAlign w:val="bottom"/>
            <w:tcBorders>
              <w:bottom w:val="single" w:sz="8" w:color="0000FF"/>
            </w:tcBorders>
          </w:tcPr>
          <w:p>
            <w:pPr>
              <w:spacing w:after="0"/>
              <w:rPr>
                <w:rFonts w:ascii="Arial" w:cs="Arial" w:eastAsia="Arial" w:hAnsi="Arial"/>
                <w:sz w:val="18"/>
                <w:szCs w:val="18"/>
                <w:color w:val="0000FF"/>
                <w:w w:val="93"/>
              </w:rPr>
            </w:pPr>
            <w:hyperlink w:anchor="page45">
              <w:r>
                <w:rPr>
                  <w:rFonts w:ascii="Arial" w:cs="Arial" w:eastAsia="Arial" w:hAnsi="Arial"/>
                  <w:sz w:val="18"/>
                  <w:szCs w:val="18"/>
                  <w:color w:val="0000FF"/>
                  <w:w w:val="93"/>
                </w:rPr>
                <w:t>Preferability Letter from Grant Thornton LLP</w:t>
              </w:r>
            </w:hyperlink>
          </w:p>
        </w:tc>
        <w:tc>
          <w:tcPr>
            <w:tcW w:w="6200" w:type="dxa"/>
            <w:vAlign w:val="bottom"/>
            <w:gridSpan w:val="4"/>
          </w:tcPr>
          <w:p>
            <w:pPr>
              <w:spacing w:after="0"/>
              <w:rPr>
                <w:sz w:val="17"/>
                <w:szCs w:val="17"/>
                <w:color w:val="auto"/>
              </w:rPr>
            </w:pPr>
          </w:p>
        </w:tc>
      </w:tr>
      <w:tr>
        <w:trPr>
          <w:trHeight w:val="385"/>
        </w:trPr>
        <w:tc>
          <w:tcPr>
            <w:tcW w:w="180" w:type="dxa"/>
            <w:vAlign w:val="bottom"/>
          </w:tcPr>
          <w:p>
            <w:pPr>
              <w:spacing w:after="0"/>
              <w:rPr>
                <w:sz w:val="24"/>
                <w:szCs w:val="24"/>
                <w:color w:val="auto"/>
              </w:rPr>
            </w:pPr>
          </w:p>
        </w:tc>
        <w:tc>
          <w:tcPr>
            <w:tcW w:w="400" w:type="dxa"/>
            <w:vAlign w:val="bottom"/>
            <w:tcBorders>
              <w:bottom w:val="single" w:sz="8" w:color="0000FF"/>
            </w:tcBorders>
          </w:tcPr>
          <w:p>
            <w:pPr>
              <w:jc w:val="center"/>
              <w:spacing w:after="0"/>
              <w:rPr>
                <w:rFonts w:ascii="Arial" w:cs="Arial" w:eastAsia="Arial" w:hAnsi="Arial"/>
                <w:sz w:val="18"/>
                <w:szCs w:val="18"/>
                <w:color w:val="0000FF"/>
                <w:w w:val="95"/>
              </w:rPr>
            </w:pPr>
            <w:hyperlink w:anchor="page46">
              <w:r>
                <w:rPr>
                  <w:rFonts w:ascii="Arial" w:cs="Arial" w:eastAsia="Arial" w:hAnsi="Arial"/>
                  <w:sz w:val="18"/>
                  <w:szCs w:val="18"/>
                  <w:color w:val="0000FF"/>
                  <w:w w:val="95"/>
                </w:rPr>
                <w:t>*31.</w:t>
              </w:r>
              <w:r>
                <w:rPr>
                  <w:rFonts w:ascii="Arial" w:cs="Arial" w:eastAsia="Arial" w:hAnsi="Arial"/>
                  <w:sz w:val="18"/>
                  <w:szCs w:val="18"/>
                  <w:u w:val="single" w:color="auto"/>
                  <w:color w:val="0000FF"/>
                  <w:w w:val="95"/>
                </w:rPr>
                <w:t>1</w:t>
              </w:r>
            </w:hyperlink>
          </w:p>
        </w:tc>
        <w:tc>
          <w:tcPr>
            <w:tcW w:w="820" w:type="dxa"/>
            <w:vAlign w:val="bottom"/>
          </w:tcPr>
          <w:p>
            <w:pPr>
              <w:spacing w:after="0"/>
              <w:rPr>
                <w:sz w:val="24"/>
                <w:szCs w:val="24"/>
                <w:color w:val="auto"/>
              </w:rPr>
            </w:pPr>
          </w:p>
        </w:tc>
        <w:tc>
          <w:tcPr>
            <w:tcW w:w="558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46">
              <w:r>
                <w:rPr>
                  <w:rFonts w:ascii="Arial" w:cs="Arial" w:eastAsia="Arial" w:hAnsi="Arial"/>
                  <w:sz w:val="18"/>
                  <w:szCs w:val="18"/>
                  <w:color w:val="0000FF"/>
                  <w:w w:val="91"/>
                </w:rPr>
                <w:t>Certification by chief executive officer pursuant to Rule 13a-14(a)/15d-14(a).</w:t>
              </w:r>
            </w:hyperlink>
          </w:p>
        </w:tc>
        <w:tc>
          <w:tcPr>
            <w:tcW w:w="3920" w:type="dxa"/>
            <w:vAlign w:val="bottom"/>
          </w:tcPr>
          <w:p>
            <w:pPr>
              <w:spacing w:after="0"/>
              <w:rPr>
                <w:sz w:val="24"/>
                <w:szCs w:val="24"/>
                <w:color w:val="auto"/>
              </w:rPr>
            </w:pPr>
          </w:p>
        </w:tc>
      </w:tr>
      <w:tr>
        <w:trPr>
          <w:trHeight w:val="385"/>
        </w:trPr>
        <w:tc>
          <w:tcPr>
            <w:tcW w:w="180" w:type="dxa"/>
            <w:vAlign w:val="bottom"/>
          </w:tcPr>
          <w:p>
            <w:pPr>
              <w:spacing w:after="0"/>
              <w:rPr>
                <w:sz w:val="24"/>
                <w:szCs w:val="24"/>
                <w:color w:val="auto"/>
              </w:rPr>
            </w:pPr>
          </w:p>
        </w:tc>
        <w:tc>
          <w:tcPr>
            <w:tcW w:w="400" w:type="dxa"/>
            <w:vAlign w:val="bottom"/>
            <w:tcBorders>
              <w:bottom w:val="single" w:sz="8" w:color="0000FF"/>
            </w:tcBorders>
          </w:tcPr>
          <w:p>
            <w:pPr>
              <w:jc w:val="center"/>
              <w:spacing w:after="0"/>
              <w:rPr>
                <w:rFonts w:ascii="Arial" w:cs="Arial" w:eastAsia="Arial" w:hAnsi="Arial"/>
                <w:sz w:val="18"/>
                <w:szCs w:val="18"/>
                <w:color w:val="0000FF"/>
                <w:w w:val="95"/>
              </w:rPr>
            </w:pPr>
            <w:hyperlink w:anchor="page47">
              <w:r>
                <w:rPr>
                  <w:rFonts w:ascii="Arial" w:cs="Arial" w:eastAsia="Arial" w:hAnsi="Arial"/>
                  <w:sz w:val="18"/>
                  <w:szCs w:val="18"/>
                  <w:color w:val="0000FF"/>
                  <w:w w:val="95"/>
                </w:rPr>
                <w:t>*31.</w:t>
              </w:r>
              <w:r>
                <w:rPr>
                  <w:rFonts w:ascii="Arial" w:cs="Arial" w:eastAsia="Arial" w:hAnsi="Arial"/>
                  <w:sz w:val="18"/>
                  <w:szCs w:val="18"/>
                  <w:u w:val="single" w:color="auto"/>
                  <w:color w:val="0000FF"/>
                  <w:w w:val="95"/>
                </w:rPr>
                <w:t>2</w:t>
              </w:r>
            </w:hyperlink>
          </w:p>
        </w:tc>
        <w:tc>
          <w:tcPr>
            <w:tcW w:w="820" w:type="dxa"/>
            <w:vAlign w:val="bottom"/>
          </w:tcPr>
          <w:p>
            <w:pPr>
              <w:spacing w:after="0"/>
              <w:rPr>
                <w:sz w:val="24"/>
                <w:szCs w:val="24"/>
                <w:color w:val="auto"/>
              </w:rPr>
            </w:pPr>
          </w:p>
        </w:tc>
        <w:tc>
          <w:tcPr>
            <w:tcW w:w="5520" w:type="dxa"/>
            <w:vAlign w:val="bottom"/>
            <w:tcBorders>
              <w:bottom w:val="single" w:sz="8" w:color="0000FF"/>
            </w:tcBorders>
            <w:gridSpan w:val="3"/>
          </w:tcPr>
          <w:p>
            <w:pPr>
              <w:spacing w:after="0"/>
              <w:rPr>
                <w:rFonts w:ascii="Arial" w:cs="Arial" w:eastAsia="Arial" w:hAnsi="Arial"/>
                <w:sz w:val="18"/>
                <w:szCs w:val="18"/>
                <w:color w:val="0000FF"/>
                <w:w w:val="92"/>
              </w:rPr>
            </w:pPr>
            <w:hyperlink w:anchor="page47">
              <w:r>
                <w:rPr>
                  <w:rFonts w:ascii="Arial" w:cs="Arial" w:eastAsia="Arial" w:hAnsi="Arial"/>
                  <w:sz w:val="18"/>
                  <w:szCs w:val="18"/>
                  <w:color w:val="0000FF"/>
                  <w:w w:val="92"/>
                </w:rPr>
                <w:t>Certification by chief financial officer pursuant to Rule 13a-14(a)/15d-14(a).</w:t>
              </w:r>
            </w:hyperlink>
          </w:p>
        </w:tc>
        <w:tc>
          <w:tcPr>
            <w:tcW w:w="3980" w:type="dxa"/>
            <w:vAlign w:val="bottom"/>
            <w:gridSpan w:val="2"/>
          </w:tcPr>
          <w:p>
            <w:pPr>
              <w:spacing w:after="0"/>
              <w:rPr>
                <w:sz w:val="24"/>
                <w:szCs w:val="24"/>
                <w:color w:val="auto"/>
              </w:rPr>
            </w:pPr>
          </w:p>
        </w:tc>
      </w:tr>
      <w:tr>
        <w:trPr>
          <w:trHeight w:val="385"/>
        </w:trPr>
        <w:tc>
          <w:tcPr>
            <w:tcW w:w="180" w:type="dxa"/>
            <w:vAlign w:val="bottom"/>
          </w:tcPr>
          <w:p>
            <w:pPr>
              <w:spacing w:after="0"/>
              <w:rPr>
                <w:sz w:val="24"/>
                <w:szCs w:val="24"/>
                <w:color w:val="auto"/>
              </w:rPr>
            </w:pPr>
          </w:p>
        </w:tc>
        <w:tc>
          <w:tcPr>
            <w:tcW w:w="400" w:type="dxa"/>
            <w:vAlign w:val="bottom"/>
            <w:tcBorders>
              <w:bottom w:val="single" w:sz="8" w:color="0000FF"/>
            </w:tcBorders>
          </w:tcPr>
          <w:p>
            <w:pPr>
              <w:jc w:val="center"/>
              <w:spacing w:after="0"/>
              <w:rPr>
                <w:rFonts w:ascii="Arial" w:cs="Arial" w:eastAsia="Arial" w:hAnsi="Arial"/>
                <w:sz w:val="18"/>
                <w:szCs w:val="18"/>
                <w:color w:val="0000FF"/>
                <w:w w:val="95"/>
              </w:rPr>
            </w:pPr>
            <w:hyperlink w:anchor="page48">
              <w:r>
                <w:rPr>
                  <w:rFonts w:ascii="Arial" w:cs="Arial" w:eastAsia="Arial" w:hAnsi="Arial"/>
                  <w:sz w:val="18"/>
                  <w:szCs w:val="18"/>
                  <w:color w:val="0000FF"/>
                  <w:w w:val="95"/>
                </w:rPr>
                <w:t>*32.</w:t>
              </w:r>
              <w:r>
                <w:rPr>
                  <w:rFonts w:ascii="Arial" w:cs="Arial" w:eastAsia="Arial" w:hAnsi="Arial"/>
                  <w:sz w:val="18"/>
                  <w:szCs w:val="18"/>
                  <w:u w:val="single" w:color="auto"/>
                  <w:color w:val="0000FF"/>
                  <w:w w:val="95"/>
                </w:rPr>
                <w:t>1</w:t>
              </w:r>
            </w:hyperlink>
          </w:p>
        </w:tc>
        <w:tc>
          <w:tcPr>
            <w:tcW w:w="820" w:type="dxa"/>
            <w:vAlign w:val="bottom"/>
          </w:tcPr>
          <w:p>
            <w:pPr>
              <w:spacing w:after="0"/>
              <w:rPr>
                <w:sz w:val="24"/>
                <w:szCs w:val="24"/>
                <w:color w:val="auto"/>
              </w:rPr>
            </w:pPr>
          </w:p>
        </w:tc>
        <w:tc>
          <w:tcPr>
            <w:tcW w:w="526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48">
              <w:r>
                <w:rPr>
                  <w:rFonts w:ascii="Arial" w:cs="Arial" w:eastAsia="Arial" w:hAnsi="Arial"/>
                  <w:sz w:val="18"/>
                  <w:szCs w:val="18"/>
                  <w:color w:val="0000FF"/>
                  <w:w w:val="91"/>
                </w:rPr>
                <w:t>Certification pursuant to Section 906 of the Sarbanes-Oxley Act of 2002.</w:t>
              </w:r>
            </w:hyperlink>
          </w:p>
        </w:tc>
        <w:tc>
          <w:tcPr>
            <w:tcW w:w="4240" w:type="dxa"/>
            <w:vAlign w:val="bottom"/>
            <w:gridSpan w:val="3"/>
          </w:tcPr>
          <w:p>
            <w:pPr>
              <w:spacing w:after="0"/>
              <w:rPr>
                <w:sz w:val="24"/>
                <w:szCs w:val="24"/>
                <w:color w:val="auto"/>
              </w:rPr>
            </w:pPr>
          </w:p>
        </w:tc>
      </w:tr>
      <w:tr>
        <w:trPr>
          <w:trHeight w:val="411"/>
        </w:trPr>
        <w:tc>
          <w:tcPr>
            <w:tcW w:w="1400" w:type="dxa"/>
            <w:vAlign w:val="bottom"/>
            <w:gridSpan w:val="3"/>
          </w:tcPr>
          <w:p>
            <w:pPr>
              <w:jc w:val="center"/>
              <w:ind w:right="620"/>
              <w:spacing w:after="0"/>
              <w:rPr>
                <w:sz w:val="20"/>
                <w:szCs w:val="20"/>
                <w:color w:val="auto"/>
              </w:rPr>
            </w:pPr>
            <w:r>
              <w:rPr>
                <w:rFonts w:ascii="Arial" w:cs="Arial" w:eastAsia="Arial" w:hAnsi="Arial"/>
                <w:sz w:val="18"/>
                <w:szCs w:val="18"/>
                <w:color w:val="auto"/>
                <w:w w:val="97"/>
              </w:rPr>
              <w:t>*101.INS</w:t>
            </w:r>
          </w:p>
        </w:tc>
        <w:tc>
          <w:tcPr>
            <w:tcW w:w="9500" w:type="dxa"/>
            <w:vAlign w:val="bottom"/>
            <w:gridSpan w:val="5"/>
          </w:tcPr>
          <w:p>
            <w:pPr>
              <w:spacing w:after="0"/>
              <w:rPr>
                <w:sz w:val="20"/>
                <w:szCs w:val="20"/>
                <w:color w:val="auto"/>
              </w:rPr>
            </w:pPr>
            <w:r>
              <w:rPr>
                <w:rFonts w:ascii="Arial" w:cs="Arial" w:eastAsia="Arial" w:hAnsi="Arial"/>
                <w:sz w:val="18"/>
                <w:szCs w:val="18"/>
                <w:color w:val="auto"/>
                <w:w w:val="97"/>
              </w:rPr>
              <w:t>XBRL Instance Document - the instance document does not appear in the Interactive Data File because its XBRL tags are</w:t>
            </w:r>
          </w:p>
        </w:tc>
      </w:tr>
      <w:tr>
        <w:trPr>
          <w:trHeight w:val="230"/>
        </w:trPr>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500" w:type="dxa"/>
            <w:vAlign w:val="bottom"/>
            <w:gridSpan w:val="5"/>
          </w:tcPr>
          <w:p>
            <w:pPr>
              <w:spacing w:after="0"/>
              <w:rPr>
                <w:sz w:val="20"/>
                <w:szCs w:val="20"/>
                <w:color w:val="auto"/>
              </w:rPr>
            </w:pPr>
            <w:r>
              <w:rPr>
                <w:rFonts w:ascii="Arial" w:cs="Arial" w:eastAsia="Arial" w:hAnsi="Arial"/>
                <w:sz w:val="18"/>
                <w:szCs w:val="18"/>
                <w:color w:val="auto"/>
              </w:rPr>
              <w:t>embedded within the Inline XBRL document.</w:t>
            </w:r>
          </w:p>
        </w:tc>
      </w:tr>
      <w:tr>
        <w:trPr>
          <w:trHeight w:val="405"/>
        </w:trPr>
        <w:tc>
          <w:tcPr>
            <w:tcW w:w="1400" w:type="dxa"/>
            <w:vAlign w:val="bottom"/>
            <w:gridSpan w:val="3"/>
          </w:tcPr>
          <w:p>
            <w:pPr>
              <w:jc w:val="center"/>
              <w:ind w:right="640"/>
              <w:spacing w:after="0"/>
              <w:rPr>
                <w:sz w:val="20"/>
                <w:szCs w:val="20"/>
                <w:color w:val="auto"/>
              </w:rPr>
            </w:pPr>
            <w:r>
              <w:rPr>
                <w:rFonts w:ascii="Arial" w:cs="Arial" w:eastAsia="Arial" w:hAnsi="Arial"/>
                <w:sz w:val="18"/>
                <w:szCs w:val="18"/>
                <w:color w:val="auto"/>
                <w:w w:val="94"/>
              </w:rPr>
              <w:t>*101.SCH</w:t>
            </w:r>
          </w:p>
        </w:tc>
        <w:tc>
          <w:tcPr>
            <w:tcW w:w="950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400" w:type="dxa"/>
            <w:vAlign w:val="bottom"/>
            <w:gridSpan w:val="3"/>
          </w:tcPr>
          <w:p>
            <w:pPr>
              <w:jc w:val="center"/>
              <w:ind w:right="640"/>
              <w:spacing w:after="0"/>
              <w:rPr>
                <w:sz w:val="20"/>
                <w:szCs w:val="20"/>
                <w:color w:val="auto"/>
              </w:rPr>
            </w:pPr>
            <w:r>
              <w:rPr>
                <w:rFonts w:ascii="Arial" w:cs="Arial" w:eastAsia="Arial" w:hAnsi="Arial"/>
                <w:sz w:val="18"/>
                <w:szCs w:val="18"/>
                <w:color w:val="auto"/>
                <w:w w:val="98"/>
              </w:rPr>
              <w:t>*101.CAL</w:t>
            </w:r>
          </w:p>
        </w:tc>
        <w:tc>
          <w:tcPr>
            <w:tcW w:w="950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400" w:type="dxa"/>
            <w:vAlign w:val="bottom"/>
            <w:gridSpan w:val="3"/>
          </w:tcPr>
          <w:p>
            <w:pPr>
              <w:jc w:val="center"/>
              <w:ind w:right="620"/>
              <w:spacing w:after="0"/>
              <w:rPr>
                <w:sz w:val="20"/>
                <w:szCs w:val="20"/>
                <w:color w:val="auto"/>
              </w:rPr>
            </w:pPr>
            <w:r>
              <w:rPr>
                <w:rFonts w:ascii="Arial" w:cs="Arial" w:eastAsia="Arial" w:hAnsi="Arial"/>
                <w:sz w:val="18"/>
                <w:szCs w:val="18"/>
                <w:color w:val="auto"/>
                <w:w w:val="94"/>
              </w:rPr>
              <w:t>*101.DEF</w:t>
            </w:r>
          </w:p>
        </w:tc>
        <w:tc>
          <w:tcPr>
            <w:tcW w:w="950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400" w:type="dxa"/>
            <w:vAlign w:val="bottom"/>
            <w:gridSpan w:val="3"/>
          </w:tcPr>
          <w:p>
            <w:pPr>
              <w:jc w:val="center"/>
              <w:ind w:right="640"/>
              <w:spacing w:after="0"/>
              <w:rPr>
                <w:sz w:val="20"/>
                <w:szCs w:val="20"/>
                <w:color w:val="auto"/>
              </w:rPr>
            </w:pPr>
            <w:r>
              <w:rPr>
                <w:rFonts w:ascii="Arial" w:cs="Arial" w:eastAsia="Arial" w:hAnsi="Arial"/>
                <w:sz w:val="18"/>
                <w:szCs w:val="18"/>
                <w:color w:val="auto"/>
                <w:w w:val="99"/>
              </w:rPr>
              <w:t>*101.LAB</w:t>
            </w:r>
          </w:p>
        </w:tc>
        <w:tc>
          <w:tcPr>
            <w:tcW w:w="950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400" w:type="dxa"/>
            <w:vAlign w:val="bottom"/>
            <w:gridSpan w:val="3"/>
          </w:tcPr>
          <w:p>
            <w:pPr>
              <w:jc w:val="center"/>
              <w:ind w:right="620"/>
              <w:spacing w:after="0"/>
              <w:rPr>
                <w:sz w:val="20"/>
                <w:szCs w:val="20"/>
                <w:color w:val="auto"/>
              </w:rPr>
            </w:pPr>
            <w:r>
              <w:rPr>
                <w:rFonts w:ascii="Arial" w:cs="Arial" w:eastAsia="Arial" w:hAnsi="Arial"/>
                <w:sz w:val="18"/>
                <w:szCs w:val="18"/>
                <w:color w:val="auto"/>
                <w:w w:val="93"/>
              </w:rPr>
              <w:t>*101.PRE</w:t>
            </w:r>
          </w:p>
        </w:tc>
        <w:tc>
          <w:tcPr>
            <w:tcW w:w="950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permitted by Item 601(b)(4)(iii)(A) of Regulation S-K, the Registrant has not filed with this Quarterly Report on Form 10-Q certain instruments defining the rights of holders of long-term debt of the Registrant and its subsidiaries because the total amount of securities authorized under any of such instruments does not exceed 10% of the total assets of the Registrant and its subsidiaries on a consolidated basis. The Registrant agrees to furnish a copy of any such agreements to the Securities and Exchange Commission upon request.</w:t>
      </w:r>
    </w:p>
    <w:p>
      <w:pPr>
        <w:sectPr>
          <w:pgSz w:w="11900" w:h="16838" w:orient="portrait"/>
          <w:cols w:equalWidth="0" w:num="1">
            <w:col w:w="11420"/>
          </w:cols>
          <w:pgMar w:left="240" w:top="108" w:right="2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color w:val="auto"/>
        </w:rPr>
        <w:t>Exhibit 18.1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Change in Accounting Principle Preferability Letter</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June 5,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Quanex Building Products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1800 West Loop South, Suite 1500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TX 77028</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Dear Directors: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providing this letter solely for inclusion as an exhibit to Quanex Building Products Corporation (the “Company”) Form 10-Q filing pursuant to Item 601 of Regulation S-K.</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stated in Note 1 to the unaudited condensed consolidated financial statements included in the Company’s Quarterly Report on Form 10-Q for the quarterly period ended April 30, 2019, the Company changed its accounting for the method of inventory costing for certain inventory in two plants located in its North American Fenestration reportable business segment to the first-in first-out (FIFO) method from the last-in first-out (LIFO) method. Note 1 also states management’s belief that the newly adopted accounting principle is preferable in the circumstances because it provides uniformity of inventory valuation across its global operations, aligns with a majority of the Company's peers which use FIFO as their only inventory valuation method, and provides better matching of revenues and expenses.</w:t>
      </w:r>
    </w:p>
    <w:p>
      <w:pPr>
        <w:spacing w:after="0" w:line="13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With regard to the aforementioned accounting change, it should be understood that authoritative criteria have not been established for evaluating the preferability of one acceptable method of accounting over another acceptable method and, in expressing our concurrence below, we have relied on management’s business planning and judgment and on management’s determination that this change in accounting principle is preferable.</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our reading of management’s stated reasons and justification for this change in accounting principle in the Form 10-Q, and our discussions with management as to their judgment about the relevant business planning factors relating to the change, we concur with management that the newly adopted method of accounting is preferable in the Company’s circumstances.</w:t>
      </w:r>
    </w:p>
    <w:p>
      <w:pPr>
        <w:spacing w:after="0" w:line="1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not audited the application of the aforementioned accounting change to the financial statements included in Part I of the Company’s Form 10-Q. We also have not audited any consolidated financial statements of the Company as of any date or for any period subsequent to October 31, 2018. Accordingly, we do not express an opinion on whether the accounting for the change in accounting principle has been properly applied or whether the aforementioned financial statements are fairly presented in conformity with accounting principles generally accepted in the United States of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ectPr>
          <w:pgSz w:w="11900" w:h="16838" w:orient="portrait"/>
          <w:cols w:equalWidth="0" w:num="1">
            <w:col w:w="11420"/>
          </w:cols>
          <w:pgMar w:left="240" w:top="584"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William C. Griffiths, certify that:</w:t>
      </w:r>
    </w:p>
    <w:p>
      <w:pPr>
        <w:spacing w:after="0" w:line="144"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Quanex Building Products Corporation (the “Registrant”);</w:t>
      </w:r>
    </w:p>
    <w:p>
      <w:pPr>
        <w:spacing w:after="0" w:line="144"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jc w:val="both"/>
        <w:ind w:left="980" w:hanging="324"/>
        <w:spacing w:after="0" w:line="291"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29" w:lineRule="exact"/>
        <w:rPr>
          <w:rFonts w:ascii="Arial" w:cs="Arial" w:eastAsia="Arial" w:hAnsi="Arial"/>
          <w:sz w:val="16"/>
          <w:szCs w:val="16"/>
          <w:color w:val="auto"/>
        </w:rPr>
      </w:pPr>
    </w:p>
    <w:p>
      <w:pPr>
        <w:jc w:val="both"/>
        <w:ind w:left="1620" w:hanging="315"/>
        <w:spacing w:after="0" w:line="264" w:lineRule="auto"/>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jc w:val="both"/>
        <w:ind w:left="1620" w:hanging="315"/>
        <w:spacing w:after="0" w:line="264" w:lineRule="auto"/>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ind w:left="1620" w:hanging="315"/>
        <w:spacing w:after="0" w:line="342" w:lineRule="auto"/>
        <w:tabs>
          <w:tab w:leader="none" w:pos="162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jc w:val="both"/>
        <w:ind w:left="1620" w:hanging="315"/>
        <w:spacing w:after="0" w:line="264" w:lineRule="auto"/>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Arial" w:cs="Arial" w:eastAsia="Arial" w:hAnsi="Arial"/>
          <w:sz w:val="16"/>
          <w:szCs w:val="16"/>
          <w:color w:val="auto"/>
        </w:rPr>
      </w:pPr>
    </w:p>
    <w:p>
      <w:pPr>
        <w:ind w:left="1620" w:hanging="315"/>
        <w:spacing w:after="0" w:line="308" w:lineRule="auto"/>
        <w:tabs>
          <w:tab w:leader="none" w:pos="1620"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5" w:lineRule="exact"/>
        <w:rPr>
          <w:rFonts w:ascii="Arial" w:cs="Arial" w:eastAsia="Arial" w:hAnsi="Arial"/>
          <w:sz w:val="17"/>
          <w:szCs w:val="17"/>
          <w:color w:val="auto"/>
        </w:rPr>
      </w:pPr>
    </w:p>
    <w:p>
      <w:pPr>
        <w:ind w:left="1620" w:hanging="315"/>
        <w:spacing w:after="0" w:line="277" w:lineRule="auto"/>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June 5, 2019</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William C. Griffiths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5707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457073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William C. Griffiths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Brent L. Korb, certify that:</w:t>
      </w:r>
    </w:p>
    <w:p>
      <w:pPr>
        <w:spacing w:after="0" w:line="144"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Quanex Building Products Corporation (the “Registrant”);</w:t>
      </w:r>
    </w:p>
    <w:p>
      <w:pPr>
        <w:spacing w:after="0" w:line="144"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jc w:val="both"/>
        <w:ind w:left="980" w:hanging="324"/>
        <w:spacing w:after="0" w:line="291"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29" w:lineRule="exact"/>
        <w:rPr>
          <w:rFonts w:ascii="Arial" w:cs="Arial" w:eastAsia="Arial" w:hAnsi="Arial"/>
          <w:sz w:val="16"/>
          <w:szCs w:val="16"/>
          <w:color w:val="auto"/>
        </w:rPr>
      </w:pPr>
    </w:p>
    <w:p>
      <w:pPr>
        <w:jc w:val="both"/>
        <w:ind w:left="1620" w:hanging="315"/>
        <w:spacing w:after="0" w:line="264" w:lineRule="auto"/>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jc w:val="both"/>
        <w:ind w:left="1620" w:hanging="315"/>
        <w:spacing w:after="0" w:line="264" w:lineRule="auto"/>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ind w:left="1620" w:hanging="315"/>
        <w:spacing w:after="0" w:line="342" w:lineRule="auto"/>
        <w:tabs>
          <w:tab w:leader="none" w:pos="162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jc w:val="both"/>
        <w:ind w:left="1620" w:hanging="315"/>
        <w:spacing w:after="0" w:line="264" w:lineRule="auto"/>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Arial" w:cs="Arial" w:eastAsia="Arial" w:hAnsi="Arial"/>
          <w:sz w:val="16"/>
          <w:szCs w:val="16"/>
          <w:color w:val="auto"/>
        </w:rPr>
      </w:pPr>
    </w:p>
    <w:p>
      <w:pPr>
        <w:ind w:left="1620" w:hanging="315"/>
        <w:spacing w:after="0" w:line="308" w:lineRule="auto"/>
        <w:tabs>
          <w:tab w:leader="none" w:pos="1620"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5" w:lineRule="exact"/>
        <w:rPr>
          <w:rFonts w:ascii="Arial" w:cs="Arial" w:eastAsia="Arial" w:hAnsi="Arial"/>
          <w:sz w:val="17"/>
          <w:szCs w:val="17"/>
          <w:color w:val="auto"/>
        </w:rPr>
      </w:pPr>
    </w:p>
    <w:p>
      <w:pPr>
        <w:ind w:left="1620" w:hanging="315"/>
        <w:spacing w:after="0" w:line="277" w:lineRule="auto"/>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June 5, 2019</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Brent L. Korb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5707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457073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Brent L. Korb</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 Finance and Chief Financial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14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We hereby certify that the accompanying Quarterly Report on Form 10-Q of Quanex Building Products Corporation for the quarter ended April 30, 2019 fully complies with the requirements of Section 13(a) or 15(d) of the Securities Exchange Act of 1934 and that information contained in such Report fairly presents, in all material respects, the financial condition and results of operations of Quanex Building Products Corporation.</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June 5, 2019</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gridSpan w:val="2"/>
          </w:tcPr>
          <w:p>
            <w:pPr>
              <w:jc w:val="center"/>
              <w:ind w:right="460"/>
              <w:spacing w:after="0"/>
              <w:rPr>
                <w:sz w:val="20"/>
                <w:szCs w:val="20"/>
                <w:color w:val="auto"/>
              </w:rPr>
            </w:pPr>
            <w:r>
              <w:rPr>
                <w:rFonts w:ascii="Arial" w:cs="Arial" w:eastAsia="Arial" w:hAnsi="Arial"/>
                <w:sz w:val="18"/>
                <w:szCs w:val="18"/>
                <w:color w:val="auto"/>
                <w:w w:val="96"/>
              </w:rPr>
              <w:t>/s/ William C. Griffiths</w:t>
            </w:r>
          </w:p>
        </w:tc>
        <w:tc>
          <w:tcPr>
            <w:tcW w:w="5460" w:type="dxa"/>
            <w:vAlign w:val="bottom"/>
          </w:tcPr>
          <w:p>
            <w:pPr>
              <w:jc w:val="center"/>
              <w:spacing w:after="0"/>
              <w:rPr>
                <w:sz w:val="20"/>
                <w:szCs w:val="20"/>
                <w:color w:val="auto"/>
              </w:rPr>
            </w:pPr>
            <w:r>
              <w:rPr>
                <w:rFonts w:ascii="Arial" w:cs="Arial" w:eastAsia="Arial" w:hAnsi="Arial"/>
                <w:sz w:val="18"/>
                <w:szCs w:val="18"/>
                <w:color w:val="auto"/>
                <w:w w:val="93"/>
              </w:rPr>
              <w:t>/s/ Brent L. Korb</w:t>
            </w:r>
          </w:p>
        </w:tc>
      </w:tr>
      <w:tr>
        <w:trPr>
          <w:trHeight w:val="27"/>
        </w:trPr>
        <w:tc>
          <w:tcPr>
            <w:tcW w:w="55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r>
      <w:tr>
        <w:trPr>
          <w:trHeight w:val="222"/>
        </w:trPr>
        <w:tc>
          <w:tcPr>
            <w:tcW w:w="5960" w:type="dxa"/>
            <w:vAlign w:val="bottom"/>
            <w:gridSpan w:val="2"/>
          </w:tcPr>
          <w:p>
            <w:pPr>
              <w:jc w:val="center"/>
              <w:ind w:right="460"/>
              <w:spacing w:after="0"/>
              <w:rPr>
                <w:sz w:val="20"/>
                <w:szCs w:val="20"/>
                <w:color w:val="auto"/>
              </w:rPr>
            </w:pPr>
            <w:r>
              <w:rPr>
                <w:rFonts w:ascii="Arial" w:cs="Arial" w:eastAsia="Arial" w:hAnsi="Arial"/>
                <w:sz w:val="18"/>
                <w:szCs w:val="18"/>
                <w:color w:val="auto"/>
                <w:w w:val="98"/>
              </w:rPr>
              <w:t>William C. Griffiths</w:t>
            </w:r>
          </w:p>
        </w:tc>
        <w:tc>
          <w:tcPr>
            <w:tcW w:w="5460" w:type="dxa"/>
            <w:vAlign w:val="bottom"/>
          </w:tcPr>
          <w:p>
            <w:pPr>
              <w:jc w:val="center"/>
              <w:spacing w:after="0"/>
              <w:rPr>
                <w:sz w:val="20"/>
                <w:szCs w:val="20"/>
                <w:color w:val="auto"/>
              </w:rPr>
            </w:pPr>
            <w:r>
              <w:rPr>
                <w:rFonts w:ascii="Arial" w:cs="Arial" w:eastAsia="Arial" w:hAnsi="Arial"/>
                <w:sz w:val="18"/>
                <w:szCs w:val="18"/>
                <w:color w:val="auto"/>
                <w:w w:val="96"/>
              </w:rPr>
              <w:t>Brent L. Korb</w:t>
            </w:r>
          </w:p>
        </w:tc>
      </w:tr>
      <w:tr>
        <w:trPr>
          <w:trHeight w:val="216"/>
        </w:trPr>
        <w:tc>
          <w:tcPr>
            <w:tcW w:w="5960" w:type="dxa"/>
            <w:vAlign w:val="bottom"/>
            <w:gridSpan w:val="2"/>
          </w:tcPr>
          <w:p>
            <w:pPr>
              <w:jc w:val="center"/>
              <w:ind w:right="460"/>
              <w:spacing w:after="0"/>
              <w:rPr>
                <w:sz w:val="20"/>
                <w:szCs w:val="20"/>
                <w:color w:val="auto"/>
              </w:rPr>
            </w:pPr>
            <w:r>
              <w:rPr>
                <w:rFonts w:ascii="Arial" w:cs="Arial" w:eastAsia="Arial" w:hAnsi="Arial"/>
                <w:sz w:val="18"/>
                <w:szCs w:val="18"/>
                <w:i w:val="1"/>
                <w:iCs w:val="1"/>
                <w:color w:val="auto"/>
                <w:w w:val="91"/>
              </w:rPr>
              <w:t>Chairman of the Board, President and Chief</w:t>
            </w: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0"/>
              </w:rPr>
              <w:t>Senior Vice President—Finance and</w:t>
            </w:r>
          </w:p>
        </w:tc>
      </w:tr>
      <w:tr>
        <w:trPr>
          <w:trHeight w:val="216"/>
        </w:trPr>
        <w:tc>
          <w:tcPr>
            <w:tcW w:w="5960" w:type="dxa"/>
            <w:vAlign w:val="bottom"/>
            <w:gridSpan w:val="2"/>
          </w:tcPr>
          <w:p>
            <w:pPr>
              <w:jc w:val="center"/>
              <w:ind w:right="460"/>
              <w:spacing w:after="0"/>
              <w:rPr>
                <w:sz w:val="20"/>
                <w:szCs w:val="20"/>
                <w:color w:val="auto"/>
              </w:rPr>
            </w:pPr>
            <w:r>
              <w:rPr>
                <w:rFonts w:ascii="Arial" w:cs="Arial" w:eastAsia="Arial" w:hAnsi="Arial"/>
                <w:sz w:val="18"/>
                <w:szCs w:val="18"/>
                <w:i w:val="1"/>
                <w:iCs w:val="1"/>
                <w:color w:val="auto"/>
                <w:w w:val="92"/>
              </w:rPr>
              <w:t>Executive Officer</w:t>
            </w: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w:t>
            </w:r>
          </w:p>
        </w:tc>
      </w:tr>
      <w:tr>
        <w:trPr>
          <w:trHeight w:val="230"/>
        </w:trPr>
        <w:tc>
          <w:tcPr>
            <w:tcW w:w="5960" w:type="dxa"/>
            <w:vAlign w:val="bottom"/>
            <w:gridSpan w:val="2"/>
          </w:tcPr>
          <w:p>
            <w:pPr>
              <w:jc w:val="center"/>
              <w:ind w:right="460"/>
              <w:spacing w:after="0"/>
              <w:rPr>
                <w:sz w:val="20"/>
                <w:szCs w:val="20"/>
                <w:color w:val="auto"/>
              </w:rPr>
            </w:pPr>
            <w:r>
              <w:rPr>
                <w:rFonts w:ascii="Arial" w:cs="Arial" w:eastAsia="Arial" w:hAnsi="Arial"/>
                <w:sz w:val="18"/>
                <w:szCs w:val="18"/>
                <w:i w:val="1"/>
                <w:iCs w:val="1"/>
                <w:color w:val="auto"/>
                <w:w w:val="94"/>
              </w:rPr>
              <w:t>(Principal Executive Officer)</w:t>
            </w: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x"/>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4"/>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2" Type="http://schemas.openxmlformats.org/officeDocument/2006/relationships/hyperlink" Target="http://www.sec.gov/Archives/edgar/data/1423221/000119312516495257/d156158dex31.htm" TargetMode="External"/><Relationship Id="rId13" Type="http://schemas.openxmlformats.org/officeDocument/2006/relationships/hyperlink" Target="http://www.sec.gov/Archives/edgar/data/1423221/000142322116000023/nx07312016ex32.htm" TargetMode="External"/><Relationship Id="rId14" Type="http://schemas.openxmlformats.org/officeDocument/2006/relationships/hyperlink" Target="http://www.sec.gov/Archives/edgar/data/1423221/000095012908000988/h52992a1exv4w1.htm" TargetMode="External"/><Relationship Id="rId15" Type="http://schemas.openxmlformats.org/officeDocument/2006/relationships/hyperlink" Target="http://www.sec.gov/Archives/edgar/data/1423221/000119312518302063/d63729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2019-12-28T11:27:26Z</dcterms:created>
  <dcterms:modified xsi:type="dcterms:W3CDTF">2019-12-28T11:27:26Z</dcterms:modified>
</cp:coreProperties>
</file>