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Hughes Bradley E.</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Quanex Building Products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4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3"/>
                <w:szCs w:val="13"/>
                <w:color w:val="auto"/>
                <w:w w:val="99"/>
              </w:rPr>
              <w:t>Foreign Trading Symbol</w:t>
            </w:r>
          </w:p>
        </w:tc>
        <w:tc>
          <w:tcPr>
            <w:tcW w:w="1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Borders>
              <w:top w:val="single" w:sz="8" w:color="0000EE"/>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3"/>
                <w:szCs w:val="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945 BUNKER HILL</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11/02/2026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900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2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77024</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40"/>
              <w:spacing w:after="0" w:line="110" w:lineRule="exact"/>
              <w:rPr>
                <w:sz w:val="20"/>
                <w:szCs w:val="20"/>
                <w:color w:val="auto"/>
              </w:rPr>
            </w:pPr>
            <w:r>
              <w:rPr>
                <w:rFonts w:ascii="Arial" w:cs="Arial" w:eastAsia="Arial" w:hAnsi="Arial"/>
                <w:sz w:val="12"/>
                <w:szCs w:val="12"/>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124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0" w:type="dxa"/>
            <w:vAlign w:val="bottom"/>
          </w:tcPr>
          <w:p>
            <w:pPr>
              <w:spacing w:after="0"/>
              <w:rPr>
                <w:sz w:val="15"/>
                <w:szCs w:val="1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11/02/2026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29,248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cash in an amount equivalent to the value of one share of Quanex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immediately, and will pay out on the earlier of the third anniversary of the date of grant or the reporting person's death, disability, cessation of service as a director, or change in control of the Company.</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B. Cornett,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11/03/2026</w:t>
            </w:r>
          </w:p>
        </w:tc>
        <w:tc>
          <w:tcPr>
            <w:tcW w:w="0" w:type="dxa"/>
            <w:vAlign w:val="bottom"/>
          </w:tcPr>
          <w:p>
            <w:pPr>
              <w:spacing w:after="0"/>
              <w:rPr>
                <w:sz w:val="1"/>
                <w:szCs w:val="1"/>
                <w:color w:val="auto"/>
              </w:rPr>
            </w:pPr>
          </w:p>
        </w:tc>
      </w:tr>
      <w:tr>
        <w:trPr>
          <w:trHeight w:val="89"/>
        </w:trPr>
        <w:tc>
          <w:tcPr>
            <w:tcW w:w="60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Attorney</w:t>
            </w:r>
          </w:p>
        </w:tc>
        <w:tc>
          <w:tcPr>
            <w:tcW w:w="134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00" w:type="dxa"/>
            <w:vAlign w:val="bottom"/>
            <w:tcBorders>
              <w:bottom w:val="single" w:sz="8" w:color="auto"/>
            </w:tcBorders>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457" TargetMode="External"/><Relationship Id="rId14" Type="http://schemas.openxmlformats.org/officeDocument/2006/relationships/hyperlink" Target="http://www.sec.gov/cgi-bin/browse-edgar?action=getcompany&amp;CIK=00014232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2026-11-03T15:25:03Z</dcterms:created>
  <dcterms:modified xsi:type="dcterms:W3CDTF">2026-11-03T15:25:03Z</dcterms:modified>
</cp:coreProperties>
</file>