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431800</wp:posOffset>
            </wp:positionH>
            <wp:positionV relativeFrom="page">
              <wp:posOffset>277495</wp:posOffset>
            </wp:positionV>
            <wp:extent cx="6706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623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-175895</wp:posOffset>
            </wp:positionV>
            <wp:extent cx="670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October 31, 2019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32" w:lineRule="exact"/>
        <w:rPr>
          <w:sz w:val="24"/>
          <w:szCs w:val="24"/>
          <w:color w:val="auto"/>
        </w:rPr>
      </w:pPr>
    </w:p>
    <w:p>
      <w:pPr>
        <w:ind w:left="360" w:hanging="325"/>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1-33913</w:t>
      </w:r>
    </w:p>
    <w:p>
      <w:pPr>
        <w:spacing w:after="0" w:line="12"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_______________________________</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QUANEX BUILDING PRODUCTS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562" w:right="239" w:bottom="1440" w:gutter="0" w:footer="0" w:header="0"/>
        </w:sectPr>
      </w:pPr>
    </w:p>
    <w:p>
      <w:pPr>
        <w:spacing w:after="0" w:line="151" w:lineRule="exact"/>
        <w:rPr>
          <w:sz w:val="24"/>
          <w:szCs w:val="24"/>
          <w:color w:val="auto"/>
        </w:rPr>
      </w:pPr>
    </w:p>
    <w:p>
      <w:pPr>
        <w:ind w:left="2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26-1561397</w:t>
      </w:r>
    </w:p>
    <w:p>
      <w:pPr>
        <w:spacing w:after="0" w:line="82" w:lineRule="exact"/>
        <w:rPr>
          <w:sz w:val="24"/>
          <w:szCs w:val="24"/>
          <w:color w:val="auto"/>
        </w:rPr>
      </w:pPr>
    </w:p>
    <w:p>
      <w:pPr>
        <w:sectPr>
          <w:pgSz w:w="11900" w:h="16838" w:orient="portrait"/>
          <w:cols w:equalWidth="0" w:num="2">
            <w:col w:w="7300" w:space="720"/>
            <w:col w:w="3400"/>
          </w:cols>
          <w:pgMar w:left="240" w:top="562" w:right="239" w:bottom="1440" w:gutter="0" w:footer="0" w:header="0"/>
          <w:type w:val="continuous"/>
        </w:sectPr>
      </w:pPr>
    </w:p>
    <w:p>
      <w:pPr>
        <w:ind w:left="118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60"/>
          </w:cols>
          <w:pgMar w:left="240" w:top="562" w:right="2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(713) 961-4600</w:t>
      </w:r>
    </w:p>
    <w:p>
      <w:pPr>
        <w:spacing w:after="0" w:line="3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562" w:right="239" w:bottom="1440" w:gutter="0" w:footer="0" w:header="0"/>
          <w:type w:val="continuous"/>
        </w:sectPr>
      </w:pPr>
    </w:p>
    <w:p>
      <w:pPr>
        <w:spacing w:after="0" w:line="167" w:lineRule="exact"/>
        <w:rPr>
          <w:sz w:val="24"/>
          <w:szCs w:val="24"/>
          <w:color w:val="auto"/>
        </w:rPr>
      </w:pPr>
    </w:p>
    <w:p>
      <w:pPr>
        <w:jc w:val="center"/>
        <w:ind w:left="6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4800" w:space="720"/>
            <w:col w:w="1520" w:space="720"/>
            <w:col w:w="3660"/>
          </w:cols>
          <w:pgMar w:left="240" w:top="562" w:right="239" w:bottom="1440" w:gutter="0" w:footer="0" w:header="0"/>
          <w:type w:val="continuous"/>
        </w:sectPr>
      </w:pPr>
    </w:p>
    <w:p>
      <w:pPr>
        <w:ind w:left="3240" w:right="1300" w:hanging="1750"/>
        <w:spacing w:after="0" w:line="296" w:lineRule="auto"/>
        <w:rPr>
          <w:sz w:val="20"/>
          <w:szCs w:val="20"/>
          <w:color w:val="auto"/>
        </w:rPr>
      </w:pPr>
      <w:r>
        <w:rPr>
          <w:rFonts w:ascii="Arial" w:cs="Arial" w:eastAsia="Arial" w:hAnsi="Arial"/>
          <w:sz w:val="18"/>
          <w:szCs w:val="18"/>
          <w:b w:val="1"/>
          <w:bCs w:val="1"/>
          <w:color w:val="auto"/>
        </w:rPr>
        <w:t>Common Stock, $0.01 par value</w:t>
      </w:r>
      <w:r>
        <w:rPr>
          <w:sz w:val="20"/>
          <w:szCs w:val="20"/>
          <w:color w:val="auto"/>
        </w:rPr>
        <w:t xml:space="preserve"> </w:t>
      </w:r>
      <w:r>
        <w:rPr>
          <w:rFonts w:ascii="Arial" w:cs="Arial" w:eastAsia="Arial" w:hAnsi="Arial"/>
          <w:sz w:val="18"/>
          <w:szCs w:val="18"/>
          <w:b w:val="1"/>
          <w:bCs w:val="1"/>
          <w:color w:val="auto"/>
        </w:rPr>
        <w:t xml:space="preserve">NX New York Stock Exchange Securities registered pursuant to Section 12(g) of the Act: NONE </w:t>
      </w:r>
      <w:r>
        <w:rPr>
          <w:rFonts w:ascii="Arial" w:cs="Arial" w:eastAsia="Arial" w:hAnsi="Arial"/>
          <w:sz w:val="18"/>
          <w:szCs w:val="18"/>
          <w:color w:val="auto"/>
        </w:rPr>
        <w:t>_______________________________</w:t>
      </w:r>
    </w:p>
    <w:p>
      <w:pPr>
        <w:sectPr>
          <w:pgSz w:w="11900" w:h="16838" w:orient="portrait"/>
          <w:cols w:equalWidth="0" w:num="1">
            <w:col w:w="11420"/>
          </w:cols>
          <w:pgMar w:left="240" w:top="562" w:right="239" w:bottom="1440" w:gutter="0" w:footer="0" w:header="0"/>
          <w:type w:val="continuous"/>
        </w:sectPr>
      </w:pPr>
    </w:p>
    <w:p>
      <w:pPr>
        <w:spacing w:after="0" w:line="241" w:lineRule="exact"/>
        <w:rPr>
          <w:sz w:val="24"/>
          <w:szCs w:val="24"/>
          <w:color w:val="auto"/>
        </w:rPr>
      </w:pPr>
    </w:p>
    <w:p>
      <w:pPr>
        <w:ind w:left="18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8"/>
          <w:szCs w:val="18"/>
          <w:color w:val="auto"/>
        </w:rPr>
        <w:t>☐</w:t>
      </w:r>
    </w:p>
    <w:p>
      <w:pPr>
        <w:spacing w:after="0" w:line="75" w:lineRule="exact"/>
        <w:rPr>
          <w:sz w:val="24"/>
          <w:szCs w:val="24"/>
          <w:color w:val="auto"/>
        </w:rPr>
      </w:pPr>
    </w:p>
    <w:p>
      <w:pPr>
        <w:sectPr>
          <w:pgSz w:w="11900" w:h="16838" w:orient="portrait"/>
          <w:cols w:equalWidth="0" w:num="4">
            <w:col w:w="7780" w:space="200"/>
            <w:col w:w="240" w:space="80"/>
            <w:col w:w="100" w:space="180"/>
            <w:col w:w="2840"/>
          </w:cols>
          <w:pgMar w:left="240" w:top="562" w:right="239" w:bottom="1440" w:gutter="0" w:footer="0" w:header="0"/>
          <w:type w:val="continuous"/>
        </w:sectPr>
      </w:pPr>
    </w:p>
    <w:p>
      <w:pPr>
        <w:spacing w:after="0" w:line="38" w:lineRule="exact"/>
        <w:rPr>
          <w:sz w:val="24"/>
          <w:szCs w:val="24"/>
          <w:color w:val="auto"/>
        </w:rPr>
      </w:pPr>
    </w:p>
    <w:p>
      <w:pPr>
        <w:jc w:val="center"/>
        <w:ind w:left="18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No </w:t>
      </w:r>
      <w:r>
        <w:rPr>
          <w:rFonts w:ascii="Arial" w:cs="Arial" w:eastAsia="Arial" w:hAnsi="Arial"/>
          <w:sz w:val="18"/>
          <w:szCs w:val="18"/>
          <w:color w:val="auto"/>
        </w:rPr>
        <w:t>x</w:t>
      </w:r>
    </w:p>
    <w:p>
      <w:pPr>
        <w:spacing w:after="0" w:line="81" w:lineRule="exact"/>
        <w:rPr>
          <w:sz w:val="24"/>
          <w:szCs w:val="24"/>
          <w:color w:val="auto"/>
        </w:rPr>
      </w:pPr>
    </w:p>
    <w:p>
      <w:pPr>
        <w:sectPr>
          <w:pgSz w:w="11900" w:h="16838" w:orient="portrait"/>
          <w:cols w:equalWidth="0" w:num="4">
            <w:col w:w="7920" w:space="160"/>
            <w:col w:w="240" w:space="80"/>
            <w:col w:w="160" w:space="180"/>
            <w:col w:w="2680"/>
          </w:cols>
          <w:pgMar w:left="240" w:top="562" w:right="239" w:bottom="1440" w:gutter="0" w:footer="0" w:header="0"/>
          <w:type w:val="continuous"/>
        </w:sectPr>
      </w:pPr>
    </w:p>
    <w:p>
      <w:pPr>
        <w:jc w:val="both"/>
        <w:ind w:firstLine="162"/>
        <w:spacing w:after="0" w:line="22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39" w:lineRule="exact"/>
        <w:rPr>
          <w:sz w:val="24"/>
          <w:szCs w:val="24"/>
          <w:color w:val="auto"/>
        </w:rPr>
      </w:pPr>
    </w:p>
    <w:p>
      <w:pPr>
        <w:jc w:val="both"/>
        <w:ind w:firstLine="162"/>
        <w:spacing w:after="0" w:line="22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25"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320"/>
              <w:spacing w:after="0"/>
              <w:rPr>
                <w:sz w:val="20"/>
                <w:szCs w:val="20"/>
                <w:color w:val="auto"/>
              </w:rPr>
            </w:pPr>
            <w:r>
              <w:rPr>
                <w:rFonts w:ascii="Arial" w:cs="Arial" w:eastAsia="Arial" w:hAnsi="Arial"/>
                <w:sz w:val="18"/>
                <w:szCs w:val="18"/>
                <w:color w:val="auto"/>
              </w:rPr>
              <w:t>x</w:t>
            </w:r>
          </w:p>
        </w:tc>
        <w:tc>
          <w:tcPr>
            <w:tcW w:w="466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7"/>
        </w:trPr>
        <w:tc>
          <w:tcPr>
            <w:tcW w:w="9720" w:type="dxa"/>
            <w:vAlign w:val="bottom"/>
            <w:gridSpan w:val="3"/>
          </w:tcPr>
          <w:p>
            <w:pPr>
              <w:spacing w:after="0"/>
              <w:rPr>
                <w:sz w:val="20"/>
                <w:szCs w:val="20"/>
                <w:color w:val="auto"/>
              </w:rPr>
            </w:pPr>
            <w:r>
              <w:rPr>
                <w:rFonts w:ascii="Arial" w:cs="Arial" w:eastAsia="Arial" w:hAnsi="Arial"/>
                <w:sz w:val="16"/>
                <w:szCs w:val="16"/>
                <w:color w:val="auto"/>
                <w:w w:val="94"/>
              </w:rPr>
              <w:t>If an emerging growth company, indicate by check mark if the registrant has elected not to use the extended period for complying with any new or</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2"/>
        </w:trPr>
        <w:tc>
          <w:tcPr>
            <w:tcW w:w="9720" w:type="dxa"/>
            <w:vAlign w:val="bottom"/>
            <w:gridSpan w:val="3"/>
          </w:tcPr>
          <w:p>
            <w:pPr>
              <w:spacing w:after="0"/>
              <w:rPr>
                <w:sz w:val="20"/>
                <w:szCs w:val="20"/>
                <w:color w:val="auto"/>
              </w:rPr>
            </w:pPr>
            <w:r>
              <w:rPr>
                <w:rFonts w:ascii="Arial" w:cs="Arial" w:eastAsia="Arial" w:hAnsi="Arial"/>
                <w:sz w:val="16"/>
                <w:szCs w:val="16"/>
                <w:color w:val="auto"/>
              </w:rPr>
              <w:t>revised financial accounting standards provided pursuant to Section 7(a)(2)(B) of the Securities Act.</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80"/>
        <w:spacing w:after="0" w:line="207" w:lineRule="exact"/>
        <w:tabs>
          <w:tab w:leader="none" w:pos="6980" w:val="left"/>
          <w:tab w:leader="none" w:pos="76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Arial" w:cs="Arial" w:eastAsia="Arial" w:hAnsi="Arial"/>
          <w:sz w:val="18"/>
          <w:szCs w:val="18"/>
          <w:color w:val="auto"/>
        </w:rPr>
        <w:t>x</w:t>
      </w:r>
    </w:p>
    <w:p>
      <w:pPr>
        <w:spacing w:after="0" w:line="100"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The aggregate market value of the voting and non-voting common equity held by non-affiliates as of April 30, 2019, computed by reference to the closing price for the Common Stock on the New York Stock Exchange, Inc. on that date, was $544,032,919. Such calculation assumes only the registrant’s officers and directors at such date were affiliates of the registrant.</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At December 9, 2019 there were outstanding 33,019,430 shares of the registrant’s Common Stock, $0.01 par value.</w:t>
      </w:r>
    </w:p>
    <w:p>
      <w:pPr>
        <w:spacing w:after="0" w:line="1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left="260" w:right="60"/>
        <w:spacing w:after="0" w:line="263" w:lineRule="auto"/>
        <w:rPr>
          <w:sz w:val="20"/>
          <w:szCs w:val="20"/>
          <w:color w:val="auto"/>
        </w:rPr>
      </w:pPr>
      <w:r>
        <w:rPr>
          <w:rFonts w:ascii="Arial" w:cs="Arial" w:eastAsia="Arial" w:hAnsi="Arial"/>
          <w:sz w:val="16"/>
          <w:szCs w:val="16"/>
          <w:color w:val="auto"/>
        </w:rPr>
        <w:t>Portions of the Registrant’s definitive Proxy Statement for its 2020 Annual Meeting of Stockholders to be filed with the Commission within 120 days of October 31, 2019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155575</wp:posOffset>
            </wp:positionV>
            <wp:extent cx="6706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69850</wp:posOffset>
            </wp:positionV>
            <wp:extent cx="670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84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93"/>
        </w:trPr>
        <w:tc>
          <w:tcPr>
            <w:tcW w:w="76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243"/>
        </w:trPr>
        <w:tc>
          <w:tcPr>
            <w:tcW w:w="760" w:type="dxa"/>
            <w:vAlign w:val="bottom"/>
          </w:tcPr>
          <w:p>
            <w:pPr>
              <w:spacing w:after="0"/>
              <w:rPr>
                <w:sz w:val="21"/>
                <w:szCs w:val="21"/>
                <w:color w:val="auto"/>
              </w:rPr>
            </w:pPr>
          </w:p>
        </w:tc>
        <w:tc>
          <w:tcPr>
            <w:tcW w:w="9840" w:type="dxa"/>
            <w:vAlign w:val="bottom"/>
          </w:tcPr>
          <w:p>
            <w:pPr>
              <w:jc w:val="center"/>
              <w:ind w:right="710"/>
              <w:spacing w:after="0"/>
              <w:rPr>
                <w:sz w:val="20"/>
                <w:szCs w:val="20"/>
                <w:color w:val="auto"/>
              </w:rPr>
            </w:pPr>
            <w:r>
              <w:rPr>
                <w:rFonts w:ascii="Arial" w:cs="Arial" w:eastAsia="Arial" w:hAnsi="Arial"/>
                <w:sz w:val="18"/>
                <w:szCs w:val="18"/>
                <w:b w:val="1"/>
                <w:bCs w:val="1"/>
                <w:color w:val="auto"/>
              </w:rPr>
              <w:t>PART I</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1B.</w:t>
            </w:r>
          </w:p>
        </w:tc>
        <w:tc>
          <w:tcPr>
            <w:tcW w:w="984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420" w:type="dxa"/>
            <w:vAlign w:val="bottom"/>
            <w:gridSpan w:val="4"/>
          </w:tcPr>
          <w:p>
            <w:pPr>
              <w:jc w:val="center"/>
              <w:ind w:left="154"/>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260" w:type="dxa"/>
            <w:vAlign w:val="bottom"/>
          </w:tcPr>
          <w:p>
            <w:pPr>
              <w:spacing w:after="0"/>
              <w:rPr>
                <w:sz w:val="24"/>
                <w:szCs w:val="24"/>
                <w:color w:val="auto"/>
              </w:rPr>
            </w:pPr>
          </w:p>
        </w:tc>
      </w:tr>
      <w:tr>
        <w:trPr>
          <w:trHeight w:val="412"/>
        </w:trPr>
        <w:tc>
          <w:tcPr>
            <w:tcW w:w="760" w:type="dxa"/>
            <w:vAlign w:val="bottom"/>
          </w:tcPr>
          <w:p>
            <w:pPr>
              <w:spacing w:after="0"/>
              <w:rPr>
                <w:sz w:val="24"/>
                <w:szCs w:val="24"/>
                <w:color w:val="auto"/>
              </w:rPr>
            </w:pPr>
          </w:p>
        </w:tc>
        <w:tc>
          <w:tcPr>
            <w:tcW w:w="9840" w:type="dxa"/>
            <w:vAlign w:val="bottom"/>
          </w:tcPr>
          <w:p>
            <w:pPr>
              <w:jc w:val="center"/>
              <w:ind w:right="690"/>
              <w:spacing w:after="0"/>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98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7A.</w:t>
            </w:r>
          </w:p>
        </w:tc>
        <w:tc>
          <w:tcPr>
            <w:tcW w:w="98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984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9.</w:t>
            </w:r>
          </w:p>
        </w:tc>
        <w:tc>
          <w:tcPr>
            <w:tcW w:w="9840" w:type="dxa"/>
            <w:vAlign w:val="bottom"/>
          </w:tcPr>
          <w:p>
            <w:pPr>
              <w:ind w:left="140"/>
              <w:spacing w:after="0"/>
              <w:rPr>
                <w:sz w:val="20"/>
                <w:szCs w:val="20"/>
                <w:color w:val="auto"/>
              </w:rPr>
            </w:pPr>
            <w:r>
              <w:rPr>
                <w:rFonts w:ascii="Arial" w:cs="Arial" w:eastAsia="Arial" w:hAnsi="Arial"/>
                <w:sz w:val="18"/>
                <w:szCs w:val="18"/>
                <w:color w:val="auto"/>
              </w:rPr>
              <w:t>Change in and Disagreements with Accountants on Accounting and Financial Disclosure</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9A.</w:t>
            </w:r>
          </w:p>
        </w:tc>
        <w:tc>
          <w:tcPr>
            <w:tcW w:w="98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9B.</w:t>
            </w:r>
          </w:p>
        </w:tc>
        <w:tc>
          <w:tcPr>
            <w:tcW w:w="98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420" w:type="dxa"/>
            <w:vAlign w:val="bottom"/>
            <w:gridSpan w:val="4"/>
          </w:tcPr>
          <w:p>
            <w:pPr>
              <w:jc w:val="center"/>
              <w:ind w:left="154"/>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260" w:type="dxa"/>
            <w:vAlign w:val="bottom"/>
          </w:tcPr>
          <w:p>
            <w:pPr>
              <w:spacing w:after="0"/>
              <w:rPr>
                <w:sz w:val="24"/>
                <w:szCs w:val="24"/>
                <w:color w:val="auto"/>
              </w:rPr>
            </w:pPr>
          </w:p>
        </w:tc>
      </w:tr>
      <w:tr>
        <w:trPr>
          <w:trHeight w:val="412"/>
        </w:trPr>
        <w:tc>
          <w:tcPr>
            <w:tcW w:w="760" w:type="dxa"/>
            <w:vAlign w:val="bottom"/>
          </w:tcPr>
          <w:p>
            <w:pPr>
              <w:spacing w:after="0"/>
              <w:rPr>
                <w:sz w:val="24"/>
                <w:szCs w:val="24"/>
                <w:color w:val="auto"/>
              </w:rPr>
            </w:pPr>
          </w:p>
        </w:tc>
        <w:tc>
          <w:tcPr>
            <w:tcW w:w="9840" w:type="dxa"/>
            <w:vAlign w:val="bottom"/>
          </w:tcPr>
          <w:p>
            <w:pPr>
              <w:jc w:val="center"/>
              <w:ind w:right="710"/>
              <w:spacing w:after="0"/>
              <w:rPr>
                <w:sz w:val="20"/>
                <w:szCs w:val="20"/>
                <w:color w:val="auto"/>
              </w:rPr>
            </w:pPr>
            <w:r>
              <w:rPr>
                <w:rFonts w:ascii="Arial" w:cs="Arial" w:eastAsia="Arial" w:hAnsi="Arial"/>
                <w:sz w:val="18"/>
                <w:szCs w:val="18"/>
                <w:b w:val="1"/>
                <w:bCs w:val="1"/>
                <w:color w:val="auto"/>
              </w:rPr>
              <w:t>PART III</w:t>
            </w: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984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11.</w:t>
            </w:r>
          </w:p>
        </w:tc>
        <w:tc>
          <w:tcPr>
            <w:tcW w:w="98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12.</w:t>
            </w:r>
          </w:p>
        </w:tc>
        <w:tc>
          <w:tcPr>
            <w:tcW w:w="984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13.</w:t>
            </w:r>
          </w:p>
        </w:tc>
        <w:tc>
          <w:tcPr>
            <w:tcW w:w="984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24"/>
                <w:szCs w:val="24"/>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Item 14.</w:t>
            </w:r>
          </w:p>
        </w:tc>
        <w:tc>
          <w:tcPr>
            <w:tcW w:w="98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420" w:type="dxa"/>
            <w:vAlign w:val="bottom"/>
            <w:gridSpan w:val="4"/>
          </w:tcPr>
          <w:p>
            <w:pPr>
              <w:jc w:val="center"/>
              <w:ind w:left="154"/>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24"/>
                <w:szCs w:val="24"/>
                <w:color w:val="auto"/>
              </w:rPr>
            </w:pPr>
          </w:p>
        </w:tc>
      </w:tr>
      <w:tr>
        <w:trPr>
          <w:trHeight w:val="412"/>
        </w:trPr>
        <w:tc>
          <w:tcPr>
            <w:tcW w:w="760" w:type="dxa"/>
            <w:vAlign w:val="bottom"/>
          </w:tcPr>
          <w:p>
            <w:pPr>
              <w:spacing w:after="0"/>
              <w:rPr>
                <w:sz w:val="24"/>
                <w:szCs w:val="24"/>
                <w:color w:val="auto"/>
              </w:rPr>
            </w:pPr>
          </w:p>
        </w:tc>
        <w:tc>
          <w:tcPr>
            <w:tcW w:w="9840" w:type="dxa"/>
            <w:vAlign w:val="bottom"/>
          </w:tcPr>
          <w:p>
            <w:pPr>
              <w:jc w:val="center"/>
              <w:ind w:right="710"/>
              <w:spacing w:after="0"/>
              <w:rPr>
                <w:sz w:val="20"/>
                <w:szCs w:val="20"/>
                <w:color w:val="auto"/>
              </w:rPr>
            </w:pPr>
            <w:r>
              <w:rPr>
                <w:rFonts w:ascii="Arial" w:cs="Arial" w:eastAsia="Arial" w:hAnsi="Arial"/>
                <w:sz w:val="18"/>
                <w:szCs w:val="18"/>
                <w:b w:val="1"/>
                <w:bCs w:val="1"/>
                <w:color w:val="auto"/>
              </w:rPr>
              <w:t>PART IV</w:t>
            </w: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Item 15.</w:t>
            </w:r>
          </w:p>
        </w:tc>
        <w:tc>
          <w:tcPr>
            <w:tcW w:w="984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24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60" w:type="dxa"/>
            <w:vAlign w:val="bottom"/>
          </w:tcPr>
          <w:p>
            <w:pPr>
              <w:spacing w:after="0"/>
              <w:rPr>
                <w:sz w:val="24"/>
                <w:szCs w:val="24"/>
                <w:color w:val="auto"/>
              </w:rPr>
            </w:pPr>
          </w:p>
        </w:tc>
      </w:tr>
    </w:tbl>
    <w:p>
      <w:pPr>
        <w:sectPr>
          <w:pgSz w:w="11900" w:h="16838" w:orient="portrait"/>
          <w:cols w:equalWidth="0" w:num="1">
            <w:col w:w="11280"/>
          </w:cols>
          <w:pgMar w:left="280" w:top="337"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Certain of the statements contained in this document and in documents incorporated by reference herein, including those made under the caption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are “forward-looking” statements as defined under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22" w:lineRule="exact"/>
        <w:rPr>
          <w:sz w:val="20"/>
          <w:szCs w:val="20"/>
          <w:color w:val="auto"/>
        </w:rPr>
      </w:pPr>
    </w:p>
    <w:p>
      <w:pPr>
        <w:ind w:left="660" w:hanging="16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activity markets in the United States, United Kingdom, Germany and elsewhere;</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 subcontractors, and key customers;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Additional factors that could cause actual results to differ materially are discussed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included elsewhere in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 information is reliable, we cannot guarantee the accuracy or completeness of the information and have not independently verified it.</w:t>
      </w:r>
    </w:p>
    <w:p>
      <w:pPr>
        <w:sectPr>
          <w:pgSz w:w="11900" w:h="16838" w:orient="portrait"/>
          <w:cols w:equalWidth="0" w:num="1">
            <w:col w:w="11420"/>
          </w:cols>
          <w:pgMar w:left="240" w:top="503" w:right="239" w:bottom="1440" w:gutter="0" w:footer="0" w:header="0"/>
        </w:sectPr>
      </w:pPr>
    </w:p>
    <w:bookmarkStart w:id="3" w:name="page4"/>
    <w:bookmarkEnd w:id="3"/>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Quanex was incorporated in Delaware on December 12, 2007, as Quanex Building Products Corporation. We manufacture components for original equipment manufacturers (OEM)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fencing, water retention barriers, and conservatory roof components.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Notable developments and transactions which occurred since the spin-off include the following:</w:t>
      </w:r>
    </w:p>
    <w:p>
      <w:pPr>
        <w:spacing w:after="0" w:line="117" w:lineRule="exact"/>
        <w:rPr>
          <w:sz w:val="20"/>
          <w:szCs w:val="20"/>
          <w:color w:val="auto"/>
        </w:rPr>
      </w:pPr>
    </w:p>
    <w:p>
      <w:pPr>
        <w:jc w:val="both"/>
        <w:ind w:left="660" w:hanging="166"/>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March 2011, we acquired Edgetech, I.G. Inc. and its German subsidiary, which provided us with three manufacturing facilities, one each in the United States (U.S.), U.K. and Germany, that produce and market a full line of flexible insulating glass spacer systems for window and door customers in North America and abroad. This acquisition complemented our then existing insulating glass products business in the U.S.;</w:t>
      </w:r>
    </w:p>
    <w:p>
      <w:pPr>
        <w:spacing w:after="0" w:line="57" w:lineRule="exact"/>
        <w:rPr>
          <w:rFonts w:ascii="Arial" w:cs="Arial" w:eastAsia="Arial" w:hAnsi="Arial"/>
          <w:sz w:val="17"/>
          <w:szCs w:val="17"/>
          <w:color w:val="auto"/>
        </w:rPr>
      </w:pPr>
    </w:p>
    <w:p>
      <w:pPr>
        <w:jc w:val="both"/>
        <w:ind w:left="660" w:right="20" w:hanging="16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2012, we acquired substantially all of the assets of Alumco Inc. and its subsidiaries (Alumco), an aluminum screen manufacturer, which allowed us to expand the scope of our fenestration business to include screens for vinyl window and door manufacturers and to expand our geographic reach throughout the U.S.;</w:t>
      </w:r>
    </w:p>
    <w:p>
      <w:pPr>
        <w:spacing w:after="0" w:line="73" w:lineRule="exact"/>
        <w:rPr>
          <w:rFonts w:ascii="Arial" w:cs="Arial" w:eastAsia="Arial" w:hAnsi="Arial"/>
          <w:sz w:val="18"/>
          <w:szCs w:val="18"/>
          <w:color w:val="auto"/>
        </w:rPr>
      </w:pPr>
    </w:p>
    <w:p>
      <w:pPr>
        <w:ind w:left="660" w:hanging="166"/>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April 2014, we sold our interest in a limited liability company which held the net assets of our Nichols Aluminum business to a privately held company that provides aluminum rolled products and extrusions, aluminum recycling and specification aluminum alloy production;</w:t>
      </w:r>
    </w:p>
    <w:p>
      <w:pPr>
        <w:spacing w:after="0" w:line="38" w:lineRule="exact"/>
        <w:rPr>
          <w:rFonts w:ascii="Arial" w:cs="Arial" w:eastAsia="Arial" w:hAnsi="Arial"/>
          <w:sz w:val="17"/>
          <w:szCs w:val="17"/>
          <w:color w:val="auto"/>
        </w:rPr>
      </w:pPr>
    </w:p>
    <w:p>
      <w:pPr>
        <w:jc w:val="both"/>
        <w:ind w:left="660" w:hanging="166"/>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2015, we acquired the outstanding ownership shares of Flamstead Holdings Limited, an extruder of vinyl lineal products and manufacturer of other plastic products incorporated and registered in England and Wales. Following a pre-sale reorganization and purchase, Flamstead Holdings Limited owned 100% of the ownership shares of the following subsidiaries: HL Plastics Limited, Vintage Windows Limited, Wegoma Machinery Sales Limited (renamed in 2016 as Avantek Machinery Company), and Liniar Limited (collectively referred to as “HLP”), each registered in England and Wales. This acquisition expanded our vinyl extrusion product offerings and grew our international presence in the global fenestration business;</w:t>
      </w:r>
    </w:p>
    <w:p>
      <w:pPr>
        <w:spacing w:after="0" w:line="85" w:lineRule="exact"/>
        <w:rPr>
          <w:rFonts w:ascii="Arial" w:cs="Arial" w:eastAsia="Arial" w:hAnsi="Arial"/>
          <w:sz w:val="18"/>
          <w:szCs w:val="18"/>
          <w:color w:val="auto"/>
        </w:rPr>
      </w:pPr>
    </w:p>
    <w:p>
      <w:pPr>
        <w:jc w:val="both"/>
        <w:ind w:left="660" w:hanging="166"/>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2015, we completed the merger of QWMS, Inc., a Delaware corporation which was a newly-formed and wholly-owned Quanex subsidiary, and WII Holding, Inc. (WII), a Delaware corporation. Upon satisfaction or waiver of conditions set forth in the merger agreement, QWMS, Inc. merged with and into WII, and WII became our wholly-owned subsidiary, and, as a result, we acquired all the subsidiaries of WII (referred to collectively as Woodcraft). Woodcraft is a manufacturer of cabinet doors and other components for OEMs in the kitchen and bathroom cabinet industry, operating various plants in the U.S. and Mexico;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16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October 2016, we committed to a restructuring plan that included the closure of two vinyl extrusion plants in the U.S. and our kitchen and bathroom cabinet door plant in Guadalajara, Mexico; and</w:t>
      </w:r>
    </w:p>
    <w:p>
      <w:pPr>
        <w:spacing w:after="0" w:line="62"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2017, we closed a kitchen and bathroom cabinet door plant in Lansing, Kansas, and, in October 2017, sold a wood-flooring business in Shawano, Wisconsin.</w:t>
      </w:r>
    </w:p>
    <w:p>
      <w:pPr>
        <w:spacing w:after="0" w:line="11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of October 31, 2019, we operated 30 manufacturing facilities located in 17 states in the U.S., two facilities in the U.K., and one in Germany. These facilities feature efficient plant design and flexible manufacturing processes, enabling us to produce a wide variety of custom engineered products and components primarily focused on the window and door segment of the residential building products markets.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business is largely North American based and dependent upon the spending and growth activity levels of our customers which include national and regional residential window, door and cabinet manufacturers. Our international presence includes vinyl extruded lineals for house systems to smaller customers primarily in the U.K., as well as our insulating glass business in the U.K. and Germany.</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data related to housing starts and window shipments in the U.S., as published by or derived from third-party sources, to evaluate the fenestration market in these countries. We also use data related to cabinet demand in the U.S. to evaluate the residential cabinet market.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calendar-year annual housing starts information as of October 2019 the National Association of Home Builders (NAHB)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Single-family Units</w:t>
            </w:r>
          </w:p>
        </w:tc>
        <w:tc>
          <w:tcPr>
            <w:tcW w:w="240" w:type="dxa"/>
            <w:vAlign w:val="bottom"/>
          </w:tcPr>
          <w:p>
            <w:pPr>
              <w:spacing w:after="0"/>
              <w:rPr>
                <w:sz w:val="16"/>
                <w:szCs w:val="16"/>
                <w:color w:val="auto"/>
              </w:rPr>
            </w:pPr>
          </w:p>
        </w:tc>
        <w:tc>
          <w:tcPr>
            <w:tcW w:w="2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Multi-family Units</w:t>
            </w:r>
          </w:p>
        </w:tc>
        <w:tc>
          <w:tcPr>
            <w:tcW w:w="220" w:type="dxa"/>
            <w:vAlign w:val="bottom"/>
          </w:tcPr>
          <w:p>
            <w:pPr>
              <w:spacing w:after="0"/>
              <w:rPr>
                <w:sz w:val="16"/>
                <w:szCs w:val="16"/>
                <w:color w:val="auto"/>
              </w:rPr>
            </w:pPr>
          </w:p>
        </w:tc>
        <w:tc>
          <w:tcPr>
            <w:tcW w:w="2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Manufactured Units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2720" w:type="dxa"/>
            <w:vAlign w:val="bottom"/>
            <w:tcBorders>
              <w:bottom w:val="single" w:sz="8" w:color="auto"/>
            </w:tcBorders>
          </w:tcPr>
          <w:p>
            <w:pPr>
              <w:jc w:val="right"/>
              <w:ind w:right="108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22"/>
                <w:szCs w:val="22"/>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20" w:type="dxa"/>
            <w:vAlign w:val="bottom"/>
          </w:tcPr>
          <w:p>
            <w:pPr>
              <w:spacing w:after="0"/>
              <w:rPr>
                <w:sz w:val="22"/>
                <w:szCs w:val="22"/>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Units</w:t>
            </w:r>
          </w:p>
        </w:tc>
      </w:tr>
      <w:tr>
        <w:trPr>
          <w:trHeight w:val="237"/>
        </w:trPr>
        <w:tc>
          <w:tcPr>
            <w:tcW w:w="2960" w:type="dxa"/>
            <w:vAlign w:val="bottom"/>
            <w:gridSpan w:val="2"/>
          </w:tcPr>
          <w:p>
            <w:pPr>
              <w:ind w:left="280"/>
              <w:spacing w:after="0"/>
              <w:rPr>
                <w:sz w:val="20"/>
                <w:szCs w:val="20"/>
                <w:color w:val="auto"/>
              </w:rPr>
            </w:pPr>
            <w:r>
              <w:rPr>
                <w:rFonts w:ascii="Arial" w:cs="Arial" w:eastAsia="Arial" w:hAnsi="Arial"/>
                <w:sz w:val="16"/>
                <w:szCs w:val="16"/>
                <w:b w:val="1"/>
                <w:bCs w:val="1"/>
                <w:i w:val="1"/>
                <w:iCs w:val="1"/>
                <w:color w:val="auto"/>
              </w:rPr>
              <w:t>Annual Data</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988</w:t>
            </w:r>
          </w:p>
        </w:tc>
      </w:tr>
      <w:tr>
        <w:trPr>
          <w:trHeight w:val="237"/>
        </w:trPr>
        <w:tc>
          <w:tcPr>
            <w:tcW w:w="2720" w:type="dxa"/>
            <w:vAlign w:val="bottom"/>
          </w:tcPr>
          <w:p>
            <w:pPr>
              <w:jc w:val="right"/>
              <w:spacing w:after="0"/>
              <w:rPr>
                <w:sz w:val="20"/>
                <w:szCs w:val="20"/>
                <w:color w:val="auto"/>
              </w:rPr>
            </w:pPr>
            <w:r>
              <w:rPr>
                <w:rFonts w:ascii="Arial" w:cs="Arial" w:eastAsia="Arial" w:hAnsi="Arial"/>
                <w:sz w:val="16"/>
                <w:szCs w:val="16"/>
                <w:color w:val="auto"/>
              </w:rPr>
              <w:t>2014</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647</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355</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1,066</w:t>
            </w:r>
          </w:p>
        </w:tc>
      </w:tr>
      <w:tr>
        <w:trPr>
          <w:trHeight w:val="3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1,178</w:t>
            </w:r>
          </w:p>
        </w:tc>
      </w:tr>
      <w:tr>
        <w:trPr>
          <w:trHeight w:val="237"/>
        </w:trPr>
        <w:tc>
          <w:tcPr>
            <w:tcW w:w="2720" w:type="dxa"/>
            <w:vAlign w:val="bottom"/>
          </w:tcPr>
          <w:p>
            <w:pPr>
              <w:jc w:val="right"/>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786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1,259</w:t>
            </w:r>
          </w:p>
        </w:tc>
      </w:tr>
      <w:tr>
        <w:trPr>
          <w:trHeight w:val="3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1,302</w:t>
            </w:r>
          </w:p>
        </w:tc>
      </w:tr>
      <w:tr>
        <w:trPr>
          <w:trHeight w:val="237"/>
        </w:trPr>
        <w:tc>
          <w:tcPr>
            <w:tcW w:w="272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873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377</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97</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1,347</w:t>
            </w:r>
          </w:p>
        </w:tc>
      </w:tr>
      <w:tr>
        <w:trPr>
          <w:trHeight w:val="3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Annual Data - Forecast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2720" w:type="dxa"/>
            <w:vAlign w:val="bottom"/>
          </w:tcPr>
          <w:p>
            <w:pPr>
              <w:jc w:val="right"/>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854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383</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97</w:t>
            </w: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1,334</w:t>
            </w:r>
          </w:p>
        </w:tc>
      </w:tr>
      <w:tr>
        <w:trPr>
          <w:trHeight w:val="3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2"/>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1,369</w:t>
            </w:r>
          </w:p>
        </w:tc>
      </w:tr>
      <w:tr>
        <w:trPr>
          <w:trHeight w:val="237"/>
        </w:trPr>
        <w:tc>
          <w:tcPr>
            <w:tcW w:w="2720" w:type="dxa"/>
            <w:vAlign w:val="bottom"/>
          </w:tcPr>
          <w:p>
            <w:pPr>
              <w:jc w:val="right"/>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893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399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115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1,407</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Ducker Worldwide LLC, a consulting and research firm, indicated that window shipments in the residential remodeling and replacement (R&amp;R) market are expected to decline slightly during the calendar year ended 2019, increase 2% during 2020 and increase 3% during 2021. Derived from reports published by Ducker, the overall decline in window shipments for the trailing twelve months ended September 30, 2019 was 1.6%. During this period, R&amp;R activity and new construction decreased 0.9% and 2.5%, respectively.</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According to Catalina Research, a consulting and research firm, total U.S. residential cabinet demand is expected to increase through 2020. Projections from Catalina Research as of September 2019 include growth rates for the stock, semi-custom (the cabinet market we primarily operate in) and custom cabinet markets, which are presented in the table below: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Cabinet Market Annual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37465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25"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2860" w:type="dxa"/>
            <w:vAlign w:val="bottom"/>
            <w:tcBorders>
              <w:bottom w:val="single" w:sz="8" w:color="auto"/>
            </w:tcBorders>
          </w:tcPr>
          <w:p>
            <w:pPr>
              <w:jc w:val="right"/>
              <w:ind w:right="1140"/>
              <w:spacing w:after="0"/>
              <w:rPr>
                <w:sz w:val="20"/>
                <w:szCs w:val="20"/>
                <w:color w:val="auto"/>
              </w:rPr>
            </w:pPr>
            <w:r>
              <w:rPr>
                <w:rFonts w:ascii="Arial" w:cs="Arial" w:eastAsia="Arial" w:hAnsi="Arial"/>
                <w:sz w:val="14"/>
                <w:szCs w:val="14"/>
                <w:b w:val="1"/>
                <w:bCs w:val="1"/>
                <w:color w:val="auto"/>
              </w:rPr>
              <w:t>Period</w:t>
            </w:r>
          </w:p>
        </w:tc>
        <w:tc>
          <w:tcPr>
            <w:tcW w:w="200" w:type="dxa"/>
            <w:vAlign w:val="bottom"/>
          </w:tcPr>
          <w:p>
            <w:pPr>
              <w:spacing w:after="0"/>
              <w:rPr>
                <w:sz w:val="16"/>
                <w:szCs w:val="16"/>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Semi-Custom</w:t>
            </w:r>
          </w:p>
        </w:tc>
        <w:tc>
          <w:tcPr>
            <w:tcW w:w="180" w:type="dxa"/>
            <w:vAlign w:val="bottom"/>
          </w:tcPr>
          <w:p>
            <w:pPr>
              <w:spacing w:after="0"/>
              <w:rPr>
                <w:sz w:val="16"/>
                <w:szCs w:val="16"/>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Custom</w:t>
            </w:r>
          </w:p>
        </w:tc>
        <w:tc>
          <w:tcPr>
            <w:tcW w:w="260" w:type="dxa"/>
            <w:vAlign w:val="bottom"/>
          </w:tcPr>
          <w:p>
            <w:pPr>
              <w:spacing w:after="0"/>
              <w:rPr>
                <w:sz w:val="16"/>
                <w:szCs w:val="16"/>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Overall</w:t>
            </w:r>
          </w:p>
        </w:tc>
      </w:tr>
      <w:tr>
        <w:trPr>
          <w:trHeight w:val="237"/>
        </w:trPr>
        <w:tc>
          <w:tcPr>
            <w:tcW w:w="3060" w:type="dxa"/>
            <w:vAlign w:val="bottom"/>
            <w:gridSpan w:val="2"/>
          </w:tcPr>
          <w:p>
            <w:pPr>
              <w:ind w:left="280"/>
              <w:spacing w:after="0"/>
              <w:rPr>
                <w:sz w:val="20"/>
                <w:szCs w:val="20"/>
                <w:color w:val="auto"/>
              </w:rPr>
            </w:pPr>
            <w:r>
              <w:rPr>
                <w:rFonts w:ascii="Arial" w:cs="Arial" w:eastAsia="Arial" w:hAnsi="Arial"/>
                <w:sz w:val="16"/>
                <w:szCs w:val="16"/>
                <w:b w:val="1"/>
                <w:bCs w:val="1"/>
                <w:i w:val="1"/>
                <w:iCs w:val="1"/>
                <w:color w:val="auto"/>
              </w:rPr>
              <w:t>Annual Data</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(4.9)%</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1.7%</w:t>
            </w:r>
          </w:p>
        </w:tc>
      </w:tr>
      <w:tr>
        <w:trPr>
          <w:trHeight w:val="237"/>
        </w:trPr>
        <w:tc>
          <w:tcPr>
            <w:tcW w:w="2860" w:type="dxa"/>
            <w:vAlign w:val="bottom"/>
          </w:tcPr>
          <w:p>
            <w:pPr>
              <w:jc w:val="right"/>
              <w:spacing w:after="0"/>
              <w:rPr>
                <w:sz w:val="20"/>
                <w:szCs w:val="20"/>
                <w:color w:val="auto"/>
              </w:rPr>
            </w:pPr>
            <w:r>
              <w:rPr>
                <w:rFonts w:ascii="Arial" w:cs="Arial" w:eastAsia="Arial" w:hAnsi="Arial"/>
                <w:sz w:val="16"/>
                <w:szCs w:val="16"/>
                <w:color w:val="auto"/>
              </w:rPr>
              <w:t>2013</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28.9%</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5.7%</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6.3%</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17.0%</w:t>
            </w:r>
          </w:p>
        </w:tc>
      </w:tr>
      <w:tr>
        <w:trPr>
          <w:trHeight w:val="33"/>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16.6%</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(15.6)%</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r>
      <w:tr>
        <w:trPr>
          <w:trHeight w:val="237"/>
        </w:trPr>
        <w:tc>
          <w:tcPr>
            <w:tcW w:w="2860" w:type="dxa"/>
            <w:vAlign w:val="bottom"/>
          </w:tcPr>
          <w:p>
            <w:pPr>
              <w:jc w:val="right"/>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16.7%</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10.1%</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21.6%</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15.4%</w:t>
            </w:r>
          </w:p>
        </w:tc>
      </w:tr>
      <w:tr>
        <w:trPr>
          <w:trHeight w:val="33"/>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4.4%</w:t>
            </w:r>
          </w:p>
        </w:tc>
      </w:tr>
      <w:tr>
        <w:trPr>
          <w:trHeight w:val="237"/>
        </w:trPr>
        <w:tc>
          <w:tcPr>
            <w:tcW w:w="2860" w:type="dxa"/>
            <w:vAlign w:val="bottom"/>
          </w:tcPr>
          <w:p>
            <w:pPr>
              <w:jc w:val="right"/>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7.3%</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5.7%</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7"/>
              </w:rPr>
              <w:t>(0.3)%</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6.0%</w:t>
            </w:r>
          </w:p>
        </w:tc>
      </w:tr>
      <w:tr>
        <w:trPr>
          <w:trHeight w:val="33"/>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Annual Data - Forecast</w:t>
            </w: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jc w:val="right"/>
              <w:spacing w:after="0"/>
              <w:rPr>
                <w:sz w:val="20"/>
                <w:szCs w:val="20"/>
                <w:color w:val="auto"/>
              </w:rPr>
            </w:pPr>
            <w:r>
              <w:rPr>
                <w:rFonts w:ascii="Arial" w:cs="Arial" w:eastAsia="Arial" w:hAnsi="Arial"/>
                <w:sz w:val="16"/>
                <w:szCs w:val="16"/>
                <w:color w:val="auto"/>
              </w:rPr>
              <w:t>2018</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7.9%</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7"/>
              </w:rPr>
              <w:t>(1.6)%</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3.8%</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4.9%</w:t>
            </w:r>
          </w:p>
        </w:tc>
      </w:tr>
      <w:tr>
        <w:trPr>
          <w:trHeight w:val="33"/>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(2.6)%</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4.6%</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2.7%</w:t>
            </w:r>
          </w:p>
        </w:tc>
      </w:tr>
      <w:tr>
        <w:trPr>
          <w:trHeight w:val="237"/>
        </w:trPr>
        <w:tc>
          <w:tcPr>
            <w:tcW w:w="2860" w:type="dxa"/>
            <w:vAlign w:val="bottom"/>
          </w:tcPr>
          <w:p>
            <w:pPr>
              <w:jc w:val="right"/>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4.2%</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0.5%</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3.8%</w:t>
            </w:r>
          </w:p>
        </w:tc>
        <w:tc>
          <w:tcPr>
            <w:tcW w:w="2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3.3%</w:t>
            </w:r>
          </w:p>
        </w:tc>
      </w:tr>
    </w:tbl>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noted the following trends which we believe affect our industry:</w:t>
      </w:r>
    </w:p>
    <w:p>
      <w:pPr>
        <w:spacing w:after="0" w:line="171" w:lineRule="exact"/>
        <w:rPr>
          <w:sz w:val="20"/>
          <w:szCs w:val="20"/>
          <w:color w:val="auto"/>
        </w:rPr>
      </w:pPr>
    </w:p>
    <w:p>
      <w:pPr>
        <w:jc w:val="both"/>
        <w:ind w:left="80" w:right="20" w:hanging="67"/>
        <w:spacing w:after="0" w:line="277" w:lineRule="auto"/>
        <w:rPr>
          <w:sz w:val="20"/>
          <w:szCs w:val="20"/>
          <w:color w:val="auto"/>
        </w:rPr>
      </w:pPr>
      <w:r>
        <w:rPr>
          <w:rFonts w:ascii="Arial" w:cs="Arial" w:eastAsia="Arial" w:hAnsi="Arial"/>
          <w:sz w:val="18"/>
          <w:szCs w:val="18"/>
          <w:color w:val="auto"/>
        </w:rPr>
        <w:t>•the recent growth in the housing market over the past several years has been predominately in new construction which has outpaced the growth in the residential remodeling and replacement sector;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recovery of the housing market has slowed due primarily to the declining growth of multi-family units;</w:t>
      </w:r>
    </w:p>
    <w:p>
      <w:pPr>
        <w:spacing w:after="0" w:line="117" w:lineRule="exact"/>
        <w:rPr>
          <w:sz w:val="20"/>
          <w:szCs w:val="20"/>
          <w:color w:val="auto"/>
        </w:rPr>
      </w:pPr>
    </w:p>
    <w:p>
      <w:pPr>
        <w:jc w:val="both"/>
        <w:ind w:left="80" w:hanging="67"/>
        <w:spacing w:after="0" w:line="277" w:lineRule="auto"/>
        <w:rPr>
          <w:sz w:val="20"/>
          <w:szCs w:val="20"/>
          <w:color w:val="auto"/>
        </w:rPr>
      </w:pPr>
      <w:r>
        <w:rPr>
          <w:rFonts w:ascii="Arial" w:cs="Arial" w:eastAsia="Arial" w:hAnsi="Arial"/>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62" w:lineRule="exact"/>
        <w:rPr>
          <w:sz w:val="20"/>
          <w:szCs w:val="20"/>
          <w:color w:val="auto"/>
        </w:rPr>
      </w:pPr>
    </w:p>
    <w:p>
      <w:pPr>
        <w:jc w:val="both"/>
        <w:ind w:left="80" w:hanging="67"/>
        <w:spacing w:after="0" w:line="277" w:lineRule="auto"/>
        <w:rPr>
          <w:sz w:val="20"/>
          <w:szCs w:val="20"/>
          <w:color w:val="auto"/>
        </w:rPr>
      </w:pPr>
      <w:r>
        <w:rPr>
          <w:rFonts w:ascii="Arial" w:cs="Arial" w:eastAsia="Arial" w:hAnsi="Arial"/>
          <w:sz w:val="18"/>
          <w:szCs w:val="18"/>
          <w:color w:val="auto"/>
        </w:rPr>
        <w:t>•foreign currency rates in the U.K. and other European nations have changed significantly relative to the United States Dollar due in part to Brexit in the U.K., as well as other international unrest or uncertainties;</w:t>
      </w:r>
    </w:p>
    <w:p>
      <w:pPr>
        <w:spacing w:after="0" w:line="62" w:lineRule="exact"/>
        <w:rPr>
          <w:sz w:val="20"/>
          <w:szCs w:val="20"/>
          <w:color w:val="auto"/>
        </w:rPr>
      </w:pPr>
    </w:p>
    <w:p>
      <w:pPr>
        <w:jc w:val="both"/>
        <w:ind w:left="80" w:hanging="67"/>
        <w:spacing w:after="0" w:line="264" w:lineRule="auto"/>
        <w:rPr>
          <w:sz w:val="20"/>
          <w:szCs w:val="20"/>
          <w:color w:val="auto"/>
        </w:rPr>
      </w:pPr>
      <w:r>
        <w:rPr>
          <w:rFonts w:ascii="Arial" w:cs="Arial" w:eastAsia="Arial" w:hAnsi="Arial"/>
          <w:sz w:val="18"/>
          <w:szCs w:val="18"/>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aluminum, wood and silicone products used by our other businesses;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•higher energy efficiency standards in Europe should favorably impact sales of our insulating glass spacer products in the short- to mid-term.</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vision is to be the preferred supplier to our customers in each market we serve. Our strategy to achieve this vision includes the following:</w:t>
      </w:r>
    </w:p>
    <w:p>
      <w:pPr>
        <w:spacing w:after="0" w:line="129" w:lineRule="exact"/>
        <w:rPr>
          <w:sz w:val="20"/>
          <w:szCs w:val="20"/>
          <w:color w:val="auto"/>
        </w:rPr>
      </w:pPr>
    </w:p>
    <w:p>
      <w:pPr>
        <w:jc w:val="both"/>
        <w:ind w:left="660" w:hanging="16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 on organic growth with our current customer base and expand our market share with national and regional customers by providing: (1) a quality product; (2) a high level of customer service; (3) product choices at different price points; and (4) new products or enhancements to existing product offerings. These enhancements may include higher thermal efficiency, enhanced functionality, improved weatherability, better appearance and best-in-class quality for our fenestration and cabinet door products;</w:t>
      </w:r>
    </w:p>
    <w:p>
      <w:pPr>
        <w:spacing w:after="0" w:line="78" w:lineRule="exact"/>
        <w:rPr>
          <w:rFonts w:ascii="Arial" w:cs="Arial" w:eastAsia="Arial" w:hAnsi="Arial"/>
          <w:sz w:val="18"/>
          <w:szCs w:val="18"/>
          <w:color w:val="auto"/>
        </w:rPr>
      </w:pPr>
    </w:p>
    <w:p>
      <w:pPr>
        <w:ind w:left="660" w:hanging="166"/>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pacing w:after="0" w:line="15" w:lineRule="exact"/>
        <w:rPr>
          <w:rFonts w:ascii="Arial" w:cs="Arial" w:eastAsia="Arial" w:hAnsi="Arial"/>
          <w:sz w:val="16"/>
          <w:szCs w:val="16"/>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logistic solutions that provide our customers with just-in-time service which can reduce their processing costs;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166"/>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15" w:lineRule="exact"/>
        <w:rPr>
          <w:rFonts w:ascii="Arial" w:cs="Arial" w:eastAsia="Arial" w:hAnsi="Arial"/>
          <w:sz w:val="16"/>
          <w:szCs w:val="16"/>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exit unprofitable service lines or customer relationships.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believe our strengths include design expertise, new technology development capability, high quality manufacturing, just-in-time delivery systems, customer service, the ability to generate unique patented products and participation in industry advocacy.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Raw Materials and Supplies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purchase a diverse range of raw materials, which include PVC resin, epoxy resin, butyl, titanium dioxide (TiO</w:t>
      </w:r>
      <w:r>
        <w:rPr>
          <w:rFonts w:ascii="Arial" w:cs="Arial" w:eastAsia="Arial" w:hAnsi="Arial"/>
          <w:sz w:val="11"/>
          <w:szCs w:val="11"/>
          <w:color w:val="auto"/>
        </w:rPr>
        <w:t>2</w:t>
      </w:r>
      <w:r>
        <w:rPr>
          <w:rFonts w:ascii="Arial" w:cs="Arial" w:eastAsia="Arial" w:hAnsi="Arial"/>
          <w:sz w:val="17"/>
          <w:szCs w:val="17"/>
          <w:color w:val="auto"/>
        </w:rPr>
        <w:t>) desiccant powder, silicone and EPDM rubber compounds, coated and uncoated aluminum sheet and wood (both hardwood and softwood). These raw materials are generally available from several suppliers at market prices. We may enter into sole sourcing arrangements with our suppliers from time to time if we believe we can realize beneficial savings, but only after we have determined that the vendor can reliably supply our raw material requirements. These sole sourcing arrangements generally have termination clauses to protect us if a sole sourced vendor could not provide raw materials timely and on economically feasible terms. We believe there are other qualified suppliers from which we could purchase raw materials and supplies.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products are sold under highly competitive conditions. We compete with a number of companies, some of which have greater financial resources than us. We believe the primary competitive factors in the markets we serve include price, product quality, delivery and the ability to manufacture to customer specifications. The volume of engineered building products that we manufacture represents a small percentage of annual domestic consumption. Similarly, our subsidiaries in the U.K. compete against some larger vinyl producers and smaller window manufacturers. For our kitchen and bathroom cabinet door business, we believe we are the largest supplier to OEMs in the U.S., but we compete with other national and regional businesses, including OEMs who are vertically integrated.</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vehicles, but we primarily serve the residential housing market. Competition is largely based on regional presence, custom engineering, product development, quality, service and price. Primary competitors include, but are not limited to, Veka, Deceuninck, Energi, Vision Extrusions, GED Integrated Solutions, Technoform, Swiss Spacer, Thermix, RiteScreen, Allmetal, and Endura. Competitors in the vinyl extrusion business in the U.K. include Epwin, Veka, Synseal, Eurocell and others. Primary competitors in the cabinet door business in the U.S. include Conestoga, Decore-ative Specialties, Northern Contours and others.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Sales, Marketing, and Distribution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sell our products to customers in various countries. Therefore,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limited use of distributors and independent sales agents.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Doubtful Accounts," of the accompanying financial statements in this Annual Report on Form 10-K for related disclosure.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Sales Backlog</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Given the short lead times involved in our business, we have a relatively low backlog, approximately $25 million as of October 31, 2019. The criteria for revenue recognition has not been met with regard to sales backlog, and therefore, we have not recorded revenue or deferred revenue pursuant to these sales orders. If these sales orders result in a sale, we will record revenue during fiscal 2020 in accordance with our revenue recognition accounting policy.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Seasonal Nature of Business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We typically experience more favorable results in the third and fourth quarters of the fiscal year. Our exposure to seasonality was somewhat tempered with the entry into the kitchen and bathroom cabinet door industry, which is focused "inside the house" and less susceptible to inclement weather. Expenses for labor and other costs are generally semi-variable throughout the year.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Service Marks, Trademarks, Trade Names, and Patents</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federally registered trademarks or service marks include QUANEX, QUANEX and design, "Q" design, TRUSEAL TECHNOLOGIES, DURASEAL, DURALITE, SOLARGAIN EDGE TAPE,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K2 MIKRON and design, HOMESHIELD, HOMESHIELD and design, STORM SEAL, and TENON. We consider the following marks, design marks and associated trade names to be valuable in the conduct of our business: HOMESHIELD, TRUSEAL TECHNOLOGIES, EDGETECH, MIKRON, WOODCRAFT and QUANEX. Through HLP, we hold a number of registered designs, patents and trademarks registered in the U.K., which include: MODLOK, LINIAR, SUPERCUT,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dies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 numerous patents, the proprietary process technology that has been developed is also considered a source of competitive advantage.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Environmental and Employee Safety Matters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 and Environmental Policies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Director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Compliance Costs</w:t>
      </w:r>
    </w:p>
    <w:p>
      <w:pPr>
        <w:spacing w:after="0" w:line="2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2020.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October 31, 2019, we had 3,632 employees. Of these employees, 2,988 were domiciled in the U.S., 558 in the U.K., and 86 in Germany.</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 Investors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w:t>
      </w:r>
      <w:r>
        <w:rPr>
          <w:rFonts w:ascii="Arial" w:cs="Arial" w:eastAsia="Arial" w:hAnsi="Arial"/>
          <w:sz w:val="18"/>
          <w:szCs w:val="18"/>
          <w:u w:val="single" w:color="auto"/>
          <w:color w:val="auto"/>
        </w:rPr>
        <w:t>http://www.quanex.com</w:t>
      </w:r>
      <w:r>
        <w:rPr>
          <w:rFonts w:ascii="Arial" w:cs="Arial" w:eastAsia="Arial" w:hAnsi="Arial"/>
          <w:sz w:val="18"/>
          <w:szCs w:val="18"/>
          <w:color w:val="auto"/>
        </w:rPr>
        <w:t>, as soon 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Risks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purchase from outside sources significant amounts of raw materials, such as butyl, titanium dioxide, vinyl resin, aluminum, steel, silicone and wood products for use in our manufacturing facilities. Because we do not have long-term contracts for the supply of many of our raw materials, their availability and price are subject to market fluctuation and may be subject to curtailment or change. Any of these factors could affect our ability to timely and cost-effectively manufacture products for our customers.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Compliance with, or liabilities under, existing or future environmental laws and regulations could significantly increase our costs of doing business.</w:t>
      </w:r>
    </w:p>
    <w:p>
      <w:pPr>
        <w:spacing w:after="0" w:line="19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goodwill and indefinite-lived intangible assets may become impaired and could result in a charge to income.</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We recorded goodwill impairment charges in 2019 and 2016 and could record future impairment charges. Goodwill totaled $145.6 million at October 31, 2019. The results of goodwill impairment testing are described in the accompanying notes to the audited financial statements, Note 5, "Goodwill and Intangible Assets" included elsewhere in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 materially impact our profitability. Likewise, when such laws, regulations or initiatives expire, our business may experience a material loss in sales volume or an increase in production costs as a result of the decline in consumer demand.</w:t>
      </w:r>
    </w:p>
    <w:p>
      <w:pPr>
        <w:spacing w:after="0" w:line="1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Due to the fact that we have operations located within the U.K., our business and financial results may be negatively impacted as a result of the U.K.'s planned exit from the European Union (E.U.), resulting primarily from (a) continued depression in the value of the British Pound Sterling as compared to the United States Dollar; and (b) potential price increases or unavailability of supplies purchased by our U.K. businesses from companies located in the E.U. or elsewhere. These risks would be heightened in the event that the U.K. and the E.U. are unable to reach a mutually satisfactory exit agreement before the current deadline of January 31, 2020.</w:t>
      </w:r>
    </w:p>
    <w:p>
      <w:pPr>
        <w:spacing w:after="0" w:line="13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Following the U.K.’s vote to leave the E.U. in 2016 (commonly referred to as Brexit), the value of the British Pound Sterling incurred significant fluctuations. Additionally, further actions related to Brexit may occur in the future. If the value of the British Pound Sterling continues to incur similar fluctuations, unfavorable exchange rate changes may negatively affect the value of our operations and businesses located in the U.K., as translated to our reporting currency, the United States Dollar, in accordance with US GAAP, which may impact the revenue and earnings we report. For more information with respect to Exchange Rate risk applicable to us, please see Part 2 Item 7A. "Market Risk Disclosures" elsewhere in this Annual Report on Form 10-K. Continued fluctuations in the British Pound Sterling may also result in the imposition of price adjustments by E.U.-based suppliers to our U.K. businesses, as those suppliers seek to compensate for the changes in value of the British Pound Sterling as compared to the European Euro. In addition, a so-called “Hard Brexit,” where no formal agreement is made between the E.U. and U.K. prior to the U.K.’s exit, could result in a continued deflation of the British Pound Sterling; additional increases in prices, fees, taxes or tariffs applicable to goods that are bought and sold between the U.K. and Europe, and a negative impact on end markets in the U.K. as a result of declines in consumer sentiment or decreased immigration rates into the U.K. Any of these results could have a material adverse effect on the business, revenues and financial condition of our U.K. and European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achieve and maintain effective internal controls could have a material adverse effect on our business and on our stock price.</w:t>
      </w:r>
    </w:p>
    <w:p>
      <w:pPr>
        <w:spacing w:after="0" w:line="3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impact of foreign trade relations and associated tariffs could adversely impact our business.</w:t>
      </w:r>
    </w:p>
    <w:p>
      <w:pPr>
        <w:spacing w:after="0" w:line="3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currently source a number of raw materials from international suppliers. Import tariffs, taxes, customs duties and/or other trading regulations imposed by the U.S. government on foreign countries, or by foreign countries on the U.S., could significantly increase the prices we pay for certain raw materials, such as aluminum and wood, that are critical to our ability to manufacture our products. In addition, we may be unable to find a domestic supplier to provide the necessary raw materials on an economical basis in the amounts we require.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Risks</w:t>
      </w:r>
    </w:p>
    <w:p>
      <w:pPr>
        <w:spacing w:after="0" w:line="16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our customers.</w:t>
      </w:r>
    </w:p>
    <w:p>
      <w:pPr>
        <w:spacing w:after="0" w:line="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 improvements. However, our efforts in this regard may not be successful and our operating margins could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revenues could decline or we may lose business if our customers vertically integrate their operations, diversify their supplier base, or transfer manufacturing capacity to other regions.</w:t>
      </w:r>
    </w:p>
    <w:p>
      <w:pPr>
        <w:spacing w:after="0" w:line="11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or a shift in regional focus, our revenue, general financial condition and results of operations could be adversely affected.</w:t>
      </w:r>
    </w:p>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credit facility contains certain operational restrictions, reporting requirements, and financial covenants that limit the aggregate availability of funds.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Conditions and Results of Operations-Liquidity and Capital Resources</w:t>
      </w:r>
      <w:r>
        <w:rPr>
          <w:rFonts w:ascii="Arial" w:cs="Arial" w:eastAsia="Arial" w:hAnsi="Arial"/>
          <w:sz w:val="17"/>
          <w:szCs w:val="17"/>
          <w:color w:val="auto"/>
        </w:rPr>
        <w:t>, in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successfully manage or integrate acquisitions, and if we are unable to do so, then our profitability could be adversely affected.</w:t>
      </w:r>
    </w:p>
    <w:p>
      <w:pPr>
        <w:spacing w:after="0" w:line="19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cannot provide assurance that we will successfully manage or integrate acquisition targets once we have purchased them. If we acquire a business for which we do not fully understand or appreciate the specific business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data security and privacy risks that could negatively affect our results or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our own sensitive and proprietary business information, we collect transactional and personal information about our customers and employees. Any breach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 customer relationships, and could also result in unwanted media attention, reputational damage, or the imposition of fines, lawsuits, or significant legal or remediation expenses.</w:t>
      </w:r>
    </w:p>
    <w:p>
      <w:pPr>
        <w:spacing w:after="0" w:line="13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have the right personnel in place to achieve our operating goals, and the rural location of some of our operations may make it difficult to locate or hire highly skilled employees.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operate in some rural areas and small towns where the competition for labor can be fierce, and where the pool of qualified employees may be very small. If we are unable to obtain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failures or catastrophic loss at any of our manufacturing facilities could prevent us from manufacturing our products.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1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insurance coverage may be inapplicable or inadequate to cover certain liabilities, and our insurance policies may exclude coverage for certain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large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Investment in Quanex Securities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the ability to issue additional equity securities, which would lead to dilution of our issued and outstanding common stock.</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37,370,402 were issued at October 31, 2019. These authorized shares can be issued, without stockholder approval, as securities convertible into either common stock or preferred stock.</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our principal properties by location, general character and use as of October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ind w:left="2480"/>
              <w:spacing w:after="0"/>
              <w:rPr>
                <w:sz w:val="20"/>
                <w:szCs w:val="20"/>
                <w:color w:val="auto"/>
              </w:rPr>
            </w:pPr>
            <w:r>
              <w:rPr>
                <w:rFonts w:ascii="Arial" w:cs="Arial" w:eastAsia="Arial" w:hAnsi="Arial"/>
                <w:sz w:val="18"/>
                <w:szCs w:val="18"/>
                <w:b w:val="1"/>
                <w:bCs w:val="1"/>
                <w:color w:val="auto"/>
              </w:rPr>
              <w:t>Location</w:t>
            </w:r>
          </w:p>
        </w:tc>
        <w:tc>
          <w:tcPr>
            <w:tcW w:w="5700" w:type="dxa"/>
            <w:vAlign w:val="bottom"/>
          </w:tcPr>
          <w:p>
            <w:pPr>
              <w:ind w:left="1740"/>
              <w:spacing w:after="0"/>
              <w:rPr>
                <w:sz w:val="20"/>
                <w:szCs w:val="20"/>
                <w:color w:val="auto"/>
              </w:rPr>
            </w:pPr>
            <w:r>
              <w:rPr>
                <w:rFonts w:ascii="Arial" w:cs="Arial" w:eastAsia="Arial" w:hAnsi="Arial"/>
                <w:sz w:val="18"/>
                <w:szCs w:val="18"/>
                <w:b w:val="1"/>
                <w:bCs w:val="1"/>
                <w:color w:val="auto"/>
              </w:rPr>
              <w:t>Character &amp; Use of Property</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Executive Offices</w:t>
            </w:r>
          </w:p>
        </w:tc>
        <w:tc>
          <w:tcPr>
            <w:tcW w:w="57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Houston, Texas*</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corporate office</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North American Fenestration Segment</w:t>
            </w:r>
          </w:p>
        </w:tc>
        <w:tc>
          <w:tcPr>
            <w:tcW w:w="57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Akron, Ohio*</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executive office and R&amp;D facility</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Rice Lake, Wisconsin</w:t>
            </w:r>
          </w:p>
        </w:tc>
        <w:tc>
          <w:tcPr>
            <w:tcW w:w="5700" w:type="dxa"/>
            <w:vAlign w:val="bottom"/>
          </w:tcPr>
          <w:p>
            <w:pPr>
              <w:ind w:left="20"/>
              <w:spacing w:after="0"/>
              <w:rPr>
                <w:sz w:val="20"/>
                <w:szCs w:val="20"/>
                <w:color w:val="auto"/>
              </w:rPr>
            </w:pPr>
            <w:r>
              <w:rPr>
                <w:rFonts w:ascii="Arial" w:cs="Arial" w:eastAsia="Arial" w:hAnsi="Arial"/>
                <w:sz w:val="18"/>
                <w:szCs w:val="18"/>
                <w:color w:val="auto"/>
              </w:rPr>
              <w:t>Fenestration products</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Cambridge, Ohio*</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Flexible spacer and solar adhesives</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Richmond, Kentucky</w:t>
            </w:r>
          </w:p>
        </w:tc>
        <w:tc>
          <w:tcPr>
            <w:tcW w:w="5700" w:type="dxa"/>
            <w:vAlign w:val="bottom"/>
          </w:tcPr>
          <w:p>
            <w:pPr>
              <w:ind w:left="20"/>
              <w:spacing w:after="0"/>
              <w:rPr>
                <w:sz w:val="20"/>
                <w:szCs w:val="20"/>
                <w:color w:val="auto"/>
              </w:rPr>
            </w:pPr>
            <w:r>
              <w:rPr>
                <w:rFonts w:ascii="Arial" w:cs="Arial" w:eastAsia="Arial" w:hAnsi="Arial"/>
                <w:sz w:val="18"/>
                <w:szCs w:val="18"/>
                <w:color w:val="auto"/>
              </w:rPr>
              <w:t>Vinyl and composite extrusions</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Kent, Washington*</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Vinyl and composite extrusions</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European Fenestration Segment</w:t>
            </w:r>
          </w:p>
        </w:tc>
        <w:tc>
          <w:tcPr>
            <w:tcW w:w="57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Denby, United Kingdom*</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Vinyl and composite extrusions</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Heinsberg, Germany*</w:t>
            </w:r>
          </w:p>
        </w:tc>
        <w:tc>
          <w:tcPr>
            <w:tcW w:w="5700" w:type="dxa"/>
            <w:vAlign w:val="bottom"/>
          </w:tcPr>
          <w:p>
            <w:pPr>
              <w:ind w:left="20"/>
              <w:spacing w:after="0"/>
              <w:rPr>
                <w:sz w:val="20"/>
                <w:szCs w:val="20"/>
                <w:color w:val="auto"/>
              </w:rPr>
            </w:pPr>
            <w:r>
              <w:rPr>
                <w:rFonts w:ascii="Arial" w:cs="Arial" w:eastAsia="Arial" w:hAnsi="Arial"/>
                <w:sz w:val="18"/>
                <w:szCs w:val="18"/>
                <w:color w:val="auto"/>
              </w:rPr>
              <w:t>Flexible spacer</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North American Cabinet Components Segment</w:t>
            </w:r>
          </w:p>
        </w:tc>
        <w:tc>
          <w:tcPr>
            <w:tcW w:w="57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St. Cloud, Minnesota</w:t>
            </w:r>
          </w:p>
        </w:tc>
        <w:tc>
          <w:tcPr>
            <w:tcW w:w="5700" w:type="dxa"/>
            <w:vAlign w:val="bottom"/>
          </w:tcPr>
          <w:p>
            <w:pPr>
              <w:ind w:left="20"/>
              <w:spacing w:after="0"/>
              <w:rPr>
                <w:sz w:val="20"/>
                <w:szCs w:val="20"/>
                <w:color w:val="auto"/>
              </w:rPr>
            </w:pPr>
            <w:r>
              <w:rPr>
                <w:rFonts w:ascii="Arial" w:cs="Arial" w:eastAsia="Arial" w:hAnsi="Arial"/>
                <w:sz w:val="18"/>
                <w:szCs w:val="18"/>
                <w:color w:val="auto"/>
              </w:rPr>
              <w:t>Hardwood doors &amp; components for kitchen and bath</w:t>
            </w:r>
          </w:p>
        </w:tc>
      </w:tr>
      <w:tr>
        <w:trPr>
          <w:trHeight w:val="297"/>
        </w:trPr>
        <w:tc>
          <w:tcPr>
            <w:tcW w:w="5720" w:type="dxa"/>
            <w:vAlign w:val="bottom"/>
            <w:gridSpan w:val="2"/>
          </w:tcPr>
          <w:p>
            <w:pPr>
              <w:ind w:left="420"/>
              <w:spacing w:after="0"/>
              <w:rPr>
                <w:sz w:val="20"/>
                <w:szCs w:val="20"/>
                <w:color w:val="auto"/>
              </w:rPr>
            </w:pPr>
            <w:r>
              <w:rPr>
                <w:rFonts w:ascii="Arial" w:cs="Arial" w:eastAsia="Arial" w:hAnsi="Arial"/>
                <w:sz w:val="18"/>
                <w:szCs w:val="18"/>
                <w:color w:val="auto"/>
              </w:rPr>
              <w:t>* These locations are leased as of October 31, 2019.</w:t>
            </w:r>
          </w:p>
        </w:tc>
        <w:tc>
          <w:tcPr>
            <w:tcW w:w="5700" w:type="dxa"/>
            <w:vAlign w:val="bottom"/>
          </w:tcPr>
          <w:p>
            <w:pPr>
              <w:spacing w:after="0"/>
              <w:rPr>
                <w:sz w:val="24"/>
                <w:szCs w:val="24"/>
                <w:color w:val="auto"/>
              </w:rPr>
            </w:pPr>
          </w:p>
        </w:tc>
      </w:tr>
    </w:tbl>
    <w:p>
      <w:pPr>
        <w:spacing w:after="0" w:line="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to the locations identified above, our North American Fenestration Segment maintains 14 additional facilities for the manufacture and distribution of fenestration, spacer and extrusion products within the continental U.S., our European Fenestration Segment maintains one additional location for the production of spacer in the U.K., and our North American Cabinet Components Segment maintains 12 locations to manufacture hardwood doors and other wood components for kitchen and bath cabinets. We maintain a lease in Yakima, Washington, which will expire in 2021, related to a location which was closed as a result of restructuring activities. See Note 1, "Nature of Operations, Basis of Presentation and Significant Accounting Policies - Restructuring" to the accompanying consolidated financial statements included elsewhere in this Annual Report on Form 10-K.</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believe our operating properties are in good condition and well maintained, and are generally suitable and adequate to carry on our business. In fiscal 2019, on a consolidated basis, our facilities operated at approximately 59% of capacity. This capacity utilization is subject to variability by product line, seasonality, and location.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been and are currently party to multiple claims, some of which are in litigation, relating to alleged defects in a commercial sealant product that was manufactured and sold during the 2000's. Several claims were resolved during fiscal 2017, 2018 and 2019, and we continue to defend the remaining claims.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ind w:firstLine="392"/>
        <w:spacing w:after="0" w:line="277" w:lineRule="auto"/>
        <w:rPr>
          <w:sz w:val="20"/>
          <w:szCs w:val="20"/>
          <w:color w:val="auto"/>
        </w:rPr>
      </w:pPr>
      <w:r>
        <w:rPr>
          <w:rFonts w:ascii="Arial" w:cs="Arial" w:eastAsia="Arial" w:hAnsi="Arial"/>
          <w:sz w:val="18"/>
          <w:szCs w:val="18"/>
          <w:color w:val="auto"/>
        </w:rPr>
        <w:t>For discussion of environmental issues, see Item 1</w:t>
      </w:r>
      <w:r>
        <w:rPr>
          <w:rFonts w:ascii="Arial" w:cs="Arial" w:eastAsia="Arial" w:hAnsi="Arial"/>
          <w:sz w:val="18"/>
          <w:szCs w:val="18"/>
          <w:i w:val="1"/>
          <w:iCs w:val="1"/>
          <w:color w:val="auto"/>
        </w:rPr>
        <w:t>, "Business - Environmental and Employee Safety Matters”</w:t>
      </w:r>
      <w:r>
        <w:rPr>
          <w:rFonts w:ascii="Arial" w:cs="Arial" w:eastAsia="Arial" w:hAnsi="Arial"/>
          <w:sz w:val="18"/>
          <w:szCs w:val="18"/>
          <w:color w:val="auto"/>
        </w:rPr>
        <w:t xml:space="preserve"> discussed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5" w:name="page16"/>
    <w:bookmarkEnd w:id="15"/>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common stock has been listed on the New York Stock Exchange under the ticker symbol NX since April 24, 2008. Electronic copies of our public filings are available on the Securities and Exchange Commission's website (</w:t>
      </w:r>
      <w:r>
        <w:rPr>
          <w:rFonts w:ascii="Arial" w:cs="Arial" w:eastAsia="Arial" w:hAnsi="Arial"/>
          <w:sz w:val="18"/>
          <w:szCs w:val="18"/>
          <w:u w:val="single" w:color="auto"/>
          <w:color w:val="0000EE"/>
        </w:rPr>
        <w:t>www.sec.gov</w:t>
      </w:r>
      <w:r>
        <w:rPr>
          <w:rFonts w:ascii="Arial" w:cs="Arial" w:eastAsia="Arial" w:hAnsi="Arial"/>
          <w:sz w:val="18"/>
          <w:szCs w:val="18"/>
          <w:color w:val="auto"/>
        </w:rPr>
        <w:t>). There were approximately 1,856 holders of our common stock (excluding individual participants in securities positions listings) on record as of December 9,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certain information regarding equity compensation to our employees, officers and directors under equity compensation plans as of October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180" w:type="dxa"/>
            <w:vAlign w:val="bottom"/>
          </w:tcPr>
          <w:p>
            <w:pPr>
              <w:spacing w:after="0"/>
              <w:rPr>
                <w:sz w:val="14"/>
                <w:szCs w:val="14"/>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80" w:type="dxa"/>
            <w:vAlign w:val="bottom"/>
          </w:tcPr>
          <w:p>
            <w:pPr>
              <w:spacing w:after="0"/>
              <w:rPr>
                <w:sz w:val="12"/>
                <w:szCs w:val="12"/>
                <w:color w:val="auto"/>
              </w:rPr>
            </w:pP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180" w:type="dxa"/>
            <w:vAlign w:val="bottom"/>
          </w:tcPr>
          <w:p>
            <w:pPr>
              <w:spacing w:after="0"/>
              <w:rPr>
                <w:sz w:val="12"/>
                <w:szCs w:val="12"/>
                <w:color w:val="auto"/>
              </w:rPr>
            </w:pPr>
          </w:p>
        </w:tc>
        <w:tc>
          <w:tcPr>
            <w:tcW w:w="1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58"/>
        </w:trPr>
        <w:tc>
          <w:tcPr>
            <w:tcW w:w="5120" w:type="dxa"/>
            <w:vAlign w:val="bottom"/>
            <w:gridSpan w:val="3"/>
            <w:vMerge w:val="continue"/>
          </w:tcPr>
          <w:p>
            <w:pPr>
              <w:spacing w:after="0"/>
              <w:rPr>
                <w:sz w:val="13"/>
                <w:szCs w:val="13"/>
                <w:color w:val="auto"/>
              </w:rPr>
            </w:pPr>
          </w:p>
        </w:tc>
        <w:tc>
          <w:tcPr>
            <w:tcW w:w="20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rights</w:t>
            </w:r>
            <w:r>
              <w:rPr>
                <w:rFonts w:ascii="Arial" w:cs="Arial" w:eastAsia="Arial" w:hAnsi="Arial"/>
                <w:sz w:val="8"/>
                <w:szCs w:val="8"/>
                <w:b w:val="1"/>
                <w:bCs w:val="1"/>
                <w:color w:val="auto"/>
                <w:w w:val="98"/>
              </w:rPr>
              <w:t>(1)</w:t>
            </w:r>
          </w:p>
        </w:tc>
        <w:tc>
          <w:tcPr>
            <w:tcW w:w="180" w:type="dxa"/>
            <w:vAlign w:val="bottom"/>
          </w:tcPr>
          <w:p>
            <w:pPr>
              <w:spacing w:after="0"/>
              <w:rPr>
                <w:sz w:val="13"/>
                <w:szCs w:val="13"/>
                <w:color w:val="auto"/>
              </w:rPr>
            </w:pPr>
          </w:p>
        </w:tc>
        <w:tc>
          <w:tcPr>
            <w:tcW w:w="17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warrants and rights</w:t>
            </w:r>
            <w:r>
              <w:rPr>
                <w:rFonts w:ascii="Arial" w:cs="Arial" w:eastAsia="Arial" w:hAnsi="Arial"/>
                <w:sz w:val="8"/>
                <w:szCs w:val="8"/>
                <w:b w:val="1"/>
                <w:bCs w:val="1"/>
                <w:color w:val="auto"/>
                <w:w w:val="94"/>
              </w:rPr>
              <w:t>(2)</w:t>
            </w:r>
          </w:p>
        </w:tc>
        <w:tc>
          <w:tcPr>
            <w:tcW w:w="2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2,252,331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1,678,721</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420" w:hanging="7"/>
        <w:spacing w:after="0" w:line="238" w:lineRule="auto"/>
        <w:tabs>
          <w:tab w:leader="none" w:pos="639"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Column (a) includes securities that may be issued upon future vesting of performance share awards that have been previously granted to key employees and officers. The number of securities reflected in this column includes the maximum number of shares that would be issued pursuant to these performance share awards assuming the performance measures are achieved. The performance measures may not be achieved.</w:t>
      </w:r>
    </w:p>
    <w:p>
      <w:pPr>
        <w:spacing w:after="0" w:line="148" w:lineRule="exact"/>
        <w:rPr>
          <w:rFonts w:ascii="Arial" w:cs="Arial" w:eastAsia="Arial" w:hAnsi="Arial"/>
          <w:sz w:val="24"/>
          <w:szCs w:val="24"/>
          <w:color w:val="auto"/>
          <w:vertAlign w:val="superscript"/>
        </w:rPr>
      </w:pPr>
    </w:p>
    <w:p>
      <w:pPr>
        <w:ind w:left="420" w:hanging="7"/>
        <w:spacing w:after="0" w:line="227" w:lineRule="auto"/>
        <w:tabs>
          <w:tab w:leader="none" w:pos="612"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weighted-average exercise price in column (b) does not include the impacts of the performance share awards or any securities that may be issued thereunder. For additional details, see Note 14, "Stock-Based Compensation" included elsewhere within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a table summarizing the program and the repurchase of shares during the quarter ended October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(d) Maximum US Dollars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 Total Number of</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(b) Average 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Used to Purchase Shares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 xml:space="preserve">Shares Purchased </w:t>
            </w:r>
            <w:r>
              <w:rPr>
                <w:rFonts w:ascii="Arial" w:cs="Arial" w:eastAsia="Arial" w:hAnsi="Arial"/>
                <w:sz w:val="8"/>
                <w:szCs w:val="8"/>
                <w:b w:val="1"/>
                <w:bCs w:val="1"/>
                <w:color w:val="auto"/>
                <w:w w:val="98"/>
              </w:rPr>
              <w:t>(1)</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r>
              <w:rPr>
                <w:rFonts w:ascii="Arial" w:cs="Arial" w:eastAsia="Arial" w:hAnsi="Arial"/>
                <w:sz w:val="8"/>
                <w:szCs w:val="8"/>
                <w:b w:val="1"/>
                <w:bCs w:val="1"/>
                <w:color w:val="auto"/>
                <w:w w:val="94"/>
              </w:rPr>
              <w:t>(1)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2019</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$21,630,466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September 2019</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$21,630,466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2019</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175,000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18.37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175,000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$18,415,158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175,000</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$18.37</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175,000</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8"/>
        <w:spacing w:after="0" w:line="253" w:lineRule="auto"/>
        <w:tabs>
          <w:tab w:leader="none" w:pos="196"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2019 and 2018, we purchased 583,398 shares and 1,900,000 shares, respectively, at a cost of $9.6 million and $32.0 million, respectively,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following chart represents a comparison of the five year total return of our common stock to the Standard &amp; Poor’s 500 Index (S&amp;P 500), the Russell 2000 Index, and a peer group index selected by us, which includes companies offering similar products and services to ours. The companies in our peer group for the year ended October 31, 2019 are AAON Inc., American Woodmark Corp, Apogee Enterprises Inc., Armstrong Flooring Inc., Continental Building Products Inc., Cornerstone Building Brands Inc., CSW Industrials Inc., Gibraltar Industries Inc., Griffon Corporation, Insteel Industries Inc., Masonite International, Patrick Industries Inc., PGT Innovations, Inc., Simpson Manufacturing Company Inc.,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84455</wp:posOffset>
            </wp:positionV>
            <wp:extent cx="5145405" cy="4853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INDEXED RETURNS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For the Years Ended</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Company Name / Index</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10/31/2014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6"/>
                <w:szCs w:val="16"/>
                <w:b w:val="1"/>
                <w:bCs w:val="1"/>
                <w:color w:val="auto"/>
                <w:w w:val="94"/>
              </w:rPr>
              <w:t>10/31/2015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w w:val="92"/>
              </w:rPr>
              <w:t>10/31/2016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10/31/2017</w:t>
            </w:r>
          </w:p>
        </w:tc>
        <w:tc>
          <w:tcPr>
            <w:tcW w:w="28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10/31/2018</w:t>
            </w:r>
          </w:p>
        </w:tc>
        <w:tc>
          <w:tcPr>
            <w:tcW w:w="2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10/31/2019</w:t>
            </w:r>
          </w:p>
        </w:tc>
      </w:tr>
      <w:tr>
        <w:trPr>
          <w:trHeight w:val="33"/>
        </w:trPr>
        <w:tc>
          <w:tcPr>
            <w:tcW w:w="3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Quanex Building Products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24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95.04</w:t>
            </w:r>
          </w:p>
        </w:tc>
        <w:tc>
          <w:tcPr>
            <w:tcW w:w="2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82.83</w:t>
            </w:r>
          </w:p>
        </w:tc>
        <w:tc>
          <w:tcPr>
            <w:tcW w:w="24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101.82</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S&amp;P 500 Index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105.20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109.94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135.93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145.91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166.81</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24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100.34</w:t>
            </w:r>
          </w:p>
        </w:tc>
        <w:tc>
          <w:tcPr>
            <w:tcW w:w="2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104.46</w:t>
            </w:r>
          </w:p>
        </w:tc>
        <w:tc>
          <w:tcPr>
            <w:tcW w:w="24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136.03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142.70</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New Peer Group</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7"/>
              <w:spacing w:after="0"/>
              <w:rPr>
                <w:sz w:val="20"/>
                <w:szCs w:val="20"/>
                <w:color w:val="auto"/>
              </w:rPr>
            </w:pPr>
            <w:r>
              <w:rPr>
                <w:rFonts w:ascii="Arial" w:cs="Arial" w:eastAsia="Arial" w:hAnsi="Arial"/>
                <w:sz w:val="16"/>
                <w:szCs w:val="16"/>
                <w:color w:val="auto"/>
              </w:rPr>
              <w:t>118.85</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136.42</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178.95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166.02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210.61</w:t>
            </w:r>
          </w:p>
        </w:tc>
      </w:tr>
      <w:tr>
        <w:trPr>
          <w:trHeight w:val="459"/>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57"/>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table presents selected historical consolidated financial and operating data for the periods shown. The selected consolidated financial data as of October 31, 2019, 2018, 2017, 2016 and 2015 and for each of the fiscal years then ended was derived from our audited consolidated financial statements for those dates and periods, adjusted for discontinued operations, as indicated. Data reflects the adoption of accounting standards updates and accounting changes made during the year ended October 31, 2019. The following information should be read in conjunction with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our audited financial statements and related notes included elsewhere in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w:t>
      </w:r>
    </w:p>
    <w:p>
      <w:pPr>
        <w:spacing w:after="0" w:line="131"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Fiscal Years Ended October 31,</w:t>
      </w:r>
    </w:p>
    <w:p>
      <w:pPr>
        <w:ind w:left="4920"/>
        <w:spacing w:after="0"/>
        <w:tabs>
          <w:tab w:leader="none" w:pos="6220" w:val="left"/>
          <w:tab w:leader="none" w:pos="7800" w:val="left"/>
          <w:tab w:leader="none" w:pos="9000" w:val="left"/>
          <w:tab w:leader="none" w:pos="10540" w:val="left"/>
        </w:tabs>
        <w:rPr>
          <w:sz w:val="20"/>
          <w:szCs w:val="20"/>
          <w:color w:val="auto"/>
        </w:rPr>
      </w:pPr>
      <w:r>
        <w:rPr>
          <w:rFonts w:ascii="Arial" w:cs="Arial" w:eastAsia="Arial" w:hAnsi="Arial"/>
          <w:sz w:val="32"/>
          <w:szCs w:val="32"/>
          <w:b w:val="1"/>
          <w:bCs w:val="1"/>
          <w:color w:val="auto"/>
          <w:vertAlign w:val="subscript"/>
        </w:rPr>
        <w:t>2019</w:t>
      </w:r>
      <w:r>
        <w:rPr>
          <w:rFonts w:ascii="Arial" w:cs="Arial" w:eastAsia="Arial" w:hAnsi="Arial"/>
          <w:sz w:val="11"/>
          <w:szCs w:val="11"/>
          <w:b w:val="1"/>
          <w:bCs w:val="1"/>
          <w:color w:val="auto"/>
        </w:rPr>
        <w:t>(1)(2)</w:t>
      </w:r>
      <w:r>
        <w:rPr>
          <w:sz w:val="20"/>
          <w:szCs w:val="20"/>
          <w:color w:val="auto"/>
        </w:rPr>
        <w:tab/>
      </w:r>
      <w:r>
        <w:rPr>
          <w:rFonts w:ascii="Arial" w:cs="Arial" w:eastAsia="Arial" w:hAnsi="Arial"/>
          <w:sz w:val="32"/>
          <w:szCs w:val="32"/>
          <w:b w:val="1"/>
          <w:bCs w:val="1"/>
          <w:color w:val="auto"/>
          <w:vertAlign w:val="subscript"/>
        </w:rPr>
        <w:t>2018</w:t>
      </w:r>
      <w:r>
        <w:rPr>
          <w:rFonts w:ascii="Arial" w:cs="Arial" w:eastAsia="Arial" w:hAnsi="Arial"/>
          <w:sz w:val="10"/>
          <w:szCs w:val="10"/>
          <w:b w:val="1"/>
          <w:bCs w:val="1"/>
          <w:color w:val="auto"/>
        </w:rPr>
        <w:t>(2)(3)(4)</w:t>
      </w:r>
      <w:r>
        <w:rPr>
          <w:sz w:val="20"/>
          <w:szCs w:val="20"/>
          <w:color w:val="auto"/>
        </w:rPr>
        <w:tab/>
      </w:r>
      <w:r>
        <w:rPr>
          <w:rFonts w:ascii="Arial" w:cs="Arial" w:eastAsia="Arial" w:hAnsi="Arial"/>
          <w:sz w:val="32"/>
          <w:szCs w:val="32"/>
          <w:b w:val="1"/>
          <w:bCs w:val="1"/>
          <w:color w:val="auto"/>
          <w:vertAlign w:val="subscript"/>
        </w:rPr>
        <w:t>2017</w:t>
      </w:r>
      <w:r>
        <w:rPr>
          <w:rFonts w:ascii="Arial" w:cs="Arial" w:eastAsia="Arial" w:hAnsi="Arial"/>
          <w:sz w:val="10"/>
          <w:szCs w:val="10"/>
          <w:b w:val="1"/>
          <w:bCs w:val="1"/>
          <w:color w:val="auto"/>
        </w:rPr>
        <w:t>(2)</w:t>
      </w:r>
      <w:r>
        <w:rPr>
          <w:sz w:val="20"/>
          <w:szCs w:val="20"/>
          <w:color w:val="auto"/>
        </w:rPr>
        <w:tab/>
      </w:r>
      <w:r>
        <w:rPr>
          <w:rFonts w:ascii="Arial" w:cs="Arial" w:eastAsia="Arial" w:hAnsi="Arial"/>
          <w:sz w:val="32"/>
          <w:szCs w:val="32"/>
          <w:b w:val="1"/>
          <w:bCs w:val="1"/>
          <w:color w:val="auto"/>
          <w:vertAlign w:val="subscript"/>
        </w:rPr>
        <w:t>2016</w:t>
      </w:r>
      <w:r>
        <w:rPr>
          <w:rFonts w:ascii="Arial" w:cs="Arial" w:eastAsia="Arial" w:hAnsi="Arial"/>
          <w:sz w:val="10"/>
          <w:szCs w:val="10"/>
          <w:b w:val="1"/>
          <w:bCs w:val="1"/>
          <w:color w:val="auto"/>
        </w:rPr>
        <w:t>(2)(5)(6)(7)</w:t>
      </w:r>
      <w:r>
        <w:rPr>
          <w:sz w:val="20"/>
          <w:szCs w:val="20"/>
          <w:color w:val="auto"/>
        </w:rPr>
        <w:tab/>
      </w:r>
      <w:r>
        <w:rPr>
          <w:rFonts w:ascii="Arial" w:cs="Arial" w:eastAsia="Arial" w:hAnsi="Arial"/>
          <w:sz w:val="22"/>
          <w:szCs w:val="22"/>
          <w:b w:val="1"/>
          <w:bCs w:val="1"/>
          <w:color w:val="auto"/>
          <w:vertAlign w:val="subscript"/>
        </w:rPr>
        <w:t>2015</w:t>
      </w:r>
      <w:r>
        <w:rPr>
          <w:rFonts w:ascii="Arial" w:cs="Arial" w:eastAsia="Arial" w:hAnsi="Arial"/>
          <w:sz w:val="8"/>
          <w:szCs w:val="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21590</wp:posOffset>
            </wp:positionV>
            <wp:extent cx="4330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3070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-157480</wp:posOffset>
            </wp:positionV>
            <wp:extent cx="4330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(Dollars in thousands, except per share data)</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and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sales (excluding depreciation and amortization)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 impairment charges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(loss)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Non-operating (expense)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net</w:t>
      </w:r>
    </w:p>
    <w:p>
      <w:pPr>
        <w:spacing w:after="0" w:line="100" w:lineRule="exact"/>
        <w:rPr>
          <w:sz w:val="20"/>
          <w:szCs w:val="20"/>
          <w:color w:val="auto"/>
        </w:rPr>
      </w:pPr>
    </w:p>
    <w:p>
      <w:pPr>
        <w:ind w:left="40"/>
        <w:spacing w:after="0" w:line="361" w:lineRule="auto"/>
        <w:rPr>
          <w:sz w:val="20"/>
          <w:szCs w:val="20"/>
          <w:color w:val="auto"/>
        </w:rPr>
      </w:pPr>
      <w:r>
        <w:rPr>
          <w:rFonts w:ascii="Arial" w:cs="Arial" w:eastAsia="Arial" w:hAnsi="Arial"/>
          <w:sz w:val="16"/>
          <w:szCs w:val="16"/>
          <w:color w:val="auto"/>
        </w:rPr>
        <w:t>(Loss) income from continuing operations before income taxes Income tax (expense) benefit</w:t>
      </w:r>
    </w:p>
    <w:p>
      <w:pPr>
        <w:ind w:left="40" w:right="840"/>
        <w:spacing w:after="0" w:line="422" w:lineRule="auto"/>
        <w:rPr>
          <w:sz w:val="20"/>
          <w:szCs w:val="20"/>
          <w:color w:val="auto"/>
        </w:rPr>
      </w:pPr>
      <w:r>
        <w:rPr>
          <w:rFonts w:ascii="Arial" w:cs="Arial" w:eastAsia="Arial" w:hAnsi="Arial"/>
          <w:sz w:val="14"/>
          <w:szCs w:val="14"/>
          <w:color w:val="auto"/>
        </w:rPr>
        <w:t>(Loss) income from continuing operations Income from discontinued operations, net of taxes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Basic (loss) earnings per common share:</w:t>
      </w:r>
    </w:p>
    <w:p>
      <w:pPr>
        <w:spacing w:after="0" w:line="86" w:lineRule="exact"/>
        <w:rPr>
          <w:sz w:val="20"/>
          <w:szCs w:val="20"/>
          <w:color w:val="auto"/>
        </w:rPr>
      </w:pPr>
    </w:p>
    <w:p>
      <w:pPr>
        <w:ind w:left="180" w:right="800"/>
        <w:spacing w:after="0" w:line="422" w:lineRule="auto"/>
        <w:rPr>
          <w:sz w:val="20"/>
          <w:szCs w:val="20"/>
          <w:color w:val="auto"/>
        </w:rPr>
      </w:pPr>
      <w:r>
        <w:rPr>
          <w:rFonts w:ascii="Arial" w:cs="Arial" w:eastAsia="Arial" w:hAnsi="Arial"/>
          <w:sz w:val="14"/>
          <w:szCs w:val="14"/>
          <w:color w:val="auto"/>
        </w:rPr>
        <w:t>Basic (loss) earnings from continuing operations Basic earnings from discontinued operations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Basic (loss) earnings per share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Diluted (loss) earnings per common share:</w:t>
      </w:r>
    </w:p>
    <w:p>
      <w:pPr>
        <w:spacing w:after="0" w:line="86" w:lineRule="exact"/>
        <w:rPr>
          <w:sz w:val="20"/>
          <w:szCs w:val="20"/>
          <w:color w:val="auto"/>
        </w:rPr>
      </w:pPr>
    </w:p>
    <w:p>
      <w:pPr>
        <w:ind w:left="180" w:right="660"/>
        <w:spacing w:after="0" w:line="412" w:lineRule="auto"/>
        <w:rPr>
          <w:sz w:val="20"/>
          <w:szCs w:val="20"/>
          <w:color w:val="auto"/>
        </w:rPr>
      </w:pPr>
      <w:r>
        <w:rPr>
          <w:rFonts w:ascii="Arial" w:cs="Arial" w:eastAsia="Arial" w:hAnsi="Arial"/>
          <w:sz w:val="14"/>
          <w:szCs w:val="14"/>
          <w:color w:val="auto"/>
        </w:rPr>
        <w:t>Diluted (loss) earnings from continuing operations Diluted earnings from discontinued operations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893,841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889,785</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866,555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928,184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645,528</w:t>
            </w:r>
          </w:p>
        </w:tc>
      </w:tr>
      <w:tr>
        <w:trPr>
          <w:trHeight w:val="540"/>
        </w:trPr>
        <w:tc>
          <w:tcPr>
            <w:tcW w:w="3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694,420</w:t>
            </w:r>
          </w:p>
        </w:tc>
        <w:tc>
          <w:tcPr>
            <w:tcW w:w="44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697,022</w:t>
            </w:r>
          </w:p>
        </w:tc>
        <w:tc>
          <w:tcPr>
            <w:tcW w:w="5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672,488</w:t>
            </w:r>
          </w:p>
        </w:tc>
        <w:tc>
          <w:tcPr>
            <w:tcW w:w="4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710,947</w:t>
            </w:r>
          </w:p>
        </w:tc>
        <w:tc>
          <w:tcPr>
            <w:tcW w:w="4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499,680</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101,292</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103,758</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98,085</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115,012</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86,718</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370</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1,486</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4,550</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529</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49,586</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51,822</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57,495</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53,146</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35,220</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74,600</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12,602</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(26,427)</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35,697</w:t>
            </w:r>
          </w:p>
        </w:tc>
        <w:tc>
          <w:tcPr>
            <w:tcW w:w="5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33,937</w:t>
            </w:r>
          </w:p>
        </w:tc>
        <w:tc>
          <w:tcPr>
            <w:tcW w:w="4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35,948</w:t>
            </w:r>
          </w:p>
        </w:tc>
        <w:tc>
          <w:tcPr>
            <w:tcW w:w="4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23,910</w:t>
            </w:r>
          </w:p>
        </w:tc>
      </w:tr>
      <w:tr>
        <w:trPr>
          <w:trHeight w:val="540"/>
        </w:trPr>
        <w:tc>
          <w:tcPr>
            <w:tcW w:w="3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(9,643)</w:t>
            </w:r>
          </w:p>
        </w:tc>
        <w:tc>
          <w:tcPr>
            <w:tcW w:w="44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(11,100)</w:t>
            </w:r>
          </w:p>
        </w:tc>
        <w:tc>
          <w:tcPr>
            <w:tcW w:w="5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(9,595)</w:t>
            </w:r>
          </w:p>
        </w:tc>
        <w:tc>
          <w:tcPr>
            <w:tcW w:w="4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(36,498)</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1,156</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1,160</w:t>
            </w:r>
          </w:p>
        </w:tc>
        <w:tc>
          <w:tcPr>
            <w:tcW w:w="4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(5,074)</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234</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(35,954)</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25,753</w:t>
            </w:r>
          </w:p>
        </w:tc>
        <w:tc>
          <w:tcPr>
            <w:tcW w:w="5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25,502</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(5,624)</w:t>
            </w:r>
          </w:p>
        </w:tc>
        <w:tc>
          <w:tcPr>
            <w:tcW w:w="4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23,153</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(10,776)</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800</w:t>
            </w: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(6,819)</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3,765</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(7,539)</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(46,730)</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26,553</w:t>
            </w:r>
          </w:p>
        </w:tc>
        <w:tc>
          <w:tcPr>
            <w:tcW w:w="5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18,683</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4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15,614</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479</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(46,730)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26,553</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18,683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16,093</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88"/>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0.55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0.46</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0.01</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0.55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0.47</w:t>
            </w:r>
          </w:p>
        </w:tc>
      </w:tr>
      <w:tr>
        <w:trPr>
          <w:trHeight w:val="33"/>
        </w:trPr>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88"/>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0.76</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0.54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0.46</w:t>
            </w:r>
          </w:p>
        </w:tc>
      </w:tr>
      <w:tr>
        <w:trPr>
          <w:trHeight w:val="270"/>
        </w:trPr>
        <w:tc>
          <w:tcPr>
            <w:tcW w:w="3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-3674745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-3331845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-2988310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-2637155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-2293620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-1942465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-1590675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-1230630</wp:posOffset>
            </wp:positionV>
            <wp:extent cx="722947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-870585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-509905</wp:posOffset>
            </wp:positionV>
            <wp:extent cx="72294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-149860</wp:posOffset>
            </wp:positionV>
            <wp:extent cx="72294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4120" w:space="460"/>
            <w:col w:w="68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(loss) earnings per share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0.76</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0.47</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0.20</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0.16</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Other Financial &amp; Operating Data</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96,372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104,611</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79,778</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87,341</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67,087</w:t>
            </w:r>
          </w:p>
        </w:tc>
      </w:tr>
      <w:tr>
        <w:trPr>
          <w:trHeight w:val="237"/>
        </w:trPr>
        <w:tc>
          <w:tcPr>
            <w:tcW w:w="4580" w:type="dxa"/>
            <w:vAlign w:val="bottom"/>
          </w:tcPr>
          <w:p>
            <w:pPr>
              <w:ind w:left="180"/>
              <w:spacing w:after="0"/>
              <w:rPr>
                <w:sz w:val="20"/>
                <w:szCs w:val="20"/>
                <w:color w:val="auto"/>
              </w:rPr>
            </w:pPr>
            <w:r>
              <w:rPr>
                <w:rFonts w:ascii="Arial" w:cs="Arial" w:eastAsia="Arial" w:hAnsi="Arial"/>
                <w:sz w:val="16"/>
                <w:szCs w:val="16"/>
                <w:color w:val="auto"/>
              </w:rPr>
              <w:t>Cash used for investing activities</w:t>
            </w:r>
          </w:p>
        </w:tc>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(23,559)</w:t>
            </w:r>
          </w:p>
        </w:tc>
        <w:tc>
          <w:tcPr>
            <w:tcW w:w="4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(26,052)</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(32,627)</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(282,103)</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(160,144)</w:t>
            </w:r>
          </w:p>
        </w:tc>
      </w:tr>
      <w:tr>
        <w:trPr>
          <w:trHeight w:val="33"/>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(used for)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(71,264)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(55,133)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195,448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(4,581)</w:t>
            </w:r>
          </w:p>
        </w:tc>
      </w:tr>
      <w:tr>
        <w:trPr>
          <w:trHeight w:val="237"/>
        </w:trPr>
        <w:tc>
          <w:tcPr>
            <w:tcW w:w="458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245,904</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(131,689)</w:t>
            </w:r>
          </w:p>
        </w:tc>
      </w:tr>
      <w:tr>
        <w:trPr>
          <w:trHeight w:val="33"/>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24,883</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26,484</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34,564</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37,243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(29,982)</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Selected Consolidated Balance Sheet Data at Year End</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30,868</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29,003</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17,455</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25,526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23,125</w:t>
            </w:r>
          </w:p>
        </w:tc>
      </w:tr>
      <w:tr>
        <w:trPr>
          <w:trHeight w:val="237"/>
        </w:trPr>
        <w:tc>
          <w:tcPr>
            <w:tcW w:w="458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3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645,110</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743,214</w:t>
            </w:r>
          </w:p>
        </w:tc>
        <w:tc>
          <w:tcPr>
            <w:tcW w:w="5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774,944</w:t>
            </w:r>
          </w:p>
        </w:tc>
        <w:tc>
          <w:tcPr>
            <w:tcW w:w="4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781,418</w:t>
            </w: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566,581</w:t>
            </w:r>
          </w:p>
        </w:tc>
      </w:tr>
      <w:tr>
        <w:trPr>
          <w:trHeight w:val="33"/>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excluding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156,414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209,332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218,184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259,011</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53,767</w:t>
            </w:r>
          </w:p>
        </w:tc>
      </w:tr>
      <w:tr>
        <w:trPr>
          <w:trHeight w:val="237"/>
        </w:trPr>
        <w:tc>
          <w:tcPr>
            <w:tcW w:w="458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314,923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347,992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367,252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412,742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170,441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ind w:left="49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0" w:lineRule="exact"/>
        <w:rPr>
          <w:sz w:val="20"/>
          <w:szCs w:val="20"/>
          <w:color w:val="auto"/>
        </w:rPr>
      </w:pPr>
    </w:p>
    <w:p>
      <w:pPr>
        <w:ind w:left="210" w:hanging="210"/>
        <w:spacing w:after="0"/>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2019, we recorded goodwill impairment charges of $74.6 million associated with our cabinet components business.</w:t>
      </w:r>
    </w:p>
    <w:p>
      <w:pPr>
        <w:spacing w:after="0" w:line="147" w:lineRule="exact"/>
        <w:rPr>
          <w:rFonts w:ascii="Arial" w:cs="Arial" w:eastAsia="Arial" w:hAnsi="Arial"/>
          <w:sz w:val="25"/>
          <w:szCs w:val="25"/>
          <w:color w:val="auto"/>
          <w:vertAlign w:val="superscript"/>
        </w:rPr>
      </w:pPr>
    </w:p>
    <w:p>
      <w:pPr>
        <w:jc w:val="both"/>
        <w:ind w:left="210" w:hanging="210"/>
        <w:spacing w:after="0" w:line="226" w:lineRule="auto"/>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2019, 2018, 2017 and 2016, we incurred $0.4 million, $1.5 million, $4.6 million, and $0.5 million respectively, of restructuring costs associated with the closure of several plant facilities. See Note 1, "Nature of Operations, Basis of Presentation and Significant Accounting Policies - Restructuring," included elsewhere in this Annual Report on Form 10-K.</w:t>
      </w:r>
    </w:p>
    <w:p>
      <w:pPr>
        <w:spacing w:after="0" w:line="149" w:lineRule="exact"/>
        <w:rPr>
          <w:rFonts w:ascii="Arial" w:cs="Arial" w:eastAsia="Arial" w:hAnsi="Arial"/>
          <w:sz w:val="25"/>
          <w:szCs w:val="25"/>
          <w:color w:val="auto"/>
          <w:vertAlign w:val="superscript"/>
        </w:rPr>
      </w:pPr>
    </w:p>
    <w:p>
      <w:pPr>
        <w:ind w:left="210" w:hanging="210"/>
        <w:spacing w:after="0" w:line="216" w:lineRule="auto"/>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October 2018, we refinanced our credit facility resulting in a charge of $1.1 million of unamortized deferred financing fees. See Note 8, "Debt and Capital Lease Obligations" included elsewhere in this Annual Report on Form 10-K.</w:t>
      </w:r>
    </w:p>
    <w:p>
      <w:pPr>
        <w:spacing w:after="0" w:line="149" w:lineRule="exact"/>
        <w:rPr>
          <w:rFonts w:ascii="Arial" w:cs="Arial" w:eastAsia="Arial" w:hAnsi="Arial"/>
          <w:sz w:val="25"/>
          <w:szCs w:val="25"/>
          <w:color w:val="auto"/>
          <w:vertAlign w:val="superscript"/>
        </w:rPr>
      </w:pPr>
    </w:p>
    <w:p>
      <w:pPr>
        <w:ind w:left="210" w:right="20" w:hanging="210"/>
        <w:spacing w:after="0" w:line="216" w:lineRule="auto"/>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2018, we recorded a $6.5 million net benefit related to the tax effect of implementing the Tax Cuts and Jobs Act, which was signed into law on December 22, 2017. See Note 10, "Income Taxes" included elsewhere in this Annual Report on Form 10-K.</w:t>
      </w:r>
    </w:p>
    <w:p>
      <w:pPr>
        <w:spacing w:after="0" w:line="149" w:lineRule="exact"/>
        <w:rPr>
          <w:rFonts w:ascii="Arial" w:cs="Arial" w:eastAsia="Arial" w:hAnsi="Arial"/>
          <w:sz w:val="25"/>
          <w:szCs w:val="25"/>
          <w:color w:val="auto"/>
          <w:vertAlign w:val="superscript"/>
        </w:rPr>
      </w:pPr>
    </w:p>
    <w:p>
      <w:pPr>
        <w:jc w:val="both"/>
        <w:ind w:left="210" w:hanging="210"/>
        <w:spacing w:after="0" w:line="226" w:lineRule="auto"/>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November 2015, we acquired Woodcraft, a manufacturer of cabinet doors and other components to OEMs in the kitchen and bathroom cabinet industry. The results of operations of Woodcraft including revenue of $223.4 million and net income of $4.1 million have been included in our consolidated operating results since the date of acquisition, November 2, 2015.</w:t>
      </w:r>
    </w:p>
    <w:p>
      <w:pPr>
        <w:spacing w:after="0" w:line="149" w:lineRule="exact"/>
        <w:rPr>
          <w:rFonts w:ascii="Arial" w:cs="Arial" w:eastAsia="Arial" w:hAnsi="Arial"/>
          <w:sz w:val="25"/>
          <w:szCs w:val="25"/>
          <w:color w:val="auto"/>
          <w:vertAlign w:val="superscript"/>
        </w:rPr>
      </w:pPr>
    </w:p>
    <w:p>
      <w:pPr>
        <w:jc w:val="both"/>
        <w:ind w:left="210" w:hanging="210"/>
        <w:spacing w:after="0" w:line="226" w:lineRule="auto"/>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July 2016, we refinanced our credit facility resulting in a $3.1 million prepayment call premium fee, a charge of $8.1 million of unamortized deferred financing fees and a charge of $5.5 million of unamortized original issuer’s discount. See Note 8, "Debt and Capital Lease Obligations" included elsewhere in this Annual Report on Form 10-K.</w:t>
      </w:r>
    </w:p>
    <w:p>
      <w:pPr>
        <w:spacing w:after="0" w:line="92" w:lineRule="exact"/>
        <w:rPr>
          <w:rFonts w:ascii="Arial" w:cs="Arial" w:eastAsia="Arial" w:hAnsi="Arial"/>
          <w:sz w:val="25"/>
          <w:szCs w:val="25"/>
          <w:color w:val="auto"/>
          <w:vertAlign w:val="superscript"/>
        </w:rPr>
      </w:pPr>
    </w:p>
    <w:p>
      <w:pPr>
        <w:ind w:left="210" w:hanging="210"/>
        <w:spacing w:after="0"/>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October 2016, we recorded a goodwill impairment charge of $12.6 million associated with our U.S. vinyl extrusion business.</w:t>
      </w:r>
    </w:p>
    <w:p>
      <w:pPr>
        <w:spacing w:after="0" w:line="147" w:lineRule="exact"/>
        <w:rPr>
          <w:rFonts w:ascii="Arial" w:cs="Arial" w:eastAsia="Arial" w:hAnsi="Arial"/>
          <w:sz w:val="25"/>
          <w:szCs w:val="25"/>
          <w:color w:val="auto"/>
          <w:vertAlign w:val="superscript"/>
        </w:rPr>
      </w:pPr>
    </w:p>
    <w:p>
      <w:pPr>
        <w:ind w:left="210" w:hanging="210"/>
        <w:spacing w:after="0" w:line="216" w:lineRule="auto"/>
        <w:tabs>
          <w:tab w:leader="none" w:pos="21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 June 2015, we acquired HLP, a vinyl profile extruder with operations located in the U.K. The results of operations of HLP include revenue of $42.3 million and net income of $1.5 million for the period June 15, 2015 through October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50"/>
          </w:cols>
          <w:pgMar w:left="410" w:top="125" w:right="239" w:bottom="1440" w:gutter="0" w:footer="0" w:header="0"/>
        </w:sectPr>
      </w:pPr>
    </w:p>
    <w:bookmarkStart w:id="19" w:name="page20"/>
    <w:bookmarkEnd w:id="19"/>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xml:space="preserve"> discussed elsewhere within this Annual Report on Form 10-K. For a listing of potential risks and uncertainties which impact our business and industry,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Actual results could differ from our expectations due to several factors which include, but are not limited to: market price and demand for our products, economic and competitive conditions, capital expenditures, new technology, regulatory changes and other uncertainties. Unless otherwise required by law, we undertake no obligation to publicly update any forward-looking statements, even if new information becomes available or other events occur in the future.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manufacture components for original equipment manufacturers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fencing, water retention barriers, and conservatory roof components.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four operating segments primarily focused on the fenestration market in North America manufacturing vinyl profiles, IG spacers, screens &amp; other fenestration components;</w:t>
      </w:r>
    </w:p>
    <w:p>
      <w:pPr>
        <w:jc w:val="both"/>
        <w:ind w:firstLine="8"/>
        <w:spacing w:after="0" w:line="286" w:lineRule="auto"/>
        <w:tabs>
          <w:tab w:leader="none" w:pos="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consolidated financial statements. Corporate general and administrative expenses allocated during the years ended October 31, 2019, 2018 and 2017 were $18.3 million, $18.7 million and $17.0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Notable Items</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2017, we rationalized capacity and closed two U.S. vinyl plants and two cabinet door plants, relocating assets to improve overall operational efficiency. We have incurred $0.4 million, $1.5 million and $4.6 million of expense associated with these restructuring efforts during fiscal 2019, 2018 and 2017, respectively, and recognized $6.2 million of accelerated depreciation and amortization associated with related assets during fiscal 2017.</w:t>
      </w:r>
    </w:p>
    <w:p>
      <w:pPr>
        <w:spacing w:after="0" w:line="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December 22, 2017, President Trump signed into law the Tax Cuts and Jobs Act (the Act) that included sweeping tax reform which affected U.S. corporations, including a reduction of the statutory federal corporate tax rate from 35% to 21%. We made an initial assessment of the Act and recorded a discrete benefit of $6.5 million, which included a charge of $1.2 million for a one-time mandatory transition tax on deemed repatriation of previously tax-deferred and unremitted foreign earnings during the fiscal year ended October 31, 2018. We completed the accounting for the income tax effects of the Act and recorded a charge of $0.4 million for the re-measurement of the one-time mandatory transition tax during the year ended October 31, 2019. The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imposed additional tax law changes that became effective during fiscal 2019, which include new requirements for a global intangible low-taxed income provision (GILTI) and a deduction for foreign-derived intangible income (FDII), which resulted in a net charge of $1.2 million during the year ended October 31,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These sources generally provide information about activity levels in the U.S.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NAHB has forecasted calendar-year housing starts (excluding manufactured units) to increase slightly through 2021. Ducker indicated that window shipments in the R&amp;R market are expected to decline slightly during the calendar year ended 2019, increase 2% during 2020 and increase 3% during 2021. Derived from reports published by Ducker, the overall decline in window shipments for the trailing twelve months ended September 30, 2019 was 1.6%. During this period, R&amp;R activity and new construction decreased 0.9% and 2.5%, respectively.</w:t>
      </w:r>
    </w:p>
    <w:p>
      <w:pPr>
        <w:spacing w:after="0" w:line="10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U.K. vinyl business (commonly referred to as "HLP") is largely focused on the sale of vinyl house systems under the trade name “Liniar” to smaller window manufacturers in the U.K. HLP is one of the larger providers of vinyl extruded products in the U.K. in terms of volume shipped. Currently, the U.K. is experiencing a shortage in affordable housing, with rising demand due in part to a growing immigrant population. HLP’s current primary customers are smaller window fabricators, as opposed to the larger OEMs that comprise a large portion of the North American market. These manufacturers seek the quality and technology of the specific products identified by the Liniar trade name. In addition, HLP services non-fenestration markets including the manufacture of roofing for conservatories, vinyl decking and vinyl water retention barriers used for landscaping. We believe there are growth opportunities within these markets in the U.K. and potential synergies which may enable us to sell complementary products.</w:t>
      </w:r>
    </w:p>
    <w:p>
      <w:pPr>
        <w:spacing w:after="0" w:line="9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Woodcraft manufactures kitchen and bathroom cabinet doors and components, amongst other products, using a variety of woods from traditional hardwoods to engineered wood products. Currently, Woodcraft sells all of its products in the U.S., so domestic housing starts and R&amp;R activity constitute the primary drivers of this business as well. We also utilize industry publications to evaluate the wood markets and commodity trends. Although NAHB forecasts indicate expected continued growth in the U.S. housing market, much of this anticipated growth is in new construction for multi-family dwellings, or rental properties, which is not the primary market for Woodcraft’s products. In recent years, forecasts project increased growth in single family homes. The cabinet door market is stratified as follows: stock (low-cost, low-variations), semi-custom (more customized, just-in-time manufacturing, higher price point) and custom (precise customer specifications, just-in-time manufacturing, high-end price point). Woodcraft's primary market is semi-custom.</w:t>
      </w:r>
    </w:p>
    <w:p>
      <w:pPr>
        <w:spacing w:after="0" w:line="8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business is seasonal, particularly our fenestration business, as inclement weather during the winter months tends to slow down construction, particularly as related to “outside of the house” construction. To some extent, we believe our kitchen and bathroom cabinet door business lessens the impact of seasonality on our operating results, as the cabinet business is “inside of the house” and less susceptible to weather. However, significant weather events do disrupt the construction industry. The Southern U.S. was impacted by Hurricane Michael in October 2018 and Hurricanes Harvey and Irma in August and September of 2017. Although our operating plants were not directly impacted, several of our customers were impacted directly, as well as indirectly, as some skilled laborers relocated to the region for construction jobs. From a longer-term perspective, the rebuilding efforts from these storms spur additional growth in construction beyond the year in which they make landfall.</w:t>
      </w:r>
    </w:p>
    <w:p>
      <w:pPr>
        <w:spacing w:after="0" w:line="9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w:t>
      </w:r>
    </w:p>
    <w:p>
      <w:pPr>
        <w:spacing w:after="0" w:line="10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utilize several commodities in our business for which pricing can fluctuate, including polyvinyl resin (PVC), petroleum products, aluminum, titanium dioxide (TIO2), silicone and wood. For the majority of our customers and critical suppliers, we have price adjusters in place which effectively share the base pass-through price changes for these commodities with our customers commensurate with the market at large. Our long-term exposure to these price fluctuations is somewhat mitigated due to the contractual component of the adjuster program. However, these adjusters are not in place with all customers, and there is a level of exposure to such volatility due to the lag associated with the timing of price updates in accordance with our customer agreements.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July 2016, the U.K. voted to exit the European Union (commonly referred to as “Brexit”), which has impacted the valuation of the British Pound Sterling relative to other currencies used in our business, including our reporting currency, the United States Dollar. The Pound remains well below the pre-Brexit level, and some general market uncertainty remains in the U.K. Although we do not know the long-term effects of this change, there has been some impact on our results of operations to date (primarily foreign currency translation).</w:t>
      </w:r>
    </w:p>
    <w:p>
      <w:pPr>
        <w:spacing w:after="0" w:line="10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global economy remains uncertain due to currency devaluations, political unrest, terror threats,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fiscal years ended October 31, 2019 and 2018</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table sets forth our consolidated results of operations for the twelve-month periods ended October 31,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60" w:type="dxa"/>
            <w:vAlign w:val="bottom"/>
            <w:gridSpan w:val="8"/>
          </w:tcPr>
          <w:p>
            <w:pPr>
              <w:jc w:val="right"/>
              <w:spacing w:after="0"/>
              <w:rPr>
                <w:sz w:val="20"/>
                <w:szCs w:val="20"/>
                <w:color w:val="auto"/>
              </w:rPr>
            </w:pPr>
            <w:r>
              <w:rPr>
                <w:rFonts w:ascii="Arial" w:cs="Arial" w:eastAsia="Arial" w:hAnsi="Arial"/>
                <w:sz w:val="16"/>
                <w:szCs w:val="16"/>
                <w:b w:val="1"/>
                <w:bCs w:val="1"/>
                <w:color w:val="auto"/>
                <w:w w:val="93"/>
              </w:rPr>
              <w:t>For the Years Ended October 31,</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ind w:left="440"/>
              <w:spacing w:after="0"/>
              <w:rPr>
                <w:sz w:val="20"/>
                <w:szCs w:val="20"/>
                <w:color w:val="auto"/>
              </w:rPr>
            </w:pPr>
            <w:r>
              <w:rPr>
                <w:rFonts w:ascii="Arial" w:cs="Arial" w:eastAsia="Arial" w:hAnsi="Arial"/>
                <w:sz w:val="16"/>
                <w:szCs w:val="16"/>
                <w:b w:val="1"/>
                <w:bCs w:val="1"/>
                <w:color w:val="auto"/>
              </w:rPr>
              <w:t>2019 vs. 2018</w:t>
            </w:r>
          </w:p>
        </w:tc>
      </w:tr>
      <w:tr>
        <w:trPr>
          <w:trHeight w:val="33"/>
        </w:trPr>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2"/>
              </w:rPr>
              <w:t>Amounts</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 of Sales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88"/>
              </w:rPr>
              <w:t>Amounts</w:t>
            </w: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of Sales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8"/>
              </w:rPr>
              <w:t>$ Change</w:t>
            </w: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Variance %</w:t>
            </w:r>
          </w:p>
        </w:tc>
      </w:tr>
      <w:tr>
        <w:trPr>
          <w:trHeight w:val="181"/>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4"/>
          </w:tcPr>
          <w:p>
            <w:pPr>
              <w:ind w:left="320"/>
              <w:spacing w:after="0"/>
              <w:rPr>
                <w:sz w:val="20"/>
                <w:szCs w:val="20"/>
                <w:color w:val="auto"/>
              </w:rPr>
            </w:pPr>
            <w:r>
              <w:rPr>
                <w:rFonts w:ascii="Arial" w:cs="Arial" w:eastAsia="Arial" w:hAnsi="Arial"/>
                <w:sz w:val="13"/>
                <w:szCs w:val="13"/>
                <w:b w:val="1"/>
                <w:bCs w:val="1"/>
                <w:color w:val="auto"/>
              </w:rPr>
              <w:t>(Dollars in millions)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8"/>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893.8</w:t>
            </w: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889.8</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1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694.4</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697.0</w:t>
            </w:r>
          </w:p>
        </w:tc>
        <w:tc>
          <w:tcPr>
            <w:tcW w:w="240" w:type="dxa"/>
            <w:vAlign w:val="bottom"/>
          </w:tcPr>
          <w:p>
            <w:pPr>
              <w:spacing w:after="0"/>
              <w:rPr>
                <w:sz w:val="21"/>
                <w:szCs w:val="21"/>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88"/>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88"/>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4"/>
              </w:rPr>
              <w:t>73%</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Asset impairment charges</w:t>
            </w: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74.6</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2"/>
              </w:rPr>
              <w:t>(100)%</w:t>
            </w: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1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2"/>
              </w:rPr>
              <w:t>(174)%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1"/>
                <w:szCs w:val="21"/>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140" w:type="dxa"/>
            <w:vAlign w:val="bottom"/>
          </w:tcPr>
          <w:p>
            <w:pPr>
              <w:jc w:val="center"/>
              <w:ind w:left="32"/>
              <w:spacing w:after="0"/>
              <w:rPr>
                <w:sz w:val="20"/>
                <w:szCs w:val="20"/>
                <w:color w:val="auto"/>
              </w:rPr>
            </w:pPr>
            <w:r>
              <w:rPr>
                <w:rFonts w:ascii="Arial" w:cs="Arial" w:eastAsia="Arial" w:hAnsi="Arial"/>
                <w:sz w:val="18"/>
                <w:szCs w:val="18"/>
                <w:color w:val="auto"/>
                <w:w w:val="94"/>
              </w:rPr>
              <w:t>14%</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5"/>
              </w:rPr>
              <w:t>(92)%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140" w:type="dxa"/>
            <w:vAlign w:val="bottom"/>
          </w:tcPr>
          <w:p>
            <w:pPr>
              <w:jc w:val="center"/>
              <w:ind w:left="12"/>
              <w:spacing w:after="0"/>
              <w:rPr>
                <w:sz w:val="20"/>
                <w:szCs w:val="20"/>
                <w:color w:val="auto"/>
              </w:rPr>
            </w:pPr>
            <w:r>
              <w:rPr>
                <w:rFonts w:ascii="Arial" w:cs="Arial" w:eastAsia="Arial" w:hAnsi="Arial"/>
                <w:sz w:val="18"/>
                <w:szCs w:val="18"/>
                <w:color w:val="auto"/>
                <w:w w:val="93"/>
              </w:rPr>
              <w:t>(1,450)%</w:t>
            </w: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2"/>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14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(276)%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year-over-year results by reportable segment follow. Our comparison of the results for the fiscal years ended October 31, 2018 and 2017 by reportable segment for the prior year comparative periods can be found in the annual report on Form 10-K for the year ended October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w w:val="95"/>
              </w:rPr>
              <w:t>For the Years Ended October 31,</w:t>
            </w:r>
          </w:p>
        </w:tc>
        <w:tc>
          <w:tcPr>
            <w:tcW w:w="15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5"/>
              </w:rPr>
              <w:t>$ Change</w:t>
            </w: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Variance %</w:t>
            </w: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5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485.4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2"/>
              </w:rPr>
              <w:t>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386.2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372.0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94"/>
              </w:rPr>
              <w:t>(4)%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2"/>
              </w:rPr>
              <w:t>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88"/>
              </w:rPr>
              <w:t>71%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2"/>
              </w:rPr>
              <w:t>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c>
          <w:tcPr>
            <w:tcW w:w="1580" w:type="dxa"/>
            <w:vAlign w:val="bottom"/>
            <w:tcBorders>
              <w:bottom w:val="single" w:sz="8" w:color="CCEEFF"/>
            </w:tcBorders>
          </w:tcPr>
          <w:p>
            <w:pPr>
              <w:jc w:val="center"/>
              <w:ind w:left="133"/>
              <w:spacing w:after="0"/>
              <w:rPr>
                <w:sz w:val="20"/>
                <w:szCs w:val="20"/>
                <w:color w:val="auto"/>
              </w:rPr>
            </w:pPr>
            <w:r>
              <w:rPr>
                <w:rFonts w:ascii="Arial" w:cs="Arial" w:eastAsia="Arial" w:hAnsi="Arial"/>
                <w:sz w:val="18"/>
                <w:szCs w:val="18"/>
                <w:color w:val="auto"/>
                <w:w w:val="88"/>
              </w:rPr>
              <w:t>30%</w:t>
            </w: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$18.4 million, or 4%, for the twelve months ended October 31, 2019 compared to the same period in 2018. We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an increase of $10.0 million related to price, $7.2 million of revenue growth driven both by new volume and market growth, and an increase of $1.2 million related to surcharges.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$14.2 million, or 4%, for the twelve months ended October 31, 2019 compared to the same period in 2018.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increased due to the corresponding increase in volume coupled with inflationary cost increases. A portion of the raw material increases are recovered through surcharges.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Our selling, general and administrative expenses decreased by $3.8 million, or 7%, for the twelve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2019 compared to the same period in 2018. This decrease was due primarily to lower compensation expenses as a result of a reduction in headcount.</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Restructuring Charges</w:t>
      </w:r>
      <w:r>
        <w:rPr>
          <w:rFonts w:ascii="Arial" w:cs="Arial" w:eastAsia="Arial" w:hAnsi="Arial"/>
          <w:sz w:val="17"/>
          <w:szCs w:val="17"/>
          <w:color w:val="auto"/>
        </w:rPr>
        <w:t>. Restructuring charges of $0.4 million incurred during the twelve months ended October 31, 2019 primarily relate to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lease expense related to a vinyl extrusion plant which was closed in January 2017 in the U.S. that has not been sublet or otherwise exited as of October 31, 2019. Restructuring charges of $1.4 million incurred for the twelve months ended October 31, 2018 relate to two such plants in the prior year.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For the Years Ended October 31,</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Variance %</w:t>
            </w: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(Dollars in millions)</w:t>
            </w: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5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160.0</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5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2"/>
              </w:rPr>
              <w:t>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114.9</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1580" w:type="dxa"/>
            <w:vAlign w:val="bottom"/>
          </w:tcPr>
          <w:p>
            <w:pPr>
              <w:jc w:val="center"/>
              <w:ind w:left="134"/>
              <w:spacing w:after="0"/>
              <w:rPr>
                <w:sz w:val="20"/>
                <w:szCs w:val="20"/>
                <w:color w:val="auto"/>
              </w:rPr>
            </w:pPr>
            <w:r>
              <w:rPr>
                <w:rFonts w:ascii="Arial" w:cs="Arial" w:eastAsia="Arial" w:hAnsi="Arial"/>
                <w:sz w:val="18"/>
                <w:szCs w:val="18"/>
                <w:color w:val="auto"/>
                <w:w w:val="92"/>
              </w:rPr>
              <w:t>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5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4"/>
              </w:rPr>
              <w:t>(1)%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1580" w:type="dxa"/>
            <w:vAlign w:val="bottom"/>
          </w:tcPr>
          <w:p>
            <w:pPr>
              <w:jc w:val="center"/>
              <w:ind w:left="134"/>
              <w:spacing w:after="0"/>
              <w:rPr>
                <w:sz w:val="20"/>
                <w:szCs w:val="20"/>
                <w:color w:val="auto"/>
              </w:rPr>
            </w:pPr>
            <w:r>
              <w:rPr>
                <w:rFonts w:ascii="Arial" w:cs="Arial" w:eastAsia="Arial" w:hAnsi="Arial"/>
                <w:sz w:val="18"/>
                <w:szCs w:val="18"/>
                <w:color w:val="auto"/>
                <w:w w:val="92"/>
              </w:rPr>
              <w:t>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5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88"/>
              </w:rPr>
              <w:t>50%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9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$4.9 million, or 3%, when comparing the twelve months ended October 31, 2019 compared to the same period in 2018.</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reflects $7.4 million of volume increases and $6.2 million of base price increases, partially offset by $8.7 million of unfavorable foreign currency rate changes.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The cost of sales decreased $0.8 million for the twelve months ended October 31, 2019 compared to the same period in 2018.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is primarily related to the impact of foreign currency rate changes during the period.</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Our selling, general and administrative expense increased $0.2 million for the twelve months ended October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compared to the same period in 2018 due to increased marketing expenses, which were offset by foreign currency rate changes.</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$0.8 million for the twelve months ended October 31,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2018 due to foreign currency rate changes coupled with the run-off of depreciation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w w:val="95"/>
              </w:rPr>
              <w:t>For the Years Ended October 31,</w:t>
            </w:r>
          </w:p>
        </w:tc>
        <w:tc>
          <w:tcPr>
            <w:tcW w:w="158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8"/>
              </w:rPr>
              <w:t>$ Change</w:t>
            </w: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Variance %</w:t>
            </w:r>
          </w:p>
        </w:tc>
      </w:tr>
      <w:tr>
        <w:trPr>
          <w:trHeight w:val="181"/>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58"/>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249.8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4"/>
              </w:rPr>
              <w:t>(8)%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580" w:type="dxa"/>
            <w:vAlign w:val="bottom"/>
          </w:tcPr>
          <w:p>
            <w:pPr>
              <w:jc w:val="center"/>
              <w:ind w:left="133"/>
              <w:spacing w:after="0"/>
              <w:rPr>
                <w:sz w:val="20"/>
                <w:szCs w:val="20"/>
                <w:color w:val="auto"/>
              </w:rPr>
            </w:pPr>
            <w:r>
              <w:rPr>
                <w:rFonts w:ascii="Arial" w:cs="Arial" w:eastAsia="Arial" w:hAnsi="Arial"/>
                <w:sz w:val="18"/>
                <w:szCs w:val="18"/>
                <w:color w:val="auto"/>
                <w:w w:val="92"/>
              </w:rPr>
              <w:t>8%</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4"/>
              </w:rPr>
              <w:t>(4)%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1"/>
                <w:szCs w:val="21"/>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580" w:type="dxa"/>
            <w:vAlign w:val="bottom"/>
          </w:tcPr>
          <w:p>
            <w:pPr>
              <w:jc w:val="center"/>
              <w:ind w:left="113"/>
              <w:spacing w:after="0"/>
              <w:rPr>
                <w:sz w:val="20"/>
                <w:szCs w:val="20"/>
                <w:color w:val="auto"/>
              </w:rPr>
            </w:pPr>
            <w:r>
              <w:rPr>
                <w:rFonts w:ascii="Arial" w:cs="Arial" w:eastAsia="Arial" w:hAnsi="Arial"/>
                <w:sz w:val="18"/>
                <w:szCs w:val="18"/>
                <w:color w:val="auto"/>
                <w:w w:val="91"/>
              </w:rPr>
              <w:t>100%</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2"/>
              </w:rPr>
              <w:t>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34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74.6</w:t>
            </w:r>
          </w:p>
        </w:tc>
        <w:tc>
          <w:tcPr>
            <w:tcW w:w="1580" w:type="dxa"/>
            <w:vAlign w:val="bottom"/>
          </w:tcPr>
          <w:p>
            <w:pPr>
              <w:jc w:val="center"/>
              <w:ind w:left="113"/>
              <w:spacing w:after="0"/>
              <w:rPr>
                <w:sz w:val="20"/>
                <w:szCs w:val="20"/>
                <w:color w:val="auto"/>
              </w:rPr>
            </w:pPr>
            <w:r>
              <w:rPr>
                <w:rFonts w:ascii="Arial" w:cs="Arial" w:eastAsia="Arial" w:hAnsi="Arial"/>
                <w:sz w:val="18"/>
                <w:szCs w:val="18"/>
                <w:color w:val="auto"/>
                <w:w w:val="92"/>
              </w:rPr>
              <w:t>(100)%</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5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3"/>
              </w:rPr>
              <w:t>(2,419)%</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Operating loss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$20.2 million for the twelve months ended October 31, 2019 compared to the same period in 2018. On a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 we realized a decrease of $23.7 million as a result of lower volumes primarily related to the industry shift from semi-custom to stock cabinets, which was partially offset by $3.5 million of price increases and raw material surcharges.</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The cost of sales decreased $16.9 million for the twelve months ended October 31, 2019 compared to the same period in 2018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market volume declines.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Our selling, general and administrative expense increased $0.8 million for the twelve months ended October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same period in 2018, largely driven by a loss on the sale of fixed assets.</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of $0.1 million for the year ended October 31, 2018 represent the remaining costs from the Kansas plant</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effected in September 2017 which were incurred during the first quarter of the year ended October 31, 2018.</w:t>
      </w:r>
    </w:p>
    <w:p>
      <w:pPr>
        <w:spacing w:after="0" w:line="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decreased $1.2 million for the twelve months ended October 31, 2019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same period in 2018, reflecting the run-off of depreciation expense related to existing assets and disposals during the period.</w:t>
      </w:r>
    </w:p>
    <w:p>
      <w:pPr>
        <w:spacing w:after="0" w:line="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Asset Impairment Charge. </w:t>
      </w:r>
      <w:r>
        <w:rPr>
          <w:rFonts w:ascii="Arial" w:cs="Arial" w:eastAsia="Arial" w:hAnsi="Arial"/>
          <w:sz w:val="18"/>
          <w:szCs w:val="18"/>
          <w:color w:val="auto"/>
        </w:rPr>
        <w:t>Asset impairment charges of $74.6 million relate to goodwill impairment charges. For further information, see Note 5,</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and Intangible Assets" included elsewhere in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right"/>
              <w:ind w:right="250"/>
              <w:spacing w:after="0"/>
              <w:rPr>
                <w:sz w:val="20"/>
                <w:szCs w:val="20"/>
                <w:color w:val="auto"/>
              </w:rPr>
            </w:pPr>
            <w:r>
              <w:rPr>
                <w:rFonts w:ascii="Arial" w:cs="Arial" w:eastAsia="Arial" w:hAnsi="Arial"/>
                <w:sz w:val="16"/>
                <w:szCs w:val="16"/>
                <w:b w:val="1"/>
                <w:bCs w:val="1"/>
                <w:color w:val="auto"/>
              </w:rPr>
              <w:t>For the Years Ended October 31,</w:t>
            </w:r>
          </w:p>
        </w:tc>
        <w:tc>
          <w:tcPr>
            <w:tcW w:w="158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2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Variance %</w:t>
            </w:r>
          </w:p>
        </w:tc>
      </w:tr>
      <w:tr>
        <w:trPr>
          <w:trHeight w:val="181"/>
        </w:trPr>
        <w:tc>
          <w:tcPr>
            <w:tcW w:w="5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w w:val="92"/>
              </w:rPr>
              <w:t>(Dollars in millions)</w:t>
            </w: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58"/>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5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88"/>
              </w:rPr>
              <w:t>17%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580" w:type="dxa"/>
            <w:vAlign w:val="bottom"/>
          </w:tcPr>
          <w:p>
            <w:pPr>
              <w:jc w:val="center"/>
              <w:ind w:left="134"/>
              <w:spacing w:after="0"/>
              <w:rPr>
                <w:sz w:val="20"/>
                <w:szCs w:val="20"/>
                <w:color w:val="auto"/>
              </w:rPr>
            </w:pPr>
            <w:r>
              <w:rPr>
                <w:rFonts w:ascii="Arial" w:cs="Arial" w:eastAsia="Arial" w:hAnsi="Arial"/>
                <w:sz w:val="18"/>
                <w:szCs w:val="18"/>
                <w:color w:val="auto"/>
                <w:w w:val="91"/>
              </w:rPr>
              <w:t>(23)%</w:t>
            </w:r>
          </w:p>
        </w:tc>
      </w:tr>
      <w:tr>
        <w:trPr>
          <w:trHeight w:val="27"/>
        </w:trPr>
        <w:tc>
          <w:tcPr>
            <w:tcW w:w="5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5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4"/>
              </w:rPr>
              <w:t>(2)%</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left="134"/>
              <w:spacing w:after="0"/>
              <w:rPr>
                <w:sz w:val="20"/>
                <w:szCs w:val="20"/>
                <w:color w:val="auto"/>
              </w:rPr>
            </w:pPr>
            <w:r>
              <w:rPr>
                <w:rFonts w:ascii="Arial" w:cs="Arial" w:eastAsia="Arial" w:hAnsi="Arial"/>
                <w:sz w:val="18"/>
                <w:szCs w:val="18"/>
                <w:color w:val="auto"/>
                <w:w w:val="93"/>
              </w:rPr>
              <w:t>—%</w:t>
            </w:r>
          </w:p>
        </w:tc>
      </w:tr>
      <w:tr>
        <w:trPr>
          <w:trHeight w:val="27"/>
        </w:trPr>
        <w:tc>
          <w:tcPr>
            <w:tcW w:w="5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58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4"/>
              </w:rPr>
              <w:t>(2)%</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twelve months ended October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for Corporate &amp; Other consists of the elimination of inter-segment sales, profit in inventory, and other costs.</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Our selling, general and administrative expenses increased $0.2 million, for the twelve months ended October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the same period in 2018. This increase is attributable to $2.0 million of higher compensation expense primarily related to the valuations of our stock based compensation awards and higher severance expense of $1.9 million related to executive severance and headcount reduction, which were offset by $3.6 million of lower medical expenses due to reimbursement of certain medical expenses during the twelve months ended October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$1.5 million for the twelve months ended October 31, 2019 compared to the same period in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expense was primarily driven by the absence of $1.1 million of deferred financing fees which were incurred in 2018 related to amending the 2016 Credit Agreement. Excluding these fees, interest expense decreased slightly due to lower debt balances during 2019, partially offset by higher interest rates. The weighted average interest rate for borrowings outstanding for the twelve months ended October 31, 2019 was 4.07% compared with 3.76% for the twelve months ended October 31, 2018.</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reduction in other, net of $1.1 million for the twelve months ended October 31, 2019 compared to the same period in 2018 relates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a decrease in net pension service benefits.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$10.8 million on a pre-tax loss of $36.0 million for the twelve months ended October 31, 2019,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of 30.0%, and income tax benefit of $0.8 million on pre-tax income of $25.8 million for the twelve months ended October 31, 2018, an effective benefit rate of 3.1%. The effective rate for the twelve months ended October 31, 2019 was primarily impacted by the fact that a majority of the $74.6 million asset impairment charge in the NA Cabinet Components segment did not generate a tax benefit, and a net charge of $1.2 million related to GILTI and FDII. The effective rate for the twelve months ended October 31, 2018 reflects the impact of the Act, which reduced our federal tax rate from 35.0% to 21.0% as of January 1, 2018, and resulted in a discrete tax benefit.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 As of October 31, 2019, we had $30.9 million of cash and equivalents, $142.5 million outstanding under our credit facilities, $4.8 million of outstanding letters of credit and $15.9 million outstanding under capital leases. We had $177.7 million available for use under a revolving credit facility at October 31, 2019.</w:t>
      </w:r>
    </w:p>
    <w:p>
      <w:pPr>
        <w:spacing w:after="0" w:line="8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July 29, 2016, we entered into a $450.0 million credit agreement comprising a $150.0 million Term Loan A and a $300.0 million revolving credit facility (collectively, the “ 2016 Credit Agreement”), under which we borrowed $150.0 million and $150.0 million, respectively. The proceeds from the 2016 Credit Agreement, along with additional funding of $16.4 million of cash on hand, were used to repay outstanding borrowings under our prior credit facilities of $309.2 million, to pay a 1% prepayment call premium, to settle outstanding interest accrued, and to pay loan fees which totaled $2.8 million. In addition, we expensed $8.1 million to write-off unamortized deferred financing fees and $5.5 million of unamortized original issuer’s discount associated with our prior credit facilities. The 2016 Credit Agreement was to mature in 2021 (5-year term) and required interest payments calculated, at our election and depending upon our Consolidated Leverage Ratio, at either a Base Rate plus an applicable margin (0.50% to 1.25%) or the LIBOR Rate plus an applicable margin (1.50% to 2.25%). We included deferred financing fees of $2.8 million as a contra-liability account, and were amortizing this balance straight-line over the term of the facility.</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18, 2018, we amended and restated the 2016 Credit Agreement by entering into a $325.0 million revolving credit facility (the “2018 Credit Facility”), under which we borrowed $205.0 million. The proceeds from the 2018 Credit Facility, along with additional funding of $10.0 million of cash on hand, were used to repay outstanding borrowings under the 2016 Credit Agreement of $213.5 million, to settle outstanding interest accrued under the prior facility, and to pay loan fees which totaled $1.0 million. In addition, we expensed $1.1 million to write-off unamortized deferred financing fees associated with the 2016 Credit Agreement. The 2018 Credit Facility matures in 2023 (5-year term) and requires interest payments calculated, at our election and depending upon our Consolidated Leverage Ratio, at either a Base Rate plus an applicable margin (0.25% to 1.00%) or the LIBOR Rate plus an applicable margin (1.25% to 2.00%). We included deferred financing fees of $1.5 million as a contra-liability account, and are amortizing this balance straight-line over the term of the facility.</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weighted average interest rate of borrowings outstanding for the twelve-month periods ended October 31, 2019 and 2018 was 4.07% and 3.76%, respectively. We were in compliance with our debt covenants as of October 31, 2019. For additional details of the Credit Agreement, see "Item 1A. Risk Factors" included elsewhere within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years ended October 31,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81"/>
        </w:trPr>
        <w:tc>
          <w:tcPr>
            <w:tcW w:w="6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center"/>
              <w:ind w:right="299"/>
              <w:spacing w:after="0"/>
              <w:rPr>
                <w:sz w:val="20"/>
                <w:szCs w:val="20"/>
                <w:color w:val="auto"/>
              </w:rPr>
            </w:pPr>
            <w:r>
              <w:rPr>
                <w:rFonts w:ascii="Arial" w:cs="Arial" w:eastAsia="Arial" w:hAnsi="Arial"/>
                <w:sz w:val="13"/>
                <w:szCs w:val="13"/>
                <w:b w:val="1"/>
                <w:bCs w:val="1"/>
                <w:color w:val="auto"/>
                <w:w w:val="90"/>
              </w:rPr>
              <w:t>(In millions)</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8"/>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96.4</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104.6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flows used for investing activities</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97"/>
              </w:rPr>
              <w:t>(23.6)</w:t>
            </w: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9"/>
              <w:spacing w:after="0"/>
              <w:rPr>
                <w:sz w:val="20"/>
                <w:szCs w:val="20"/>
                <w:color w:val="auto"/>
              </w:rPr>
            </w:pPr>
            <w:r>
              <w:rPr>
                <w:rFonts w:ascii="Arial" w:cs="Arial" w:eastAsia="Arial" w:hAnsi="Arial"/>
                <w:sz w:val="18"/>
                <w:szCs w:val="18"/>
                <w:color w:val="auto"/>
              </w:rPr>
              <w:t>(26.1)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6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used for financing activities</w:t>
            </w: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(71.3)</w:t>
            </w: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(65.8)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6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Operating cash flow for the year ended October 31, 2019 declined by approximately $8.2 million compared to the year ended October 31, 2018. Unfavorable impacts to cash receipts as a result of a reduction in net income were largely offset by favorable working capital changes, including a lower accrued incentive, a favorable change in accounts payable and improved inventory management. Cash provided by operating activities increased $24.8 million for the year ended October 31, 2018 compared to the year ended October 31, 2017. Cash receipts were impacted favorably by higher net income along with a reduction of inventory in 2018 versus a build in 2017 and favorable changes in accounts payable and accrued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Cash used for investing activities for the year ended October 31, 2019 decreased $2.5 million compared to the year ended October 31, 2018 due to a $1.6 million decline in our investment in capital expenditures year-over-year, as well as $0.9 million of additional proceeds from the sale of capital assets. Cash used for investing activities decreased $6.5 million in 2018 compared to 2017. Our investment in capital expenditures declined $8.1 million during 2018, which partially offset a decrease of $1.5 million in proceeds from the sale of capital assets during the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At October 31, 2019, we had firm purchase commitments of approximately $6.9 million for the purchase or construction of capital assets. We plan to fund these capital expenditures through cash from operations or borrowings under our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2019, cash used for financing activities was $71.3 million and related primarily to net debt repayments of $54.0 million, payment of dividends of $10.6 million, and share repurchases of $9.6 million. In 2018, our cash used for financing activities was $65.8 million and related primarily to share repurchases of $32.0 million, net debt repayments of $29.5 million, payment of dividends of $7.0 million, and other spending of $2.0 million, partially offset by funds received from the issuance of common stock in settlement of stock option exercises of $4.7 million. In 2017, cash used for financing activities was $55.1 million and related primarily to repayment of borrowings under our credit facility, an acquisition earn-out payment of $8.5 million, and payment of dividends of $5.5 million, partially offset by funds received from the issuance of common stock in settlement of stock option exercises of $8.0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strategy for deploying cash is to invest in organic growth opportunities, develop our infrastructure, and make strategic acquisitions. Other uses of cash include paying cash dividends to our shareholders and repurchasing our own stock. We have historically invested cash and cash equivalents in commercial paper with terms of three months or less. We did not have any investments during the years ended October 31, 2019 and 2018. We maintain cash balances in foreign countries which totaled $9.8 million and $15.7 million as of October 31, 2019 and 2018. During the years ended October 31, 2019 and 2018, we repatriated $24.2 million and $2.8 million, respectively, of foreign earnings from our international divisions.</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believe that we have sufficient funds and adequate financial resources available to meet our anticipated liquidity needs. We expect to use our cash flow from operations to fund operations for the next twelve months and the foreseeable future. We believe these funds should be adequate to provide for our working capital requirements, capital expenditures, and dividends, while continuing to meet our debt service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maintain our $325.0 million 2018 Credit Facility, which contains a revolving credit facility, with Wells Fargo Bank, National Association, as Agent, Swingline Lender and Issuing Lender, and Bank of America, N.A. serving as Syndication Agent. The 2018 Credit Facility has a five-year term, maturing on October 18, 2023, and requires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2018 Credit Facility. The applicable margin and commitment fees range from 0.45% to 2.30%, depending upon the type of loan and consolidated leverage ratio.</w:t>
      </w:r>
    </w:p>
    <w:p>
      <w:pPr>
        <w:spacing w:after="0" w:line="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2018 Credit Facility provides for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2018 Credit Facility.</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to conduct other transactions as further defined in the 2018 Credit Facility. Some of these limitations, however, do not take effect so long as total leverage is less than or equal to 2.75 to 1.00 and available liquidity exceeds $25 million. Substantially all of our domestic assets, with the exception of real property, are pledged as collateral for the 2018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October 31, 2019 and 2018, we purchased 583,398 shares and 1,900,000 shares, respectively, at a cost of $9.6 million and $32.0 million, respectively, under this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known contractual obligations and commitments as of October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4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2021-2022</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2023-2024</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(In thousands)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76"/>
        </w:trPr>
        <w:tc>
          <w:tcPr>
            <w:tcW w:w="424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Long-term debt, including interest</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164,751</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5,560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11,121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148,070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15,865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1,691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11,388</w:t>
            </w:r>
          </w:p>
        </w:tc>
      </w:tr>
      <w:tr>
        <w:trPr>
          <w:trHeight w:val="27"/>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47,539</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9,121</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12,993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10,205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15,220</w:t>
            </w: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Unconditional purchase obligations</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18,683</w:t>
            </w:r>
          </w:p>
        </w:tc>
        <w:tc>
          <w:tcPr>
            <w:tcW w:w="2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18,683</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42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246,838</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34,414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25,805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160,011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26,608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ind w:left="380" w:hanging="210"/>
        <w:spacing w:after="0" w:line="236" w:lineRule="auto"/>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Interest on our long-term debt was computed using rates in effect at October 31, 2019.</w:t>
      </w:r>
    </w:p>
    <w:p>
      <w:pPr>
        <w:spacing w:after="0" w:line="70" w:lineRule="exact"/>
        <w:rPr>
          <w:rFonts w:ascii="Arial" w:cs="Arial" w:eastAsia="Arial" w:hAnsi="Arial"/>
          <w:sz w:val="25"/>
          <w:szCs w:val="25"/>
          <w:color w:val="auto"/>
          <w:vertAlign w:val="superscript"/>
        </w:rPr>
      </w:pPr>
    </w:p>
    <w:p>
      <w:pPr>
        <w:ind w:left="380" w:hanging="210"/>
        <w:spacing w:after="0" w:line="186" w:lineRule="auto"/>
        <w:tabs>
          <w:tab w:leader="none" w:pos="38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Operating leases include facilities, light vehicles, forklifts, office equipment and other operating equipment.</w:t>
      </w:r>
    </w:p>
    <w:p>
      <w:pPr>
        <w:spacing w:after="0" w:line="69" w:lineRule="exact"/>
        <w:rPr>
          <w:rFonts w:ascii="Arial" w:cs="Arial" w:eastAsia="Arial" w:hAnsi="Arial"/>
          <w:sz w:val="24"/>
          <w:szCs w:val="24"/>
          <w:color w:val="auto"/>
          <w:vertAlign w:val="superscript"/>
        </w:rPr>
      </w:pPr>
    </w:p>
    <w:p>
      <w:pPr>
        <w:ind w:left="380" w:hanging="210"/>
        <w:spacing w:after="0" w:line="208" w:lineRule="auto"/>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unconditional purchase obligations consist of commitments to buy miscellaneous parts, inventory, and expenditures related to capital projects in progress.</w:t>
      </w:r>
    </w:p>
    <w:p>
      <w:pPr>
        <w:spacing w:after="0" w:line="55" w:lineRule="exact"/>
        <w:rPr>
          <w:rFonts w:ascii="Arial" w:cs="Arial" w:eastAsia="Arial" w:hAnsi="Arial"/>
          <w:sz w:val="25"/>
          <w:szCs w:val="25"/>
          <w:color w:val="auto"/>
          <w:vertAlign w:val="superscript"/>
        </w:rPr>
      </w:pPr>
    </w:p>
    <w:p>
      <w:pPr>
        <w:ind w:left="380" w:hanging="210"/>
        <w:spacing w:after="0" w:line="216" w:lineRule="auto"/>
        <w:tabs>
          <w:tab w:leader="none" w:pos="3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This table excludes tax reserves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we are unable to reasonably estimate the timing of future cash flows related to these reserves.</w:t>
      </w:r>
    </w:p>
    <w:p>
      <w:pPr>
        <w:spacing w:after="0" w:line="1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fiscal 2020, we expect to contribute approximately $3.7 million to our pension plan to maintain our 100% funding threshold and meet our minimum contribution requirements. Pension contributions beyond 2020 cannot be determined since the amount of any contribution is heavily dependent on the future economic environment and investment returns on pension plan assets. Obligations are based on current and projected obligations of the plans, performance of the plan assets, if applicable, and the timing and amount of funding contributions. At October 31, 2019, we have recorded a long-term liability for deferred pension and postretirement benefits totaling $13.3 million. We believe the effect of the plans on liquidity is not significant to our overall financial condition.</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supplemental benefit plan and deferred compensation plan liabilities fluctuate based on changes in the market value of certain equity securities, including our common stock. As of October 31, 2019, our liability under the supplemental benefit plan and the deferred compensation plan was approximately $4.2 million and $3.8 million,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5"/>
          </w:tcPr>
          <w:p>
            <w:pPr>
              <w:jc w:val="center"/>
              <w:ind w:right="279"/>
              <w:spacing w:after="0"/>
              <w:rPr>
                <w:sz w:val="20"/>
                <w:szCs w:val="20"/>
                <w:color w:val="auto"/>
              </w:rPr>
            </w:pPr>
            <w:r>
              <w:rPr>
                <w:rFonts w:ascii="Arial" w:cs="Arial" w:eastAsia="Arial" w:hAnsi="Arial"/>
                <w:sz w:val="14"/>
                <w:szCs w:val="14"/>
                <w:b w:val="1"/>
                <w:bCs w:val="1"/>
                <w:color w:val="auto"/>
                <w:w w:val="95"/>
              </w:rPr>
              <w:t>Amount of Commitment Expiration per Period</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4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2"/>
              </w:rPr>
              <w:t>2021-2022</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2023-2024</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Other Commercial Commitments: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165"/>
              <w:spacing w:after="0"/>
              <w:rPr>
                <w:sz w:val="20"/>
                <w:szCs w:val="20"/>
                <w:color w:val="auto"/>
              </w:rPr>
            </w:pPr>
            <w:r>
              <w:rPr>
                <w:rFonts w:ascii="Arial" w:cs="Arial" w:eastAsia="Arial" w:hAnsi="Arial"/>
                <w:sz w:val="13"/>
                <w:szCs w:val="13"/>
                <w:b w:val="1"/>
                <w:bCs w:val="1"/>
                <w:color w:val="auto"/>
                <w:w w:val="87"/>
              </w:rPr>
              <w:t>(In thousands)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4,800</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4,800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5"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have experienced the impact of inflation on our cost of raw materials, labor, freight and overhead. While we utilize contractual price indexing along with periodic base price increases to minimize the effect of inflation on our results, we have not been able to fully recover all of the inflationary cost increases. We believe inflation has not had a significant effect on our earnings or financial position over the previous three fiscal years. We cannot provide assurance, however, that our results of operations and financial position will not be materially impacted by inflation in the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On November 1, 2018, we adopted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using the modified retrospective method and applying ASC Topic 606 to all revenue contracts with customers. Results for reporting periods beginning on or after November 1, 2018 are presented under ASC Topic 606. In accordance with the modified retrospective approach, prior period amounts were not adjusted and are reported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 a result of adoption, there was not a material impact on our consolidated financial statements. We expect the impact of the adoption of ASC Topic 606 to continue to be immaterial to our net income on an ongoing basis.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recognize revenue that reflects the consideration we expect to receive for product sales when the promised items are transferred to customers. Revenue for product sales is recognized when control of the promised products is transferred to our customers, and we expect to be entitled to consideration in exchange for transferring those products. We account for a contract when a customer provides us with a firm purchase order that identifies the products to be provided, the payment terms for those services, and when collectability of the consideration due is probable.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elected to account for shipping and handling services as fulfillment services in accordance with ASC Topic 606 guidance; accordingly, freight revenue will be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record trade accounts receivable at billed amounts, less an allowance for doubtful accounts. This allowance is established to estimate the risk of loss associated with our trade receivables which may arise due to the inability of our customers to pay or due to changes in circumstances. The allowance is maintained at a level that we consider appropriate based on factors that affect collectability, including: (a) historical trends of write-offs, recoveries and credit losses; (b) the credit quality of our customers; and (c) projected economic and market conditions. Different assumptions or changes in economic circumstances could result in changes to the allowance. Our historical bad debt expense has approximated 0.3% of sales for the years ended October 31, 2019, 2018 and 2017. If bad debt expense increased by 1% of net sales, the impact on operating results would have been an increase in net loss of $6.8 million for the year ended October 31, 2019, and a decrease in net income of $9.2 million and $6.4 million for the years ended October 31, 2018 and 2017,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 Contingencies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apply the acquisition method of accounting for business combinations in accordance with U.S. GAAP, which requires us to make use of estimates and judgments to allocate the purchase price paid for acquisitions to the fair value of the net assets and liabilities acquired. We use established valuation techniques and engage reputable valuation specialists to assist us with these valuations. However, there is a risk that we may not identify all pre-acquisition contingencies or that our estimates may not reflect the actual results when realized. We utilize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 If our purchase accounting estimates are not correct, or if we do not recognize contingent assets or liabilities accurately, we may incur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 periods could result in an impairment charge in the period of the change. No impairment charges were incurred with regard to our property, plant and equipment for the years ended October 31, 2019, 2018 and 2017.</w:t>
      </w:r>
    </w:p>
    <w:p>
      <w:pPr>
        <w:spacing w:after="0" w:line="11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During October 2016 and continuing throughout 2017, we determined that a triggering event occurred which necessitated a review of our long-term assets as prescribed above (expected reduction in volume for our U.S. vinyl business and results below our forecasts for Woodcraft). Based on an undiscounted cash flow analysis, we determined that our property, plant and equipment and defined-lived intangible assets were not impaired. However, with regard to our U.S. vinyl business, we recorded a change in accounting estimate associated with shortening the remaining useful lives of certain property, plant and equipment to be retired as part of the announced closures of several plants. We recognized incremental depreciation expense of $4.3 million in 2017 as a result of the change in estimates. In addition, we shortened the life of several defined-lived intangible assets, which resulted in the recognition of incremental amortization expense of $1.9 million for the year ended October 31, 2017. There have been no impairments or related expenses of property, plant and equipment and defined-lived intangibles during the year ended October 31, 2019 and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utilizes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1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second quarter of 2019, our reporting unit included in our NA Cabinet Components segment experienced financial performance for the year to date period ended March 31, 2019 that was below our budget. As a result, we developed a new long-range forecast for this reporting unit that was below its previous long-range forecast as a result of an industry-wide shift from semi-custom cabinets to stock cabinets. We determined that the combination of i) actual financial results below planned performance, ii) a downward revision of the long-range forecast, and iii) the historical narrow margin of fair value over carrying value in previous annual and interim goodwill assessments represented a triggering event that would more likely than not indicate that the carrying value of this reporting unit was greater than its fair value. Therefore, we performed a quantitative impairment test of the goodwill balance at March 31, 2019. The quantitative impairment test was conducted using multiple valuation techniques, including a discounted cash flow analysis, which utilizes Level 3 fair value inputs, and resulted in an asset impairment charge of $30.0 million during the second quarter of 2019.</w:t>
      </w:r>
    </w:p>
    <w:p>
      <w:pPr>
        <w:spacing w:after="0" w:line="1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At our annual testing date, August 31, 2019,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the two reporting units in the NA Fenestration segment and the two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segment and the EU Fenestration segment. Also, at our annual testing date, we performed a quantitative assessment of the reporting unit in our NA Cabinet Components segment primarily due to the recent impairment of goodwill during the second quarter of 2019 and the history of a narrow margin of fair value above carrying value in quantitative assessments performed in prior years. We determined that the fair value of this reporting unit exceeded its carrying value by approximately 5%. At that date, we concluded that no impairment was necessary.</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After the annual assessment date and prior to our fiscal year end of October 31, 2019, the reporting unit in our NA Cabinet Components segment was notified about a change in strategy at one of our large customers that may result in lower sales volumes in the future. In addition, we continued to experience lower-than-expected volumes as a result of the ongoing shift in demand from semi-custom cabinets to stock cabinets. Based on this information, we updated our long-range forecast for this reporting unit to reflect the expected volume declines. This revised long-range forecast was utilized to perform another quantitative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test of this reporting unit as of October 31, 2019, which resulted in an asset impairment charge of $44.6 million during the fourth quarter of 2019. As a result of the quantitative assessments performed in the second and fourth quarters of 2019, we recorded impairment charges totaling $74.6 million during the year ended October 31, 2019, reducing the goodwill balance applicable to the reporting unit included in our NA Cabinet Components operating segment from $113.7 million to $39.1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account for restructuring costs in accordance with U.S. GAAP, whereby we accrue for one-time severance benefits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lease in the current period until sublet. For other costs directly related to the restructuring effort, such as equipment moving costs, we expense in the period incurred.</w:t>
      </w:r>
    </w:p>
    <w:p>
      <w:pPr>
        <w:spacing w:after="0" w:line="1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2017, we incurred costs related to plant closures which were announced in 2016, including equipment moving costs, additional employee termination and severance costs, retirements and inventory adjustments, operating lease costs, accelerated amortization and depreciation costs, and equipment lease termination costs. In addition, we incurred costs related to the closure of a kitchen and bathroom cabinet door plant in Lansing, Kansas. Restructuring costs totaled $4.6 million for the year ended October 31, 2017. During the year ended October 31, 2018, we negotiated the exit from one of the vinyl extrusion plants, and the lease for the plant in Lansing, Kansas expired. During the years ended October 31, 2019 and 2018, we incurred $0.4 million and $1.5 million of restructuring costs related to these leases, and expect to continue to incur costs related to the remaining vinyl plant during fiscal 2020 until such time we are able to sublet or otherwise negotiate an exit from the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operate in various jurisdictions and therefore our income tax expense relates to income taxes in the U.S., U.K., Canada, and Germany, as well as local and state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Annually, we evaluate our tax positions to determine if there have been any changes in uncertain tax positions or if there has been a lapse in the statute of limitations with regard to such positions. Our liability for uncertain tax positions at October 31, 2019 and 2018 totaled $0.6 million and related to certain state tax items regarding the interpretation of tax laws and regulations.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believe we will have sufficient taxable income in the future to fully utilize our unreserved deferred tax assets recorded as of October 31, 2019. There is a risk that our estimates related to the future use of loss carry forwards and our ability to realize our deferred tax assets may not come to fruition, and that the results could materially impact our financial position and results of operations. We have recorded the benefit associated with the “patent box” deduction in the U.K. with regard to our operations at HLP. We believe that it is more likely than not that our deduction with regard to this position would be sustained upon examination. In addition, we recorded the effect of a statutory change in the deferred tax rate from 19% to 17% in the U.K. in 2017 results, which provided a discrete tax benefit of $1.0 million during the period. Our deferred tax assets at October 31, 2019 and 2018 totaled $21.0 million and $19.8 million, respectively, against which we had recorded a valuation allowance of $1.6 million and $1.3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manage our costs of workers’ compensation, group medical, property, casualty and other liability exposures through a combination of self-insurance retentions and insurance coverage with third-party carriers. Liabilities associated with our portion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this exposure are not discounted. We estimate our exposure by considering various factors which may include: (1) historical claims experience, (2) severity factors, (3) estimated claims incurred but not reported and (4) loss development factors, which are used to estimate how claims will develop over time until settled or closed. While we consider a number of factors in preparing our estimate of risk exposure, we must use our judgment to determine the amounts to accrue in our financial statements. Actual claims can differ significantly from estimated liabilities if future claims experience differs from historical experience, and if we determine that our assumptions used for analysis or our development factors are flawed. We do not recognize insurance recoveries until any contingencies relating to the claim have been resolved.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12"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record inventory at the lower of cost or market value. Inventories are valued using the first-in first-out (FIFO) method. In the second quarter of 2019, we changed the method of inventory costing for certain inventory in two plants included in our North American Fenestration reportable business segment to the FIFO method from the last-in first-out (LIFO) method. We utilize the FIFO method to determine costs at all of our other operating locations. We believe that the FIFO method is preferable as it provides uniformity of inventory valuation across our global operations, aligns with a majority of our peers which use FIFO as their only inventory valuation method, and provides better matching of revenues and expenses. The impact of this change in accounting principle on the financial statements for each period presented is further explained in Note 3, "Inventories", contained elsewhere herein this Annual Report on Form 10-K.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2019, 2018 and 2017, our inventory reserves are approximately 5%, 6%, and 5% of gross inventory, respectively. Assuming an increase in obsolescence equal to 1% of gross inventory, net loss would have increased by $0.5 million for the year ended October 31, 2019, and net income would have been reduced by $1.0 million and $0.7 million for the years ended October 31, 2018 and 2017,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sponsor a defined benefit pension plan and an unfunded postretirement plan that provides health care and life insurance benefits for a limited pool of eligible retirees and dependents. The measurement of liabilities related to these plans is based on our assumptions related to future events, including expected return on plan assets, rate of compensation increases, and healthcare cost trend rates. The discount rate reflects the rate at which benefits could be effectively settled on the measurement date. We determine our discount rate using a RATE: Link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2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of October 31, 2019, our projected benefit obligation (PBO) and accumulated benefit obligation (ABO) exceeded the fair value of the plan assets by $13.1 million and $12.1 million, respectively. As a comparison, our PBO and ABO exceeded the fair value of plan assets by $3.9 million and $3.3 million, respectively, as of October 31, 2018. During fiscal 2019, we contributed $0.7 million to the pension plan to meet minimum contribution requirements. We expect to continue to fund at this level for fiscal 2020. Expected contributions are dependent on many variables, including the variability of the market value of the assets as compared to the obligation and other market or regulatory conditions. In addition, we take into consideration our business investment opportunities and our cash requirements. Accordingly, actual funding may differ greatly from current estimates. As of October 31, 2019, a 1% decrease in the discount rate would result in an increase in the PBO of $5.7 million.</w:t>
      </w:r>
    </w:p>
    <w:p>
      <w:pPr>
        <w:spacing w:after="0" w:line="1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Under U.S. GAAP, we are not required to immediately recognize the effects of a deviation between actual and assumed experience under our pension plan, or to revise our estimate as a result. This approach allows the favorable and unfavorable effects that fall within an acceptable range to be netted and disclosed as an unrecognized gain or loss. As of October 31, 2019 and 2018, a net actuarial loss of $6.7 million and $3.0 million, respectively, was included in our accumulated other comprehensive (loss) income. There were no net prior service costs or transition obligations for the years ended October 31, 2019 and 2018. The effect on fiscal years after 2019 will depend on the actual experience of the plans.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Mortality assumptions used to determine the obligations for our pension plans are based on the RP-2006 base mortality table with MP-2018 mortality improvement scale.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have issued stock-based compensation in the form of stock options to directors, employees and officers, and non-vested restricted stock awards to certain key employees and officers. We apply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our consolidated balance sheets at October 31, 2019 and 2018, included elsewhere within this Annual Report on Form 10-K.</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we have granted performance share units which settle in cash and shares upon vesting. The awards granted during the years ended October 31, 2018 and 2017 have vesting criteria based on a market condition (relative total shareholder return) and an internal performance condition (earnings per share growth). The award granted during the year ended October 31, 2019 utilizes return on net assets as the vesting condition and settles in cash. We utilize a Monte Carlo simulation model to value the market condition and our stock price on the date of grant to value the internal performance condition. We bifurcate the liability and equity portion of the awards (amounts expected to settle in cash and shares, respectively) and recognize expense ratably over the vesting period of three years. We estimate that the performance measures will be met and shares will vest at target until the year of settlement (third year of cliff vesting). As of October 31, 2019, we expect 56,103 performance share awards to vest, of which 28,051 would be paid in our common stock and 28,051 would settle in cash.</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also awarded performance restricted stock units to key employees and officers in December 2018 and 2017.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utilize a Monte Carlo simulation model to 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(Topic 326). </w:t>
      </w:r>
      <w:r>
        <w:rPr>
          <w:rFonts w:ascii="Arial" w:cs="Arial" w:eastAsia="Arial" w:hAnsi="Arial"/>
          <w:sz w:val="16"/>
          <w:szCs w:val="16"/>
          <w:color w:val="auto"/>
        </w:rPr>
        <w:t>This amendment replaces the incurred loss impairment methodology in current U.S. GAAP and requires that financial assets be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on an amortized cost basis and presented at the net amount expected to be collected. This new methodology reflects expected credit losses (rather than probable credit losses) and requires consideration of a broader range of supportable information when determining these estimated credit losses, including relevant experience, current conditions and supportable forecasts to determine collectability. In addition, the amendment provides guidance with regard to the use of an allowance for credit losses for purchased financial assets and available-for-sale debt securities. This amendment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becomes effective for fiscal years beginning after December 15, 2019, including interim periods within that fiscal year. We expect to adopt this amendment during fiscal 2021, with no material impact on our consolidated financial statements.</w:t>
      </w:r>
    </w:p>
    <w:p>
      <w:pPr>
        <w:spacing w:after="0" w:line="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 February 2016, the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by issuing ASU No. 2016-02, which requires lessees to recognize leases on-balance sheet and disclose key information about leasing arrangements.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is effective for us on November 1, 2019, with early adoption permitted. We plan to adopt using a modified retrospective transition approach, applying the new standard to all leases existing at the date of initial application. We expect to adopt the new standard on November 1, 2019 and use the effective date as our date of initial application. Consequently, financial information will not be updated and the disclosures required under the new standard will not be provided for dates and periods prior to November 1, 2019.</w:t>
      </w:r>
    </w:p>
    <w:p>
      <w:pPr>
        <w:spacing w:after="0" w:line="10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new standard provides a number of optional practical expedients in transition. We will elect all of the new standard’s available transition practical expedients.</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standard will have a material effect on our financial statements. The most significant effects on our financial statements relate to the recognition of new ROU assets and lease liabilities on our balance sheet for our operating leases and providing significant new disclosures about our leasing activities. We do not expect a significant change in our leasing activities between now and adoption.</w:t>
      </w:r>
    </w:p>
    <w:p>
      <w:pPr>
        <w:spacing w:after="0" w:line="10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adoption, we will recognize additional operating liabilities ranging from $40.0 million to $45.0 million, with corresponding ROU assets of the same amount based on the present value of the remaining minimum rental payments under current leasing standards for existing operating leases.</w:t>
      </w:r>
    </w:p>
    <w:p>
      <w:pPr>
        <w:spacing w:after="0" w:line="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also provides practical expedients for an entity’s ongoing accounting. We will elect the short-term lease recognition exemption for all leases that qualify. This means, for those leases that qualify, we will not recognize ROU assets or lease liabilities, and this includes not recognizing ROU assets or lease liabilities for existing short-term leases of those assets in transition. We also currently expect to elect the practical expedient to not separate lease and non-lease components for all of our leases.</w:t>
      </w:r>
    </w:p>
    <w:p>
      <w:pPr>
        <w:spacing w:after="0" w:line="10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 Retirement Benefits - Defined Benefit Plans - General (Subtopic 715-20).</w:t>
      </w:r>
      <w:r>
        <w:rPr>
          <w:rFonts w:ascii="Arial" w:cs="Arial" w:eastAsia="Arial" w:hAnsi="Arial"/>
          <w:sz w:val="17"/>
          <w:szCs w:val="17"/>
          <w:color w:val="auto"/>
        </w:rPr>
        <w:t xml:space="preserve"> This amendment modifies the disclosure requirements for employers that sponsor defined benefit pensions or other postretirement plans. Specifically, the amendment removes disclosures which were no longer considered cost beneficial, clarifies certain disclosure requirements, and adds disclosures identified as relevant. This amendment becomes effective for fiscal years beginning after December 15, 2020, including interim periods within that fiscal year. We expect to adopt this amendment during fiscal 2022, with no impact on our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 Quantitative and Qualitative Disclosures About Market Risk.</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October 31, 2019, a hypothetical 1.0% increase or decrease in interest rates could result in approximately $1.4 million of additional pre-tax charges or credit to our operating results. This sensitivity pertains primarily to our outstanding revolving credit facility borrowings outstanding under the 2018 Credit Facility as of October 31,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notional and fair market values of these positions at October 31,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0" w:type="dxa"/>
            <w:vAlign w:val="bottom"/>
            <w:tcBorders>
              <w:bottom w:val="single" w:sz="8" w:color="auto"/>
            </w:tcBorders>
            <w:gridSpan w:val="2"/>
          </w:tcPr>
          <w:p>
            <w:pPr>
              <w:jc w:val="right"/>
              <w:ind w:right="756"/>
              <w:spacing w:after="0"/>
              <w:rPr>
                <w:sz w:val="20"/>
                <w:szCs w:val="20"/>
                <w:color w:val="auto"/>
              </w:rPr>
            </w:pPr>
            <w:r>
              <w:rPr>
                <w:rFonts w:ascii="Arial" w:cs="Arial" w:eastAsia="Arial" w:hAnsi="Arial"/>
                <w:sz w:val="14"/>
                <w:szCs w:val="14"/>
                <w:b w:val="1"/>
                <w:bCs w:val="1"/>
                <w:color w:val="auto"/>
              </w:rPr>
              <w:t>Notional as indicated</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Fair Value in $</w:t>
            </w:r>
          </w:p>
        </w:tc>
      </w:tr>
      <w:tr>
        <w:trPr>
          <w:trHeight w:val="263"/>
        </w:trPr>
        <w:tc>
          <w:tcPr>
            <w:tcW w:w="34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October 31, 2019</w:t>
            </w:r>
          </w:p>
        </w:tc>
        <w:tc>
          <w:tcPr>
            <w:tcW w:w="19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October 31, 2018</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October 31, 2019</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October 31, 2018</w:t>
            </w:r>
          </w:p>
        </w:tc>
      </w:tr>
      <w:tr>
        <w:trPr>
          <w:trHeight w:val="251"/>
        </w:trPr>
        <w:tc>
          <w:tcPr>
            <w:tcW w:w="3420" w:type="dxa"/>
            <w:vAlign w:val="bottom"/>
          </w:tcPr>
          <w:p>
            <w:pPr>
              <w:ind w:left="40"/>
              <w:spacing w:after="0"/>
              <w:rPr>
                <w:sz w:val="20"/>
                <w:szCs w:val="20"/>
                <w:color w:val="auto"/>
              </w:rPr>
            </w:pPr>
            <w:r>
              <w:rPr>
                <w:rFonts w:ascii="Arial" w:cs="Arial" w:eastAsia="Arial" w:hAnsi="Arial"/>
                <w:sz w:val="14"/>
                <w:szCs w:val="14"/>
                <w:b w:val="1"/>
                <w:bCs w:val="1"/>
                <w:color w:val="auto"/>
              </w:rPr>
              <w:t>Foreign currency exchange derivatives:</w:t>
            </w: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Buy EUR, Sell USD</w:t>
            </w:r>
          </w:p>
        </w:tc>
        <w:tc>
          <w:tcPr>
            <w:tcW w:w="1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EUR</w:t>
            </w:r>
          </w:p>
        </w:tc>
        <w:tc>
          <w:tcPr>
            <w:tcW w:w="15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301</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455</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3420" w:type="dxa"/>
            <w:vAlign w:val="bottom"/>
          </w:tcPr>
          <w:p>
            <w:pPr>
              <w:ind w:left="360"/>
              <w:spacing w:after="0"/>
              <w:rPr>
                <w:sz w:val="20"/>
                <w:szCs w:val="20"/>
                <w:color w:val="auto"/>
              </w:rPr>
            </w:pPr>
            <w:r>
              <w:rPr>
                <w:rFonts w:ascii="Arial" w:cs="Arial" w:eastAsia="Arial" w:hAnsi="Arial"/>
                <w:sz w:val="18"/>
                <w:szCs w:val="18"/>
                <w:color w:val="auto"/>
              </w:rPr>
              <w:t>Sell CAD, Buy USD</w:t>
            </w:r>
          </w:p>
        </w:tc>
        <w:tc>
          <w:tcPr>
            <w:tcW w:w="1620" w:type="dxa"/>
            <w:vAlign w:val="bottom"/>
          </w:tcPr>
          <w:p>
            <w:pPr>
              <w:ind w:left="960"/>
              <w:spacing w:after="0"/>
              <w:rPr>
                <w:sz w:val="20"/>
                <w:szCs w:val="20"/>
                <w:color w:val="auto"/>
              </w:rPr>
            </w:pPr>
            <w:r>
              <w:rPr>
                <w:rFonts w:ascii="Arial" w:cs="Arial" w:eastAsia="Arial" w:hAnsi="Arial"/>
                <w:sz w:val="18"/>
                <w:szCs w:val="18"/>
                <w:color w:val="auto"/>
              </w:rPr>
              <w:t>CAD</w:t>
            </w: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405</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229</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 GBP, Buy USD</w:t>
            </w:r>
          </w:p>
        </w:tc>
        <w:tc>
          <w:tcPr>
            <w:tcW w:w="1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GBP</w:t>
            </w:r>
          </w:p>
        </w:tc>
        <w:tc>
          <w:tcPr>
            <w:tcW w:w="15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73</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420" w:type="dxa"/>
            <w:vAlign w:val="bottom"/>
          </w:tcPr>
          <w:p>
            <w:pPr>
              <w:ind w:left="360"/>
              <w:spacing w:after="0"/>
              <w:rPr>
                <w:sz w:val="20"/>
                <w:szCs w:val="20"/>
                <w:color w:val="auto"/>
              </w:rPr>
            </w:pPr>
            <w:r>
              <w:rPr>
                <w:rFonts w:ascii="Arial" w:cs="Arial" w:eastAsia="Arial" w:hAnsi="Arial"/>
                <w:sz w:val="18"/>
                <w:szCs w:val="18"/>
                <w:color w:val="auto"/>
              </w:rPr>
              <w:t>Buy EUR, Sell GBP</w:t>
            </w:r>
          </w:p>
        </w:tc>
        <w:tc>
          <w:tcPr>
            <w:tcW w:w="1620" w:type="dxa"/>
            <w:vAlign w:val="bottom"/>
          </w:tcPr>
          <w:p>
            <w:pPr>
              <w:ind w:left="960"/>
              <w:spacing w:after="0"/>
              <w:rPr>
                <w:sz w:val="20"/>
                <w:szCs w:val="20"/>
                <w:color w:val="auto"/>
              </w:rPr>
            </w:pPr>
            <w:r>
              <w:rPr>
                <w:rFonts w:ascii="Arial" w:cs="Arial" w:eastAsia="Arial" w:hAnsi="Arial"/>
                <w:sz w:val="18"/>
                <w:szCs w:val="18"/>
                <w:color w:val="auto"/>
              </w:rPr>
              <w:t>EUR</w:t>
            </w: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57</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Buy USD, Sell EUR</w:t>
            </w:r>
          </w:p>
        </w:tc>
        <w:tc>
          <w:tcPr>
            <w:tcW w:w="1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USD</w:t>
            </w:r>
          </w:p>
        </w:tc>
        <w:tc>
          <w:tcPr>
            <w:tcW w:w="15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October 31, 2019 and 2018, we held foreign currency derivative contracts hedging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consolidated statements of (loss) income. To the extent the gain or loss on the derivative instrument offsets the gain or loss from the remeasurement of the underlying foreign currency balance, changes in exchange rates should have no effect. See Note 12, "Derivative Instruments", contained elsewhere herein this Annual Report on Form 10-K.</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October 2018, we settled an unhedged foreign currency intercompany loan which facilitated the HLP acquisition. For the year ended October 31, 2018, we realized a loss of less than $0.1 million related to this foreign currency exposure. For the year ended October 31, 2017, we recorded a foreign currency gain of $0.7 million, of which $0.5 million was realized.</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June 23, 2016, voters in the U.K. voted for the U.K. to exit the E.U. (referred to as Brexit). The U.K. is currently due to leave the E.U. on January 31, 2020, but the actual timing, terms of its withdrawal and the nature of its future with the E.U. are still being debated. Since the 2016 vote, the primary impact on our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Given the lack of comparable precedent, it is difficult for us to predict the future impacts on our U.K. based operations, which accounted for approximately 15% of our total sales for the year ended October 31, 2019.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If the U.K. exits the E.U. without an agreement (referred to as a hard Brexit), there could be complete closure of the U.K. border which could have widespread negative ramifications for the U.K. We do not expect a full closure to occur and instead assume at a minimum that trading with certain countries will continue uninterrupted. Since we purchase the same raw materials utilized in our U.K. facilities at our other non-U.K. facilities and source raw materials from multiple countries, we believe we are prepared to utilize our existing Quanex-wide supply infrastructure to minimize potential supply disruptions as much as possible.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polyvinyl resin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In addition, there is a level of exposure to short-term volatility due to the one month lag.</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charge our customers a surcharge related to petroleum-based raw materials. The surcharge is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changes in oil-based raw material prices is significantly reduced under this surcharge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Similarly, Woodcraft includes a surcharge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55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5500" w:type="dxa"/>
            <w:vAlign w:val="bottom"/>
          </w:tcPr>
          <w:p>
            <w:pPr>
              <w:spacing w:after="0" w:line="196" w:lineRule="exact"/>
              <w:rPr>
                <w:sz w:val="20"/>
                <w:szCs w:val="20"/>
                <w:color w:val="auto"/>
              </w:rPr>
            </w:pPr>
            <w:r>
              <w:rPr>
                <w:rFonts w:ascii="Arial" w:cs="Arial" w:eastAsia="Arial" w:hAnsi="Arial"/>
                <w:sz w:val="18"/>
                <w:szCs w:val="18"/>
                <w:color w:val="auto"/>
              </w:rPr>
              <w:t>Reports of Independent Registered Public Accounting Firm</w:t>
            </w:r>
          </w:p>
        </w:tc>
        <w:tc>
          <w:tcPr>
            <w:tcW w:w="5120" w:type="dxa"/>
            <w:vAlign w:val="bottom"/>
            <w:gridSpan w:val="3"/>
          </w:tcPr>
          <w:p>
            <w:pPr>
              <w:jc w:val="center"/>
              <w:ind w:left="485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46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w w:val="92"/>
              </w:rPr>
              <w:t>Management's Annual Report on Internal Control over Financial Reporting</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460" w:type="dxa"/>
            <w:vAlign w:val="bottom"/>
          </w:tcPr>
          <w:p>
            <w:pPr>
              <w:spacing w:after="0"/>
              <w:rPr>
                <w:sz w:val="21"/>
                <w:szCs w:val="21"/>
                <w:color w:val="auto"/>
              </w:rPr>
            </w:pPr>
          </w:p>
        </w:tc>
      </w:tr>
      <w:tr>
        <w:trPr>
          <w:trHeight w:val="291"/>
        </w:trPr>
        <w:tc>
          <w:tcPr>
            <w:tcW w:w="55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4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5500" w:type="dxa"/>
            <w:vAlign w:val="bottom"/>
          </w:tcPr>
          <w:p>
            <w:pPr>
              <w:ind w:left="340"/>
              <w:spacing w:after="0"/>
              <w:rPr>
                <w:sz w:val="20"/>
                <w:szCs w:val="20"/>
                <w:color w:val="auto"/>
              </w:rPr>
            </w:pPr>
            <w:r>
              <w:rPr>
                <w:rFonts w:ascii="Arial" w:cs="Arial" w:eastAsia="Arial" w:hAnsi="Arial"/>
                <w:sz w:val="18"/>
                <w:szCs w:val="18"/>
                <w:color w:val="auto"/>
              </w:rPr>
              <w:t>Consolidated Balance Sheets</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500" w:type="dxa"/>
            <w:vAlign w:val="bottom"/>
          </w:tcPr>
          <w:p>
            <w:pPr>
              <w:ind w:left="340"/>
              <w:spacing w:after="0"/>
              <w:rPr>
                <w:sz w:val="20"/>
                <w:szCs w:val="20"/>
                <w:color w:val="auto"/>
              </w:rPr>
            </w:pPr>
            <w:r>
              <w:rPr>
                <w:rFonts w:ascii="Arial" w:cs="Arial" w:eastAsia="Arial" w:hAnsi="Arial"/>
                <w:sz w:val="18"/>
                <w:szCs w:val="18"/>
                <w:color w:val="auto"/>
              </w:rPr>
              <w:t>Consolidated Statements of (Loss) Income</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6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500" w:type="dxa"/>
            <w:vAlign w:val="bottom"/>
          </w:tcPr>
          <w:p>
            <w:pPr>
              <w:ind w:left="340"/>
              <w:spacing w:after="0"/>
              <w:rPr>
                <w:sz w:val="20"/>
                <w:szCs w:val="20"/>
                <w:color w:val="auto"/>
              </w:rPr>
            </w:pPr>
            <w:r>
              <w:rPr>
                <w:rFonts w:ascii="Arial" w:cs="Arial" w:eastAsia="Arial" w:hAnsi="Arial"/>
                <w:sz w:val="18"/>
                <w:szCs w:val="18"/>
                <w:color w:val="auto"/>
              </w:rPr>
              <w:t>Consolidated Statements of Comprehensive (Loss) Income</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6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500" w:type="dxa"/>
            <w:vAlign w:val="bottom"/>
          </w:tcPr>
          <w:p>
            <w:pPr>
              <w:ind w:left="340"/>
              <w:spacing w:after="0"/>
              <w:rPr>
                <w:sz w:val="20"/>
                <w:szCs w:val="20"/>
                <w:color w:val="auto"/>
              </w:rPr>
            </w:pPr>
            <w:r>
              <w:rPr>
                <w:rFonts w:ascii="Arial" w:cs="Arial" w:eastAsia="Arial" w:hAnsi="Arial"/>
                <w:sz w:val="18"/>
                <w:szCs w:val="18"/>
                <w:color w:val="auto"/>
              </w:rPr>
              <w:t>Consolidated Statement of Stockholders’ Equity</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500" w:type="dxa"/>
            <w:vAlign w:val="bottom"/>
          </w:tcPr>
          <w:p>
            <w:pPr>
              <w:ind w:left="340"/>
              <w:spacing w:after="0"/>
              <w:rPr>
                <w:sz w:val="20"/>
                <w:szCs w:val="20"/>
                <w:color w:val="auto"/>
              </w:rPr>
            </w:pPr>
            <w:r>
              <w:rPr>
                <w:rFonts w:ascii="Arial" w:cs="Arial" w:eastAsia="Arial" w:hAnsi="Arial"/>
                <w:sz w:val="18"/>
                <w:szCs w:val="18"/>
                <w:color w:val="auto"/>
              </w:rPr>
              <w:t>Consolidated Statements of Cash Flow</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120" w:type="dxa"/>
            <w:vAlign w:val="bottom"/>
            <w:gridSpan w:val="3"/>
          </w:tcPr>
          <w:p>
            <w:pPr>
              <w:jc w:val="center"/>
              <w:ind w:left="48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60" w:type="dxa"/>
            <w:vAlign w:val="bottom"/>
          </w:tcPr>
          <w:p>
            <w:pPr>
              <w:spacing w:after="0"/>
              <w:rPr>
                <w:sz w:val="21"/>
                <w:szCs w:val="21"/>
                <w:color w:val="auto"/>
              </w:rPr>
            </w:pPr>
          </w:p>
        </w:tc>
      </w:tr>
      <w:tr>
        <w:trPr>
          <w:trHeight w:val="696"/>
        </w:trPr>
        <w:tc>
          <w:tcPr>
            <w:tcW w:w="5500" w:type="dxa"/>
            <w:vAlign w:val="bottom"/>
          </w:tcPr>
          <w:p>
            <w:pPr>
              <w:spacing w:after="0"/>
              <w:rPr>
                <w:sz w:val="24"/>
                <w:szCs w:val="24"/>
                <w:color w:val="auto"/>
              </w:rPr>
            </w:pPr>
          </w:p>
        </w:tc>
        <w:tc>
          <w:tcPr>
            <w:tcW w:w="4480" w:type="dxa"/>
            <w:vAlign w:val="bottom"/>
          </w:tcPr>
          <w:p>
            <w:pPr>
              <w:jc w:val="right"/>
              <w:ind w:right="413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20"/>
          </w:cols>
          <w:pgMar w:left="240" w:top="125" w:right="539" w:bottom="1440" w:gutter="0" w:footer="0" w:header="0"/>
        </w:sectPr>
      </w:pPr>
    </w:p>
    <w:bookmarkStart w:id="37" w:name="page38"/>
    <w:bookmarkEnd w:id="37"/>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Quanex Building Products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Quanex Building Products Corporation (a Delaware corporation) and subsidiaries (the “Company”) as of October 31, 2019 and 2018, the related consolidated statements of (loss) income, comprehensive (loss) income, stockholders’ equity, and cash flows for each of the three years in the period ended October 31, 2019, and the related notes (collectively referred to as the “financial statements”). In our opinion, the financial statements present fairly, in all material respects, the financial position of the Company as of October 31, 2019 and 2018, and the results of its operations and its cash flows for each of the three years in the period ended October 31, 2019, in conformity with accounting principles generally accepted in the United States of America.</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October 31, 2019, based on criteria established in the 2013 Internal Control-Integrated Framework issued by the Committee of Sponsoring Organizations of the Treadway Commission (“COSO”), and our report dated December 12, 2019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of the reporting unit included in the North American Cabinet Components operating segment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further in Note 1 to the Company’s financial statements, the Company is required to evaluate goodwill for impairment annually or more frequently if indicators of impairment exist. The Company performs its annual goodwill impairment test as of August 31. The Company determined that indicators of impairment exist as of March 31, 2019 and then subsequently on October 31, 2019 for the reporting unit included in the North American (“NA”) Cabinet Components operating segment. As such, the Company estimated the fair value of this reporting unit to determine if the fair value was less than the carrying amount. As a result of these assessments, the Company recognized goodwill impairments of $30.0 million at March 31, 2019 and $44.6 million at October 31, 2019. We identified the estimation of the fair value of the reporting unit included in the NA Cabinet Components operating segment as a critical audit matter.</w:t>
      </w:r>
    </w:p>
    <w:p>
      <w:pPr>
        <w:spacing w:after="0" w:line="1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principal considerations for our determination that the goodwill impairment of the reporting unit included in the NA Cabinet Components operating segment is a critical audit matter include the significant judgments and assumptions management makes to estimate the fair value of the reporting unit for purposes of measuring the impairment of goodwill. Auditing the fair value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reporting unit involved a high degree of auditor judgment, subjectivity and audit effort in evaluating management’s significant assumptions, including future revenues, earnings and cash flows, expected growth rates, terminal growth rates, discount rates, guideline public companies and market multiples. In addition, the audit effort involved the use of valuation specialists to assist in performing these procedures and evaluating the audit evidence obtained.</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the estimation of the fair value of the reporting unit included in the NA Cabinets Components operating segment included the following, among others.</w:t>
      </w:r>
    </w:p>
    <w:p>
      <w:pPr>
        <w:spacing w:after="0" w:line="116"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effectiveness of controls over goodwill impairment including those over the determination of fair value, including controls relating to management’s development of forecasts of future revenues, earnings and cash flows, discount rates, market multiples and selection of guideline public companies.</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revenues, earnings and cash flows by comparing actual results to management’s historical forecasts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revenues, earnings and cash flows by comparing the forecasts to historical revenues, earnings and cash flows, communications to the Board of Directors, press releases and industry reports.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utilized our valuation specialists to evaluate:</w:t>
      </w:r>
    </w:p>
    <w:p>
      <w:pPr>
        <w:spacing w:after="0" w:line="17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discount rate, including the testing of underlying source information and the mathematical accuracy of the calculations, and developing a range of independent estimates and comparing those to the discount rates selected by management.</w:t>
      </w:r>
    </w:p>
    <w:p>
      <w:pPr>
        <w:spacing w:after="0" w:line="11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Market multiples by evaluating the selected comparable publicly traded companies and the adjustments made for difference in growth prospects and risk profiles between the reporting unit and the comparable publicly traded companies. We tested the underlying source information and mathematical accuracy of calculations.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12,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Quanex Building Products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audited the internal control over financial reporting of Quanex Building Products Corporation (a Delaware corporation) and subsidiaries (the “Company”) as of October 31, 2019,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October 31, 2019, based on criteria established in the 2013 Internal Control-Integrated Framework issued by COSO.</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October 31, 2019, and our report dated December 12,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12,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October 31, 2019 using the criteria set forth by the Committee of Sponsoring Organizations of the Treadway Commission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Based on this assessment, management has concluded that, as of October 31, 2019,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Grant Thornton LLP, the Company’s independent registered public accounting firm, has issued an attestation report on the effectiveness of the Company’s internal control over financial reporting. This report appears on page 40.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4"/>
                <w:szCs w:val="14"/>
                <w:b w:val="1"/>
                <w:bCs w:val="1"/>
                <w:color w:val="auto"/>
                <w:w w:val="93"/>
              </w:rPr>
              <w:t>October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4"/>
          </w:tcPr>
          <w:p>
            <w:pPr>
              <w:jc w:val="center"/>
              <w:ind w:right="259"/>
              <w:spacing w:after="0" w:line="153" w:lineRule="exact"/>
              <w:rPr>
                <w:sz w:val="20"/>
                <w:szCs w:val="20"/>
                <w:color w:val="auto"/>
              </w:rPr>
            </w:pPr>
            <w:r>
              <w:rPr>
                <w:rFonts w:ascii="Arial" w:cs="Arial" w:eastAsia="Arial" w:hAnsi="Arial"/>
                <w:sz w:val="14"/>
                <w:szCs w:val="14"/>
                <w:b w:val="1"/>
                <w:bCs w:val="1"/>
                <w:color w:val="auto"/>
                <w:w w:val="90"/>
              </w:rPr>
              <w:t>(In thousands, except share</w:t>
            </w:r>
          </w:p>
        </w:tc>
        <w:tc>
          <w:tcPr>
            <w:tcW w:w="0" w:type="dxa"/>
            <w:vAlign w:val="bottom"/>
          </w:tcPr>
          <w:p>
            <w:pPr>
              <w:spacing w:after="0"/>
              <w:rPr>
                <w:sz w:val="1"/>
                <w:szCs w:val="1"/>
                <w:color w:val="auto"/>
              </w:rPr>
            </w:pPr>
          </w:p>
        </w:tc>
      </w:tr>
      <w:tr>
        <w:trPr>
          <w:trHeight w:val="186"/>
        </w:trPr>
        <w:tc>
          <w:tcPr>
            <w:tcW w:w="8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1"/>
              </w:rPr>
              <w:t>amounts)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460" w:type="dxa"/>
            <w:vAlign w:val="bottom"/>
          </w:tcPr>
          <w:p>
            <w:pPr>
              <w:ind w:left="394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8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30,868</w:t>
            </w:r>
          </w:p>
        </w:tc>
        <w:tc>
          <w:tcPr>
            <w:tcW w:w="2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29,003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 of allowance for doubtful accounts of $393 and $325</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82,946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84,014</w:t>
            </w: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67,159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70,730</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9,353</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7,296</w:t>
            </w:r>
          </w:p>
        </w:tc>
        <w:tc>
          <w:tcPr>
            <w:tcW w:w="0" w:type="dxa"/>
            <w:vAlign w:val="bottom"/>
          </w:tcPr>
          <w:p>
            <w:pPr>
              <w:spacing w:after="0"/>
              <w:rPr>
                <w:sz w:val="1"/>
                <w:szCs w:val="1"/>
                <w:color w:val="auto"/>
              </w:rPr>
            </w:pP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190,326</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191,043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$317,568 and $288,607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193,600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201,370</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145,563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219,627</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107,297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121,919</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8,324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9,255</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645,110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743,214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63,604</w:t>
            </w:r>
          </w:p>
        </w:tc>
        <w:tc>
          <w:tcPr>
            <w:tcW w:w="2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52,389</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39,221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45,968</w:t>
            </w: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6,183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746</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109,754</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102,361</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156,414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209,332</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Deferred pension and postretirement benefits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13,322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19,363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17,510</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Liability for uncertain tax positions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556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15,514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13,965</w:t>
            </w:r>
          </w:p>
        </w:tc>
        <w:tc>
          <w:tcPr>
            <w:tcW w:w="0" w:type="dxa"/>
            <w:vAlign w:val="bottom"/>
          </w:tcPr>
          <w:p>
            <w:pPr>
              <w:spacing w:after="0"/>
              <w:rPr>
                <w:sz w:val="1"/>
                <w:szCs w:val="1"/>
                <w:color w:val="auto"/>
              </w:rPr>
            </w:pP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314,923</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347,992</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no par value, shares authorized 1,000,000; issued and outstanding - none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460" w:type="dxa"/>
            <w:vAlign w:val="bottom"/>
          </w:tcPr>
          <w:p>
            <w:pPr>
              <w:ind w:left="180"/>
              <w:spacing w:after="0"/>
              <w:rPr>
                <w:sz w:val="20"/>
                <w:szCs w:val="20"/>
                <w:color w:val="auto"/>
              </w:rPr>
            </w:pPr>
            <w:r>
              <w:rPr>
                <w:rFonts w:ascii="Arial" w:cs="Arial" w:eastAsia="Arial" w:hAnsi="Arial"/>
                <w:sz w:val="16"/>
                <w:szCs w:val="16"/>
                <w:color w:val="auto"/>
                <w:w w:val="92"/>
              </w:rPr>
              <w:t>Common stock, $0.01 par value, shares authorized 125,000,000; issued 37,370,402 and 37,433,817 respectively; outstanding</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460" w:type="dxa"/>
            <w:vAlign w:val="bottom"/>
          </w:tcPr>
          <w:p>
            <w:pPr>
              <w:ind w:left="180"/>
              <w:spacing w:after="0"/>
              <w:rPr>
                <w:sz w:val="20"/>
                <w:szCs w:val="20"/>
                <w:color w:val="auto"/>
              </w:rPr>
            </w:pPr>
            <w:r>
              <w:rPr>
                <w:rFonts w:ascii="Arial" w:cs="Arial" w:eastAsia="Arial" w:hAnsi="Arial"/>
                <w:sz w:val="16"/>
                <w:szCs w:val="16"/>
                <w:color w:val="auto"/>
              </w:rPr>
              <w:t>33,021,789 and 33,339,032, respectively</w:t>
            </w:r>
          </w:p>
        </w:tc>
        <w:tc>
          <w:tcPr>
            <w:tcW w:w="34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374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paid-in-capital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254,673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254,678</w:t>
            </w: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185,703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243,904</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(30,705)</w:t>
            </w:r>
          </w:p>
        </w:tc>
        <w:tc>
          <w:tcPr>
            <w:tcW w:w="0" w:type="dxa"/>
            <w:vAlign w:val="bottom"/>
          </w:tcPr>
          <w:p>
            <w:pPr>
              <w:spacing w:after="0"/>
              <w:rPr>
                <w:sz w:val="1"/>
                <w:szCs w:val="1"/>
                <w:color w:val="auto"/>
              </w:rPr>
            </w:pPr>
          </w:p>
        </w:tc>
      </w:tr>
      <w:tr>
        <w:trPr>
          <w:trHeight w:val="237"/>
        </w:trPr>
        <w:tc>
          <w:tcPr>
            <w:tcW w:w="8460" w:type="dxa"/>
            <w:vAlign w:val="bottom"/>
          </w:tcPr>
          <w:p>
            <w:pPr>
              <w:ind w:left="180"/>
              <w:spacing w:after="0"/>
              <w:rPr>
                <w:sz w:val="20"/>
                <w:szCs w:val="20"/>
                <w:color w:val="auto"/>
              </w:rPr>
            </w:pPr>
            <w:r>
              <w:rPr>
                <w:rFonts w:ascii="Arial" w:cs="Arial" w:eastAsia="Arial" w:hAnsi="Arial"/>
                <w:sz w:val="16"/>
                <w:szCs w:val="16"/>
                <w:color w:val="auto"/>
              </w:rPr>
              <w:t>Less: Treasury stock at cost, 4,348,613 and 4,094,785 shares, respectively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(76,746)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(73,029)</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330,187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395,222</w:t>
            </w:r>
          </w:p>
        </w:tc>
        <w:tc>
          <w:tcPr>
            <w:tcW w:w="0" w:type="dxa"/>
            <w:vAlign w:val="bottom"/>
          </w:tcPr>
          <w:p>
            <w:pPr>
              <w:spacing w:after="0"/>
              <w:rPr>
                <w:sz w:val="1"/>
                <w:szCs w:val="1"/>
                <w:color w:val="auto"/>
              </w:rPr>
            </w:pPr>
          </w:p>
        </w:tc>
      </w:tr>
      <w:tr>
        <w:trPr>
          <w:trHeight w:val="217"/>
        </w:trPr>
        <w:tc>
          <w:tcPr>
            <w:tcW w:w="846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645,110</w:t>
            </w:r>
          </w:p>
        </w:tc>
        <w:tc>
          <w:tcPr>
            <w:tcW w:w="2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743,214</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October 31, 2019, 2018 and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6"/>
          </w:tcPr>
          <w:p>
            <w:pPr>
              <w:jc w:val="center"/>
              <w:ind w:left="500"/>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88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893,841</w:t>
            </w:r>
          </w:p>
        </w:tc>
        <w:tc>
          <w:tcPr>
            <w:tcW w:w="5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889,785</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866,555</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Cost and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sales (excluding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694,420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697,022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672,488</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101,292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103,758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98,085</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49,586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51,822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57,495</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 impairment charges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74,600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(26,427)</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35,697</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33,937</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Non-operating (expense)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(9,643)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(11,100)</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(9,595)</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(Loss) income before income taxes</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(35,954)</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25,753</w:t>
            </w: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25,502</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(6,819)</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(46,730)</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26,553</w:t>
            </w:r>
          </w:p>
        </w:tc>
        <w:tc>
          <w:tcPr>
            <w:tcW w:w="2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18,683</w:t>
            </w:r>
          </w:p>
        </w:tc>
      </w:tr>
      <w:tr>
        <w:trPr>
          <w:trHeight w:val="257"/>
        </w:trPr>
        <w:tc>
          <w:tcPr>
            <w:tcW w:w="6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Basic (loss) earnings per common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c>
          <w:tcPr>
            <w:tcW w:w="5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0.77</w:t>
            </w:r>
          </w:p>
        </w:tc>
        <w:tc>
          <w:tcPr>
            <w:tcW w:w="2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0.55</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common share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5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0.54</w:t>
            </w:r>
          </w:p>
        </w:tc>
      </w:tr>
      <w:tr>
        <w:trPr>
          <w:trHeight w:val="33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32,960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34,701</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34,230</w:t>
            </w: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32,960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34,837</w:t>
            </w:r>
          </w:p>
        </w:tc>
      </w:tr>
      <w:tr>
        <w:trPr>
          <w:trHeight w:val="33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6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Cash dividends per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5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r>
      <w:tr>
        <w:trPr>
          <w:trHeight w:val="33"/>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125" w:right="439" w:bottom="1440" w:gutter="0" w:footer="0" w:header="0"/>
        </w:sectPr>
      </w:pPr>
    </w:p>
    <w:bookmarkStart w:id="43" w:name="page44"/>
    <w:bookmarkEnd w:id="43"/>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left="2920"/>
        <w:spacing w:after="0" w:line="329" w:lineRule="auto"/>
        <w:rPr>
          <w:sz w:val="20"/>
          <w:szCs w:val="20"/>
          <w:color w:val="auto"/>
        </w:rPr>
      </w:pPr>
      <w:r>
        <w:rPr>
          <w:rFonts w:ascii="Arial" w:cs="Arial" w:eastAsia="Arial" w:hAnsi="Arial"/>
          <w:sz w:val="18"/>
          <w:szCs w:val="18"/>
          <w:b w:val="1"/>
          <w:bCs w:val="1"/>
          <w:color w:val="auto"/>
        </w:rPr>
        <w:t>QUANEX BUILDING PRODUCTS CORPORATION CONSOLIDATED STATEMENTS OF COMPREHENSIVE (LOSS) INCOME For the Years Ended October 31, 2019, 2018 and 2017</w:t>
      </w:r>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266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 gain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 in pension from net unamortized (loss) gain (pretax)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pension from net unamortized (loss) gain tax benefit (expense)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190"/>
        </w:trPr>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202"/>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9"/>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(46,730)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26,553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18,683</w:t>
            </w:r>
          </w:p>
        </w:tc>
      </w:tr>
      <w:tr>
        <w:trPr>
          <w:trHeight w:val="540"/>
        </w:trPr>
        <w:tc>
          <w:tcPr>
            <w:tcW w:w="300" w:type="dxa"/>
            <w:vAlign w:val="bottom"/>
          </w:tcPr>
          <w:p>
            <w:pPr>
              <w:spacing w:after="0"/>
              <w:rPr>
                <w:sz w:val="24"/>
                <w:szCs w:val="24"/>
                <w:color w:val="auto"/>
              </w:rPr>
            </w:pP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1,864</w:t>
            </w:r>
          </w:p>
        </w:tc>
        <w:tc>
          <w:tcPr>
            <w:tcW w:w="26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(6,640)</w:t>
            </w:r>
          </w:p>
        </w:tc>
        <w:tc>
          <w:tcPr>
            <w:tcW w:w="40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11,524</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(6,572)</w:t>
            </w:r>
          </w:p>
        </w:tc>
        <w:tc>
          <w:tcPr>
            <w:tcW w:w="260" w:type="dxa"/>
            <w:vAlign w:val="bottom"/>
          </w:tcPr>
          <w:p>
            <w:pPr>
              <w:spacing w:after="0"/>
              <w:rPr>
                <w:sz w:val="23"/>
                <w:szCs w:val="23"/>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2,253</w:t>
            </w:r>
          </w:p>
        </w:tc>
        <w:tc>
          <w:tcPr>
            <w:tcW w:w="40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3,462</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1,596</w:t>
            </w:r>
          </w:p>
        </w:tc>
        <w:tc>
          <w:tcPr>
            <w:tcW w:w="260" w:type="dxa"/>
            <w:vAlign w:val="bottom"/>
          </w:tcPr>
          <w:p>
            <w:pPr>
              <w:spacing w:after="0"/>
              <w:rPr>
                <w:sz w:val="23"/>
                <w:szCs w:val="23"/>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(1,242)</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(1,297)</w:t>
            </w:r>
          </w:p>
        </w:tc>
      </w:tr>
    </w:tbl>
    <w:p>
      <w:pPr>
        <w:spacing w:after="0" w:line="13" w:lineRule="exact"/>
        <w:rPr>
          <w:sz w:val="20"/>
          <w:szCs w:val="20"/>
          <w:color w:val="auto"/>
        </w:rPr>
      </w:pPr>
    </w:p>
    <w:p>
      <w:pPr>
        <w:sectPr>
          <w:pgSz w:w="11900" w:h="16838" w:orient="portrait"/>
          <w:cols w:equalWidth="0" w:num="2">
            <w:col w:w="6360" w:space="720"/>
            <w:col w:w="4160"/>
          </w:cols>
          <w:pgMar w:left="240" w:top="125" w:right="41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Total other comprehensive (loss) income, net of tax</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(5,629)</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13,689</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(49,842)</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20,924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32,372</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125" w:right="419" w:bottom="1440" w:gutter="0" w:footer="0" w:header="0"/>
          <w:type w:val="continuous"/>
        </w:sectPr>
      </w:pPr>
    </w:p>
    <w:bookmarkStart w:id="44" w:name="page45"/>
    <w:bookmarkEnd w:id="44"/>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October 31, 2019, 2018 and 2017</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200" w:type="dxa"/>
            <w:vAlign w:val="bottom"/>
            <w:gridSpan w:val="5"/>
          </w:tcPr>
          <w:p>
            <w:pPr>
              <w:ind w:left="6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2120" w:type="dxa"/>
            <w:vAlign w:val="bottom"/>
            <w:gridSpan w:val="5"/>
          </w:tcPr>
          <w:p>
            <w:pPr>
              <w:ind w:left="62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900" w:type="dxa"/>
            <w:vAlign w:val="bottom"/>
          </w:tcPr>
          <w:p>
            <w:pPr>
              <w:jc w:val="center"/>
              <w:ind w:right="20"/>
              <w:spacing w:after="0"/>
              <w:rPr>
                <w:sz w:val="20"/>
                <w:szCs w:val="20"/>
                <w:color w:val="auto"/>
              </w:rPr>
            </w:pPr>
            <w:r>
              <w:rPr>
                <w:rFonts w:ascii="Arial" w:cs="Arial" w:eastAsia="Arial" w:hAnsi="Arial"/>
                <w:sz w:val="13"/>
                <w:szCs w:val="13"/>
                <w:b w:val="1"/>
                <w:bCs w:val="1"/>
                <w:color w:val="auto"/>
                <w:w w:val="89"/>
              </w:rPr>
              <w:t>Total</w:t>
            </w:r>
          </w:p>
        </w:tc>
      </w:tr>
      <w:tr>
        <w:trPr>
          <w:trHeight w:val="130"/>
        </w:trPr>
        <w:tc>
          <w:tcPr>
            <w:tcW w:w="28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00"/>
              <w:spacing w:after="0" w:line="131" w:lineRule="exact"/>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2"/>
              </w:rPr>
              <w:t>Other</w:t>
            </w: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200"/>
              <w:spacing w:after="0" w:line="13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2880" w:type="dxa"/>
            <w:vAlign w:val="bottom"/>
          </w:tcPr>
          <w:p>
            <w:pPr>
              <w:spacing w:after="0"/>
              <w:rPr>
                <w:sz w:val="15"/>
                <w:szCs w:val="15"/>
                <w:color w:val="auto"/>
              </w:rPr>
            </w:pPr>
          </w:p>
        </w:tc>
        <w:tc>
          <w:tcPr>
            <w:tcW w:w="11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11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0"/>
              </w:rPr>
              <w:t>Equity</w:t>
            </w:r>
          </w:p>
        </w:tc>
      </w:tr>
      <w:tr>
        <w:trPr>
          <w:trHeight w:val="196"/>
        </w:trPr>
        <w:tc>
          <w:tcPr>
            <w:tcW w:w="2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b w:val="1"/>
                <w:bCs w:val="1"/>
                <w:color w:val="auto"/>
                <w:w w:val="85"/>
              </w:rPr>
              <w:t>(In thousands, except share amounts)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October 31, 2016</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37,560,249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254,540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214,892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(38,765)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(3,339,753)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368,676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18,683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18,683</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11,524</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7"/>
              </w:rPr>
              <w:t>Change in pension from net unamortized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gain (net of tax expense of $1,297)</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2,165</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2,165</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dividends ($0.16 per share)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(5,516)</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Expense related to stock-based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5,189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5,189</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7,953</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Tax benefit from share-based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awards granted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Performance share awards vested</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w:t>
            </w:r>
          </w:p>
        </w:tc>
      </w:tr>
      <w:tr>
        <w:trPr>
          <w:trHeight w:val="231"/>
        </w:trPr>
        <w:tc>
          <w:tcPr>
            <w:tcW w:w="2880" w:type="dxa"/>
            <w:vAlign w:val="bottom"/>
          </w:tcPr>
          <w:p>
            <w:pPr>
              <w:ind w:left="40"/>
              <w:spacing w:after="0"/>
              <w:rPr>
                <w:sz w:val="20"/>
                <w:szCs w:val="20"/>
                <w:color w:val="auto"/>
              </w:rPr>
            </w:pPr>
            <w:r>
              <w:rPr>
                <w:rFonts w:ascii="Arial" w:cs="Arial" w:eastAsia="Arial" w:hAnsi="Arial"/>
                <w:sz w:val="16"/>
                <w:szCs w:val="16"/>
                <w:color w:val="auto"/>
              </w:rPr>
              <w:t>Balance at October 31, 2017</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37,508,877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255,719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226,549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(25,076)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(2,670,743)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407,692</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26,553</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(6,640)</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Change in pension from net unamortized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(net of tax expense of $1,242)</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Common dividends ($0.20 per share)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(7,020)</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Treasury shares purchased, at cost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(32,034)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(32,034)</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Restricted stock awards granted</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73,400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share awards vested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Pr>
          <w:p>
            <w:pPr>
              <w:jc w:val="right"/>
              <w:spacing w:after="0"/>
              <w:rPr>
                <w:sz w:val="20"/>
                <w:szCs w:val="20"/>
                <w:color w:val="auto"/>
              </w:rPr>
            </w:pPr>
            <w:r>
              <w:rPr>
                <w:rFonts w:ascii="Arial" w:cs="Arial" w:eastAsia="Arial" w:hAnsi="Arial"/>
                <w:sz w:val="16"/>
                <w:szCs w:val="16"/>
                <w:color w:val="auto"/>
              </w:rPr>
              <w:t>(75,060)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33"/>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October 31, 2018</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37,433,817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254,678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(4,094,785)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395,222</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(46,730)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(46,730)</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1,864</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7"/>
              </w:rPr>
              <w:t>Change in pension from net unamortized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loss (net of tax expense of $1,596)</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(4,976)</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(4,976)</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dividends ($0.32 per share)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Treasury shares purchased, at cost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(583,398)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(9,551)</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2,045</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Stock options exercised</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204,770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3,288</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awards granted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Pr>
          <w:p>
            <w:pPr>
              <w:jc w:val="right"/>
              <w:spacing w:after="0"/>
              <w:rPr>
                <w:sz w:val="20"/>
                <w:szCs w:val="20"/>
                <w:color w:val="auto"/>
              </w:rPr>
            </w:pPr>
            <w:r>
              <w:rPr>
                <w:rFonts w:ascii="Arial" w:cs="Arial" w:eastAsia="Arial" w:hAnsi="Arial"/>
                <w:sz w:val="16"/>
                <w:szCs w:val="16"/>
                <w:color w:val="auto"/>
              </w:rPr>
              <w:t>(63,415)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33"/>
        </w:trPr>
        <w:tc>
          <w:tcPr>
            <w:tcW w:w="2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October 31, 2019</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37,370,402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254,673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(4,348,613)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330,187</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ind w:left="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6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the Years Ended October 31, 2019, 2018 and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r>
      <w:tr>
        <w:trPr>
          <w:trHeight w:val="190"/>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9"/>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(46,730)</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26,553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18,683</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Adjustments to reconcile net (loss) income to cash provided by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57,495</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Loss (gain) on disposition of capital assets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1,528</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5,189</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Deferred income tax</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Charge for deferred loan costs and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Asset impairment charges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74,600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5,378</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Decrease (increase) in inventory</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17,230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(3,240)</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decrease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8,124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8,325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(4,893)</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(7,521)</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Increase in income taxes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4,670</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in deferred 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Increase (decrease) in other long-term liabilities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1,382</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96,372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104,611</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79,778</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(34,564)</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disposition of capital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Cash used for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(23,559)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(26,052)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(32,627)</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Borrowings under credit facility</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83,500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268,500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53,500</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facility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(296,250)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(98,875)</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other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Common stock dividends paid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(5,516)</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7,953</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Payment of acquisition earn-out contingency</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(8,497)</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Payroll tax paid to settle shares forfeited upon vesting of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(9,551)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(32,034)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used for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(71,264)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(65,817)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(55,133)</w:t>
            </w:r>
          </w:p>
        </w:tc>
      </w:tr>
      <w:tr>
        <w:trPr>
          <w:trHeight w:val="237"/>
        </w:trPr>
        <w:tc>
          <w:tcPr>
            <w:tcW w:w="7100" w:type="dxa"/>
            <w:vAlign w:val="bottom"/>
          </w:tcPr>
          <w:p>
            <w:pPr>
              <w:ind w:left="38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11,548</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(8,071)</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29,003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17,455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25,526</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30,868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29,003</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60"/>
          </w:cols>
          <w:pgMar w:left="320" w:top="125" w:right="31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0"/>
          </w:cols>
          <w:pgMar w:left="320" w:top="125" w:right="3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5" w:lineRule="exact"/>
        <w:rPr>
          <w:sz w:val="20"/>
          <w:szCs w:val="20"/>
          <w:color w:val="auto"/>
        </w:rPr>
      </w:pPr>
    </w:p>
    <w:p>
      <w:pPr>
        <w:ind w:left="340" w:right="5140" w:hanging="332"/>
        <w:spacing w:after="0" w:line="440" w:lineRule="auto"/>
        <w:tabs>
          <w:tab w:leader="none" w:pos="19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Operations, Basis of Presentation and Significant Accounting Policies </w:t>
      </w:r>
      <w:r>
        <w:rPr>
          <w:rFonts w:ascii="Arial" w:cs="Arial" w:eastAsia="Arial" w:hAnsi="Arial"/>
          <w:sz w:val="18"/>
          <w:szCs w:val="18"/>
          <w:b w:val="1"/>
          <w:bCs w:val="1"/>
          <w:i w:val="1"/>
          <w:iCs w:val="1"/>
          <w:color w:val="auto"/>
        </w:rPr>
        <w:t>Nature of Operations</w:t>
      </w:r>
    </w:p>
    <w:p>
      <w:pPr>
        <w:spacing w:after="0" w:line="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(1) North American Fenestration (NA Fenestration), (2) European Fenestration (EU Fenestration) and (3) North American Cabinet Components (NA Cabinet Components). For additional discussion of our reportable business segments, see Note 17, "Segment Information."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In our opinion, these audited financial statements contain all adjustments necessary to fairly present our financial position, results of operations and cash flows for the periods presented.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 During the year ended October 31, 2017, we recorded a change in estimate related to certain assets involved in restructuring activities, as more fully described under the caption "Restructuring."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our significant accounting policies consistently applied in the preparation of the accompanying consolidated financial statements follows: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On November 1, 2018, we adopted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Topic 606) using the modified retrospective method and applying ASC Topic 606 to all revenue contracts with customers. Results for reporting periods beginning on or after November 1, 2018 are presented under ASC Topic 606. In accordance with the modified retrospective approach, prior period amounts were not adjusted and are reported under ASC Topic 605, “Revenue Recognition.” As a result of adoption, there was not a material impact on our consolidated financial statements. We expect the impact of the adoption of ASC Topic 606 to continue to be immaterial to our net income on an ongoing basis.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core principle of ASC Topic 606 is to recognize revenue that reflects the consideration we expect to receive for product sales when the promised items are transferred to customers. Revenue for product sales is recognized when control of the promised products is transferred to our customers, and we expect to be entitled to consideration in exchange for transferring those products. We account for a contract when a customer provides us with a firm purchase order that identifies the products to be provided, the payment terms for those services, and when collectability of the consideration due is probable.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elected to account for shipping and handling services as fulfillment services in accordance ASC Topic 606 guidance; accordingly, freight revenue will be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insulating glass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3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product sales for the three years ended October 31, 2019, 2018, and 2017 into groupings by segment which we believe depicts how the nature, amount, timing and uncertainty of our revenues and cash flows are affected by economic factors. For further details regarding our results by segment, refer to Note 17, “Segment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44"/>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NA Fenestration:</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fenestration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439,536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399,694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International - fenestration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39,309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34,279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non-fenestration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International - non-fenestration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15,642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503,837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485,366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474,878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EU Fenestration: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fenestration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International - fenestration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139,638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135,415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129,140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18,520</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164,997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159,973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147,963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 Cabinet Components: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13,144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17,083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non-fenestration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232,990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229,550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International - non-fenestration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229,644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Unallocated Corporate &amp; Other:</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893,841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889,785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866,555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equivalents include all highly liquid investments with an original maturity of three months or less. Such securities with an original maturity which exceeds three months are deemed to be short-term investments.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Allowance for Doubtful Accounts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years ended October 31, 2019, 2018 and 2017, no customers provided more than 10% of our consolidated net sales.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established an allowance for doubtful accounts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2019.</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apply the acquisition method of accounting for business combinations in accordance with U.S. GAAP,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 inventory at the lower of cost or net realizable value. Inventories are valued using the first-in first-out (FIFO) method. Fixed costs related to excess manufacturing capacity are evaluated and expensed in the period, to insure that inventory is properly capitalized. Inventory quantities are regularly reviewed and provisions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year ended October 31, 2019, we changed the method of inventory costing for certain inventory in two plants located in our NA Fenestration reportable business segment to the first-in first-out (FIFO) method from the last-in first-out method. We utilize the FIFO method to determine costs at all of our other operating locations. We believe that the FIFO method is preferable as it provides uniformity of inventory valuation across our global operations, aligns with how we internally manage inventory, and provides better matching of revenues and expenses. The impact of this change in accounting principle on the financial statements for each period presented is further explained in Note 3, “Inventories.”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using our incremental borrowing rate.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1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1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Changes in market conditions throughout 2019 and 2017 impacted our long-term forecasts of future operating results with regard to the reduction of significant sales volume to a large customer of our United States (U.S.) vinyl operations, and lower-than-expected operating performance of our North American Cabinet Components business. We determined that these conditions were indicators of triggering events which necessitated an evaluation of certain long-term assets utilized in these businesses for potential impairment. We compared the projected undiscounted cash flows we expected to realize associated with these assets over the remaining useful lives of the primary operating assets to the net book value of the long-term assets, including goodwill, and determined that these assets were not impaired. Therefore, we did not record an impairment charge related to property, plant and equipment or intangible assets with defined lives during the years ended October 31, 2019 and 2017. There were no indicators of triggering events noted for the year ended October 31, 2018.</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Property, plant and equipment is stated at cost and is depreciated using the straight-line method over the estimated useful lives of the assets. We capitalize betterments which extend the useful lives or significantly improve the operational efficiency of assets. We expense repair and maintenance costs as incurred.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useful lives of our primary asset categories at October 31, 2019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Useful Life (in Years)</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 to 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25 to 40</w:t>
            </w:r>
          </w:p>
        </w:tc>
      </w:tr>
      <w:tr>
        <w:trPr>
          <w:trHeight w:val="27"/>
        </w:trPr>
        <w:tc>
          <w:tcPr>
            <w:tcW w:w="88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 to 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 to 15</w:t>
            </w:r>
          </w:p>
        </w:tc>
      </w:tr>
    </w:tbl>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depreciated over the shorter of their estimated useful lives or the term of the lease.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utilizes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1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second quarter of 2019, our reporting unit included in our NA Cabinet Components segment experienced financial performance for the year to date period ended March 31, 2019 that was below our budget. As a result, we developed a new long-range forecast for this reporting unit that was below its previous long-range forecast as a result of an industry-wide shift from semi-custom cabinets to stock cabinets. We determined that the combination of i) actual financial results below planned performance, ii) a downward revision of the long-range forecast, and iii) the historical narrow margin of fair value over carrying value in previous annual and interim goodwill assessments represented a triggering event that would more likely than not indicate that the carrying value of this reporting unit was greater than its fair value. Therefore, we performed a quantitative impairment test of the goodwill balance at March 31, 2019. The quantitative impairment test was conducted using multiple valuation techniques, including a discounted cash flow analysis, which utilizes Level 3 fair value inputs, and resulted in an asset impairment charge of $30.0 million during the second quarter of 2019.</w:t>
      </w:r>
    </w:p>
    <w:p>
      <w:pPr>
        <w:spacing w:after="0" w:line="1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At our annual testing date, August 31, 2019,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the two reporting units in the NA Fenestration segment and the two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segment and the EU Fenestration segment. Also, at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testing date, we performed a quantitative assessment of the reporting unit in our NA Cabinet Components segment primarily due to the recent impairment of goodwill during the second quarter of 2019 and the history of a narrow margin of fair value above carrying value in quantitative assessments performed in prior years. We determined that the fair value of this reporting unit exceeded its carrying value by approximately 5%. At that date, we concluded that no impairment was necessary.</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After the annual assessment date and prior to our fiscal year end of October 31, 2019, the reporting unit in our NA Cabinet Components segment was notified about a change in strategy at one of our large customers that may result in lower sales volumes in the future. In addition, we continued to experience lower-than-expected volumes as a result of the ongoing shift in demand from semi-custom cabinets to stock cabinets. Based on this information, we updated our long-range forecast for this reporting unit to reflect the expected volume declines. This revised long-range forecast was utilized to perform another quantitative impairment test of this reporting unit as of October 31, 2019, which resulted in an asset impairment charge of $44.6 million during the fourth quarter of 2019. As a result of the quantitative assessments performed in the second and fourth quarters of 2019, we recorded impairment charges totaling $74.6 million during the year ended October 31, 2019, reducing the goodwill balance applicable to the reporting unit included in our NA Cabinet Components operating segment from $113.7 million to $39.1 million.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1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September 2017, we closed a kitchen and bathroom cabinet door plant in Lansing, Kansas. We expensed $4.6 million associated with our restructuring efforts for the year ended October 31, 2017, including cost of equipment moves, employee termination costs and severance, professional fees and operating lease costs. Our facility lease obligations were deemed to be at fair market value. We negotiated the exit of one of the vinyl facilities during September 2018, and the lease of the cabinet door plant expired during fiscal 2018. We incurred $0.4 million and $1.5 million of expenses related to operating leases costs during the years ended October 31, 2019 and 2018, respectively, and we expect to incur costs related to the operating leases for the remaining vinyl facility during fiscal 2020 until we are able to sublet or otherwise exit the lease.</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we evaluated the remaining depreciable lives of property, plant and equipment that has been abandoned, displaced or otherwise disposed as a result of the plant closures. We recorded a change in estimate associated with the remaining useful lives of these assets which resulted in an increase in depreciation expense of $4.3 million for the year ended October 31, 2017. Furthermore, we evaluated the remaining service lives of intangible assets with defined lives associated with our U.S. vinyl extrusion business and recorded a change in estimate associated with the remaining useful lives of a customer relationship intangible and a utility process intangible asset resulting in an increase in amortization expense of $1.9 million for the year ended October 31, 2017. We did not incur similar increases in depreciation or amortization expenses related to restructuring activities during the years ended October 31, 2019 and 2018.</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sponsor a defined benefit pension plan and an unfunded postretirement plan that provides health care and life insurance benefits for a limited pool of eligible retirees and dependents. To measure our liabilities associated with these plans, we make assumptions related to future events, including expected return on plan assets, rate of compensation increases, and healthcare cost trend rates. The discount rate reflects the rate at which benefits could be effectively settled on the measurement date. We determine our discount rate using a RATE: Link Model whereby target yields are developed from bonds across a range of maturity points, and a curve is fitted to those targets. Spot rates (zero coupon bond yields) are developed from the curve and used to discount benefit payments associated with each future year.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recorded a net loss for the year ended October 31, 2019 and net income for the years ended October 31, 2018 and 2017. We have recorded pre-tax cumulative income from operations of $43.2 million for the three-year period ended October 31, 2019.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We have recorded a liability for uncertain tax positions which stem from certain state tax items related to the interpretation of tax laws and regulations. We continue to evaluate our positions regarding various state tax interpretations at each reporting date, until the applicable statute of limitations lapse.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22, 2017, the Tax Cuts and Jobs Act (the Act) was signed into law. The Act reduced our federal income tax statutory rate from 35.0% to 21.0% and 23.3% for the fiscal years ended October 31, 2019 and 2018, respectively. We have re-measured our deferred income tax assets and liabilities and have recorded tax expense for the one-time mandatory transition tax on deemed repatriation of previously tax-deferred and unremitted foreign earnings. For further details of the impact of the Act, see Note 10, "Income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historically used financial and commodity-based derivative contracts to manage our exposure to fluctuations in foreign currency exchange rates and aluminum prices. All derivatives are measured at fair value on a recurring basis and the methodology and classifications are discussed further in Note 13, "Derivative Instruments." We have not designated the derivative instruments we use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consolidated financial statements are presented in our reporting currency, the United States Dollar. Our German and U.K.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Occasionally, we enter into transactions that are denominated in currencies other than our functional currency.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(loss) income under the caption, “Other, net.”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have issued stock-based compensation in the form of stock options to directors, employees and officers, and non-vested restricted stock awards to certain key employees and officers. We apply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2019 and 2018. See Note 15, “Stock-based Compensation.”</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we have granted performance share units which settle in cash and shares upon vesting. The awards granted during the years ended October 31, 2018 and 2017 have vesting criteria based on a market condition (relative total shareholder return) and an internal performance condition (earnings per share growth). The award granted during the year ended October 31, 2019 utilizes return on net assets as the vesting condition and settles in cash. We utilize a Monte Carlo simulation model to value the market condition and our stock price on the date of grant to value the internal performance condition. We bifurcate the liability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equity portion of the awards (amounts expected to settle in cash and shares, respectively) and recognize expense ratably over the vesting period of three years.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also granted performance restricted stock units which settle in shares upon vesting. These awards cliff vest upon a three-year service period with the absolute performance of our common stock as the vesting criteria. We utilized a Monte Carlo simulation model to arrive at a grant-date value of these performance restricted stock units. This amount, which is settled in our common stock, is expensed over the three-year term of the award with a credit to additional paid-in-capital.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 in capital, while any deficiency is charged to retained earnings.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 Data</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supplemental cash flow information for the years ended October 31, 2019,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4"/>
                <w:szCs w:val="14"/>
                <w:b w:val="1"/>
                <w:bCs w:val="1"/>
                <w:color w:val="auto"/>
                <w:w w:val="93"/>
              </w:rPr>
              <w:t>Year Ended October 31,</w:t>
            </w:r>
          </w:p>
        </w:tc>
        <w:tc>
          <w:tcPr>
            <w:tcW w:w="68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r>
      <w:tr>
        <w:trPr>
          <w:trHeight w:val="248"/>
        </w:trPr>
        <w:tc>
          <w:tcPr>
            <w:tcW w:w="8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20" w:type="dxa"/>
            <w:vAlign w:val="bottom"/>
            <w:gridSpan w:val="2"/>
          </w:tcPr>
          <w:p>
            <w:pPr>
              <w:jc w:val="center"/>
              <w:ind w:left="128"/>
              <w:spacing w:after="0"/>
              <w:rPr>
                <w:sz w:val="20"/>
                <w:szCs w:val="20"/>
                <w:color w:val="auto"/>
              </w:rPr>
            </w:pPr>
            <w:r>
              <w:rPr>
                <w:rFonts w:ascii="Arial" w:cs="Arial" w:eastAsia="Arial" w:hAnsi="Arial"/>
                <w:sz w:val="13"/>
                <w:szCs w:val="13"/>
                <w:b w:val="1"/>
                <w:bCs w:val="1"/>
                <w:color w:val="auto"/>
                <w:w w:val="89"/>
              </w:rPr>
              <w:t>(In thousands)</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8"/>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5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7,890</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9,019</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Cash paid for income taxes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5,081</w:t>
            </w:r>
          </w:p>
        </w:tc>
        <w:tc>
          <w:tcPr>
            <w:tcW w:w="52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4,217</w:t>
            </w: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3,334</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received from income tax refunds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95</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1,167</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Noncash investing and financing activities: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capital leases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799</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16,846</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Increase in capitalized expenditures in accounts payable and accrued liabilities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2,897</w:t>
            </w:r>
          </w:p>
        </w:tc>
        <w:tc>
          <w:tcPr>
            <w:tcW w:w="52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Arial" w:cs="Arial" w:eastAsia="Arial" w:hAnsi="Arial"/>
                <w:sz w:val="16"/>
                <w:szCs w:val="16"/>
                <w:color w:val="auto"/>
              </w:rPr>
              <w:t>264</w:t>
            </w:r>
          </w:p>
        </w:tc>
        <w:tc>
          <w:tcPr>
            <w:tcW w:w="3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392</w:t>
            </w:r>
          </w:p>
        </w:tc>
      </w:tr>
    </w:tbl>
    <w:p>
      <w:pPr>
        <w:spacing w:after="0" w:line="3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years ended October 31, 2018 and 2017, we leased several operating facilities from a company that was directly owned by the former owner of our U.K.-based vinyl extrusion business, who was our employee until his retirement in October 2018. We recorded rent expense of $1.3 million and $1.2 million related to the related party leases for the years ended October 31, 2018 and 2017. We did not participate in any related party transactions during the year ended October 31, 2019.</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evaluated events occurring after the balance sheet date for possible disclosure as a subsequent event through the date the financial statements were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 and Allowance for Doubtful Accounts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consisted of the following as of October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7"/>
          </w:tcPr>
          <w:p>
            <w:pPr>
              <w:jc w:val="right"/>
              <w:ind w:right="110"/>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82,745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83,339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Less: Allowance for doubtful accounts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Accounts receivable, net</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82,946</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The changes in our allowance for doubtful accounts were as follows:</w:t>
            </w: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 2017 and 2016, respectively</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Bad debt expense</w:t>
            </w:r>
          </w:p>
        </w:tc>
        <w:tc>
          <w:tcPr>
            <w:tcW w:w="8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(916)</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Recoveries</w:t>
            </w:r>
          </w:p>
        </w:tc>
        <w:tc>
          <w:tcPr>
            <w:tcW w:w="8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October 31,</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6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64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at October 31, 2019 and 2018:</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left="857"/>
              <w:spacing w:after="0"/>
              <w:rPr>
                <w:sz w:val="20"/>
                <w:szCs w:val="20"/>
                <w:color w:val="auto"/>
              </w:rPr>
            </w:pPr>
            <w:r>
              <w:rPr>
                <w:rFonts w:ascii="Arial" w:cs="Arial" w:eastAsia="Arial" w:hAnsi="Arial"/>
                <w:sz w:val="14"/>
                <w:szCs w:val="14"/>
                <w:b w:val="1"/>
                <w:bCs w:val="1"/>
                <w:color w:val="auto"/>
                <w:w w:val="93"/>
              </w:rPr>
              <w:t>October 31,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7"/>
          </w:tcPr>
          <w:p>
            <w:pPr>
              <w:jc w:val="center"/>
              <w:ind w:left="837"/>
              <w:spacing w:after="0"/>
              <w:rPr>
                <w:sz w:val="20"/>
                <w:szCs w:val="20"/>
                <w:color w:val="auto"/>
              </w:rPr>
            </w:pPr>
            <w:r>
              <w:rPr>
                <w:rFonts w:ascii="Arial" w:cs="Arial" w:eastAsia="Arial" w:hAnsi="Arial"/>
                <w:sz w:val="13"/>
                <w:szCs w:val="13"/>
                <w:b w:val="1"/>
                <w:bCs w:val="1"/>
                <w:color w:val="auto"/>
                <w:w w:val="87"/>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32,818</w:t>
            </w:r>
          </w:p>
        </w:tc>
        <w:tc>
          <w:tcPr>
            <w:tcW w:w="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35,538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31,727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2,593</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70,949</w:t>
            </w:r>
          </w:p>
        </w:tc>
        <w:tc>
          <w:tcPr>
            <w:tcW w:w="6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75,105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Inventory reserves</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4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67,159</w:t>
            </w:r>
          </w:p>
        </w:tc>
        <w:tc>
          <w:tcPr>
            <w:tcW w:w="6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70,730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our inventory reserve accounts were as follows for the years ended October 31, 2019, 2018 and 2017:</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October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7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81"/>
        </w:trPr>
        <w:tc>
          <w:tcPr>
            <w:tcW w:w="6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2018, 2017 and 2016, respectively</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4,375</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4,620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3,929</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Charged to cost of sales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1,296</w:t>
            </w:r>
          </w:p>
        </w:tc>
      </w:tr>
      <w:tr>
        <w:trPr>
          <w:trHeight w:val="27"/>
        </w:trPr>
        <w:tc>
          <w:tcPr>
            <w:tcW w:w="6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56</w:t>
            </w:r>
          </w:p>
        </w:tc>
      </w:tr>
      <w:tr>
        <w:trPr>
          <w:trHeight w:val="27"/>
        </w:trPr>
        <w:tc>
          <w:tcPr>
            <w:tcW w:w="6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October 31,</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3,790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4,375</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4,620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described in Note 1, “Nature of Operations and Basis of Presentation - Inventories,” during the year ended October 31, 2019, we elected to change our method of accounting for certain inventory in our NA Fenestration reportable business segment from LIFO to FIFO. We applied this change in method of inventory costing by retrospectively adjusting the prior period financial statements. As a result of the retrospective adjustment of the change in accounting principle, certain amounts in our consolidated</w:t>
      </w:r>
    </w:p>
    <w:p>
      <w:pPr>
        <w:sectPr>
          <w:pgSz w:w="11900" w:h="16838" w:orient="portrait"/>
          <w:cols w:equalWidth="0" w:num="1">
            <w:col w:w="11420"/>
          </w:cols>
          <w:pgMar w:left="240" w:top="125" w:right="239" w:bottom="433"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433"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of net income for the three months and year ended October 31, 2018 was adjusted as follows (there was no impact to the corresponding three months and year ended October 31,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right"/>
              <w:ind w:right="735"/>
              <w:spacing w:after="0"/>
              <w:rPr>
                <w:sz w:val="20"/>
                <w:szCs w:val="20"/>
                <w:color w:val="auto"/>
              </w:rPr>
            </w:pPr>
            <w:r>
              <w:rPr>
                <w:rFonts w:ascii="Arial" w:cs="Arial" w:eastAsia="Arial" w:hAnsi="Arial"/>
                <w:sz w:val="14"/>
                <w:szCs w:val="14"/>
                <w:b w:val="1"/>
                <w:bCs w:val="1"/>
                <w:color w:val="auto"/>
              </w:rPr>
              <w:t>Three months ended October 31,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October 31, 2018</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 xml:space="preserve">As Reported </w:t>
            </w:r>
            <w:r>
              <w:rPr>
                <w:rFonts w:ascii="Arial" w:cs="Arial" w:eastAsia="Arial" w:hAnsi="Arial"/>
                <w:sz w:val="8"/>
                <w:szCs w:val="8"/>
                <w:b w:val="1"/>
                <w:bCs w:val="1"/>
                <w:color w:val="auto"/>
                <w:w w:val="96"/>
              </w:rPr>
              <w:t>(1)</w:t>
            </w: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w w:val="97"/>
              </w:rPr>
              <w:t>Impact of change</w:t>
            </w:r>
          </w:p>
        </w:tc>
        <w:tc>
          <w:tcPr>
            <w:tcW w:w="22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Adjusted</w:t>
            </w:r>
          </w:p>
        </w:tc>
        <w:tc>
          <w:tcPr>
            <w:tcW w:w="180" w:type="dxa"/>
            <w:vAlign w:val="bottom"/>
          </w:tcPr>
          <w:p>
            <w:pPr>
              <w:spacing w:after="0"/>
              <w:rPr>
                <w:sz w:val="13"/>
                <w:szCs w:val="13"/>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6"/>
              </w:rPr>
              <w:t xml:space="preserve">As Reported </w:t>
            </w:r>
            <w:r>
              <w:rPr>
                <w:rFonts w:ascii="Arial" w:cs="Arial" w:eastAsia="Arial" w:hAnsi="Arial"/>
                <w:sz w:val="8"/>
                <w:szCs w:val="8"/>
                <w:b w:val="1"/>
                <w:bCs w:val="1"/>
                <w:color w:val="auto"/>
                <w:w w:val="96"/>
              </w:rPr>
              <w:t>(1)</w:t>
            </w:r>
          </w:p>
        </w:tc>
        <w:tc>
          <w:tcPr>
            <w:tcW w:w="12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w w:val="97"/>
              </w:rPr>
              <w:t>Impact of change</w:t>
            </w:r>
          </w:p>
        </w:tc>
        <w:tc>
          <w:tcPr>
            <w:tcW w:w="280" w:type="dxa"/>
            <w:vAlign w:val="bottom"/>
          </w:tcPr>
          <w:p>
            <w:pPr>
              <w:spacing w:after="0"/>
              <w:rPr>
                <w:sz w:val="13"/>
                <w:szCs w:val="13"/>
                <w:color w:val="auto"/>
              </w:rPr>
            </w:pPr>
          </w:p>
        </w:tc>
        <w:tc>
          <w:tcPr>
            <w:tcW w:w="10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 FIFO</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 FIFO</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4"/>
          </w:tcPr>
          <w:p>
            <w:pPr>
              <w:jc w:val="right"/>
              <w:ind w:right="234"/>
              <w:spacing w:after="0"/>
              <w:rPr>
                <w:sz w:val="20"/>
                <w:szCs w:val="20"/>
                <w:color w:val="auto"/>
              </w:rPr>
            </w:pPr>
            <w:r>
              <w:rPr>
                <w:rFonts w:ascii="Arial" w:cs="Arial" w:eastAsia="Arial" w:hAnsi="Arial"/>
                <w:sz w:val="13"/>
                <w:szCs w:val="13"/>
                <w:b w:val="1"/>
                <w:bCs w:val="1"/>
                <w:color w:val="auto"/>
                <w:w w:val="86"/>
              </w:rPr>
              <w:t>(In thousands, except per share amounts)</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187,960</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187,660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697,322</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697,022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11,396</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35,397</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35,697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8,153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25,453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(1,661)</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875</w:t>
            </w:r>
          </w:p>
        </w:tc>
        <w:tc>
          <w:tcPr>
            <w:tcW w:w="3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6,492</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26,328</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0.19</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0.76</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0.75</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hanging="7"/>
        <w:spacing w:after="0" w:line="277"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reported cost of sales and operating income have been updated to reflect the adoption of accounting standards update 2017-07. See Note 20, "New Accounting Guidance " for further details.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consolidated balance sheet for the year ended October 31, 2018 was adjusted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As of October 31,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As Reported</w:t>
            </w:r>
          </w:p>
        </w:tc>
        <w:tc>
          <w:tcPr>
            <w:tcW w:w="14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Impact of change</w:t>
            </w:r>
          </w:p>
        </w:tc>
        <w:tc>
          <w:tcPr>
            <w:tcW w:w="180" w:type="dxa"/>
            <w:vAlign w:val="bottom"/>
          </w:tcPr>
          <w:p>
            <w:pPr>
              <w:spacing w:after="0"/>
              <w:rPr>
                <w:sz w:val="13"/>
                <w:szCs w:val="13"/>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 FIFO</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239"/>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69,365</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1,365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70,730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17,215</w:t>
            </w:r>
          </w:p>
        </w:tc>
        <w:tc>
          <w:tcPr>
            <w:tcW w:w="32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242,834</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243,904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consolidated statement of cash flow for the year ended October 31, 2018 was adjusted as follows (there was no impact to the corresponding year ended October 31, 2017):</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October 31,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As Reported</w:t>
            </w:r>
          </w:p>
        </w:tc>
        <w:tc>
          <w:tcPr>
            <w:tcW w:w="13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Impact of change</w:t>
            </w:r>
          </w:p>
        </w:tc>
        <w:tc>
          <w:tcPr>
            <w:tcW w:w="180" w:type="dxa"/>
            <w:vAlign w:val="bottom"/>
          </w:tcPr>
          <w:p>
            <w:pPr>
              <w:spacing w:after="0"/>
              <w:rPr>
                <w:sz w:val="13"/>
                <w:szCs w:val="13"/>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 FIFO</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39"/>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26,328</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Deferred income tax</w:t>
            </w:r>
          </w:p>
        </w:tc>
        <w:tc>
          <w:tcPr>
            <w:tcW w:w="2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(5,631)</w:t>
            </w:r>
          </w:p>
        </w:tc>
        <w:tc>
          <w:tcPr>
            <w:tcW w:w="180" w:type="dxa"/>
            <w:vAlign w:val="bottom"/>
          </w:tcPr>
          <w:p>
            <w:pPr>
              <w:spacing w:after="0"/>
              <w:rPr>
                <w:sz w:val="21"/>
                <w:szCs w:val="21"/>
                <w:color w:val="auto"/>
              </w:rPr>
            </w:pPr>
          </w:p>
        </w:tc>
        <w:tc>
          <w:tcPr>
            <w:tcW w:w="1120" w:type="dxa"/>
            <w:vAlign w:val="bottom"/>
          </w:tcPr>
          <w:p>
            <w:pPr>
              <w:jc w:val="right"/>
              <w:ind w:right="139"/>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inventory</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17,530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17,230</w:t>
            </w:r>
          </w:p>
        </w:tc>
        <w:tc>
          <w:tcPr>
            <w:tcW w:w="0" w:type="dxa"/>
            <w:vAlign w:val="bottom"/>
          </w:tcPr>
          <w:p>
            <w:pPr>
              <w:spacing w:after="0"/>
              <w:rPr>
                <w:sz w:val="1"/>
                <w:szCs w:val="1"/>
                <w:color w:val="auto"/>
              </w:rPr>
            </w:pPr>
          </w:p>
        </w:tc>
      </w:tr>
      <w:tr>
        <w:trPr>
          <w:trHeight w:val="27"/>
        </w:trPr>
        <w:tc>
          <w:tcPr>
            <w:tcW w:w="7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fourth quarter of 2019, we updated our assessment of the impact of the change in method of inventory costing and noted the impact would have not changed significantly.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at October 31,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October 31,</w:t>
            </w:r>
          </w:p>
        </w:tc>
        <w:tc>
          <w:tcPr>
            <w:tcW w:w="104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81"/>
        </w:trPr>
        <w:tc>
          <w:tcPr>
            <w:tcW w:w="8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5"/>
                <w:szCs w:val="15"/>
                <w:color w:val="auto"/>
              </w:rPr>
            </w:pPr>
          </w:p>
        </w:tc>
      </w:tr>
      <w:tr>
        <w:trPr>
          <w:trHeight w:val="258"/>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10,298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101,569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98,212</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386,953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371,106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12,348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10,293</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gross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511,168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489,977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317,568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288,607</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193,600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201,370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October 31, 2019, 2018, and 2017 was $34.3 million, $35.6 million and $39.1 million, respectively.</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Assets recorded under capital leases had a historical cost of $16.6 million and $22.2 million, respectively, and accumulated depreciation of $3.7 million and $3.4 million, respectively as of October 31, 2019 and 2018. Depreciation expense related to these assets totaled $0.2 million, $1.1 million and $2.0 million for the periods ended October 31, 2019, 2018, and 2017, respectively. Refer to Note 7, ""Debt and Capital Lease Obligations"" for additional information on capital leases.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 October 31, 2019, 2018, and 2017. See further discussion at Note 1, "Nature of Operations, Basis of Presentation and Significant Accounting Policies - Long-Lived Assets - Property, Plant and Equipment and Intangible Assets with Defined Lives."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for the years ended October 31, 2019 and 2018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Year Ended October 31,</w:t>
            </w:r>
          </w:p>
        </w:tc>
      </w:tr>
      <w:tr>
        <w:trPr>
          <w:trHeight w:val="264"/>
        </w:trPr>
        <w:tc>
          <w:tcPr>
            <w:tcW w:w="8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48"/>
        </w:trPr>
        <w:tc>
          <w:tcPr>
            <w:tcW w:w="8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21"/>
                <w:szCs w:val="21"/>
                <w:color w:val="auto"/>
              </w:rPr>
            </w:pPr>
          </w:p>
        </w:tc>
      </w:tr>
      <w:tr>
        <w:trPr>
          <w:trHeight w:val="25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 and 2017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219,627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222,194</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(74,600)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Balance as of October 31,</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145,563</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219,627</w:t>
            </w:r>
          </w:p>
        </w:tc>
      </w:tr>
      <w:tr>
        <w:trPr>
          <w:trHeight w:val="27"/>
        </w:trPr>
        <w:tc>
          <w:tcPr>
            <w:tcW w:w="8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At our annual testing date, August 31, 2019, we had five reporting units with goodwill balances. Two of these units were included in our NA Fenestration segment and had goodwill balances of $35.9 million and $2.8 million, two units were included in our EU Fenestration segment with goodwill balances of $50.9 million and $16.8 million, and our NA Cabinet Components segment had one unit with a goodwill balance of $83.8 million. During the the year ended October 31, 2019, we recorded impairment charges of $74.6 million associated with our NA Cabinet Components segment. The details of the impairment charges, as well as the results of our goodwill assessment as of August 31, 2019 are more fully described at Note 1, "Nature of Operations, Basis of Presentation and Significant Accounting Policies - Long-Lived Assets - Goodwill."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October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31, 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October 31, 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October 31, 2018</w:t>
            </w:r>
          </w:p>
        </w:tc>
      </w:tr>
      <w:tr>
        <w:trPr>
          <w:trHeight w:val="162"/>
        </w:trPr>
        <w:tc>
          <w:tcPr>
            <w:tcW w:w="400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Remaining Weighted</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 Carrying</w:t>
            </w: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 Carrying</w:t>
            </w:r>
          </w:p>
        </w:tc>
        <w:tc>
          <w:tcPr>
            <w:tcW w:w="180" w:type="dxa"/>
            <w:vAlign w:val="bottom"/>
          </w:tcPr>
          <w:p>
            <w:pPr>
              <w:spacing w:after="0"/>
              <w:rPr>
                <w:sz w:val="14"/>
                <w:szCs w:val="14"/>
                <w:color w:val="auto"/>
              </w:rPr>
            </w:pPr>
          </w:p>
        </w:tc>
        <w:tc>
          <w:tcPr>
            <w:tcW w:w="108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Accumulated</w:t>
            </w:r>
          </w:p>
        </w:tc>
      </w:tr>
      <w:tr>
        <w:trPr>
          <w:trHeight w:val="182"/>
        </w:trPr>
        <w:tc>
          <w:tcPr>
            <w:tcW w:w="4000" w:type="dxa"/>
            <w:vAlign w:val="bottom"/>
          </w:tcPr>
          <w:p>
            <w:pPr>
              <w:spacing w:after="0"/>
              <w:rPr>
                <w:sz w:val="15"/>
                <w:szCs w:val="15"/>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Average Useful Life</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1080" w:type="dxa"/>
            <w:vAlign w:val="bottom"/>
          </w:tcPr>
          <w:p>
            <w:pPr>
              <w:jc w:val="right"/>
              <w:ind w:right="157"/>
              <w:spacing w:after="0"/>
              <w:rPr>
                <w:sz w:val="20"/>
                <w:szCs w:val="20"/>
                <w:color w:val="auto"/>
              </w:rPr>
            </w:pPr>
            <w:r>
              <w:rPr>
                <w:rFonts w:ascii="Arial" w:cs="Arial" w:eastAsia="Arial" w:hAnsi="Arial"/>
                <w:sz w:val="14"/>
                <w:szCs w:val="14"/>
                <w:b w:val="1"/>
                <w:bCs w:val="1"/>
                <w:color w:val="auto"/>
                <w:w w:val="95"/>
              </w:rPr>
              <w:t>Amortization</w:t>
            </w:r>
          </w:p>
        </w:tc>
      </w:tr>
      <w:tr>
        <w:trPr>
          <w:trHeight w:val="262"/>
        </w:trPr>
        <w:tc>
          <w:tcPr>
            <w:tcW w:w="400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60" w:type="dxa"/>
            <w:vAlign w:val="bottom"/>
            <w:tcBorders>
              <w:top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58"/>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153,950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70,103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153,704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59,332</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Trademarks and trade names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1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55,745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35,210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55,583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32,668</w:t>
            </w:r>
          </w:p>
        </w:tc>
      </w:tr>
      <w:tr>
        <w:trPr>
          <w:trHeight w:val="27"/>
        </w:trPr>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Patents and other technology</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years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19,471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22,278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17,646</w:t>
            </w: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232,081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124,784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231,565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109,646</w:t>
            </w:r>
          </w:p>
        </w:tc>
      </w:tr>
      <w:tr>
        <w:trPr>
          <w:trHeight w:val="27"/>
        </w:trPr>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do not estimate a residual value associated with these intangible assets. During the year ended October 31, 2017, we determined that triggering events occurred which necessitated a review of our long-term assets. Based on an undiscounted cash flow analysis, we determined that our defined-lived intangible assets were not impaired. In addition, we shortened the life of several defined-lived intangible assets, which resulted in the recognition of incremental amortization expense of $1.9 million for the year ended October 31, 2017. We did not incur any corresponding incremental amortization expense during the years ended October 31, 2019 and 2018. See additional disclosure at Note 1, "Nature of Operations, Basis of Presentation and Significant Accounting Policies - Restructuring."</w:t>
      </w:r>
    </w:p>
    <w:p>
      <w:pPr>
        <w:spacing w:after="0" w:line="13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each of the years ended October 31, 2019 and 2018, we retired fully amortized identifiable assets of $0.3 million related to customer relationships and patents and other technology, respectively.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aggregate amortization expense associated with identifiable intangible assets for the years ended October 31, 2019, 2018, and 2017 was $15.3 million, $16.2 million and $18.4 million, respectively.</w:t>
      </w:r>
    </w:p>
    <w:p>
      <w:pPr>
        <w:spacing w:after="0" w:line="1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Estimated remaining amortization expense, assuming current intangible balances and no new acquisitions, for future fiscal years ending October 31,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right"/>
              <w:ind w:right="754"/>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9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14,284</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12,562</w:t>
            </w:r>
          </w:p>
        </w:tc>
      </w:tr>
      <w:tr>
        <w:trPr>
          <w:trHeight w:val="27"/>
        </w:trPr>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11,941</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11,194</w:t>
            </w:r>
          </w:p>
        </w:tc>
      </w:tr>
      <w:tr>
        <w:trPr>
          <w:trHeight w:val="27"/>
        </w:trPr>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10,464</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46,852</w:t>
            </w:r>
          </w:p>
        </w:tc>
      </w:tr>
      <w:tr>
        <w:trPr>
          <w:trHeight w:val="27"/>
        </w:trPr>
        <w:tc>
          <w:tcPr>
            <w:tcW w:w="9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107,297</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incur impairment losses related to our identifiable intangible assets during the years ended October 31, 2019,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liabilities consisted of the following at October 31,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October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right"/>
              <w:ind w:right="150"/>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Payroll, payroll taxes and employee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19,637</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Accrued insurance and workers compensation</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3,514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allowances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6,323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compensation (current portion)</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Warranties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legal, and other 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2,403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2,165</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7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39,221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45,968</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Debt and Capital Lease Obligations</w:t>
            </w: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9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Long-term debt consisted of the following at October 31, 2019 and 2018: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October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right"/>
              <w:ind w:right="50"/>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142,500</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15,865</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157,160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778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156,414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July 29, 2016, we entered into a $450.0 million credit agreement comprising a $150.0 million Term Loan A and a $300.0 million revolving credit facility (collectively, the “2016 Credit Agreement”), with Wells Fargo Bank, National Association, as Agent, Swingline Lender and Issuing Lender, and Bank of America, N.A. serving as Syndication Agent. The 2016 Credit Agreement had a five-year term, maturing on July 29, 2021, and required interest payments calculated, at our election and depending upon our Consolidated Leverage Ratio, at either a Base Rate plus an applicable margin (0.50% to 1.25%) or the LIBOR Rate plus an applicable margin (1.50% to 2.25%). At the time of the initial borrowing, the applicable rate was LIBOR + 2.00%. In addition, we were subject to commitment fees for the unused portion of the 2016 Credit Agreement (0.20% to 0.30%).</w:t>
      </w:r>
    </w:p>
    <w:p>
      <w:pPr>
        <w:spacing w:after="0" w:line="9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October 18, 2018, we amended and extended the 2016 Credit Agreement by entering into a $325.0 million revolving credit facility (the “2018 Credit Facility”), with Wells Fargo Bank, National Association, as Agent, Swingline Lender and Issuing Lender, and Bank of America, N.A. serving as Syndication Agent. The 2018 Credit Facility has a five-year term, maturing on October 18, 2023, and required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2018 Credit Facility.</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Consolidated Leverage Ratio</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22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LIBOR Rate Loans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13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than or equal to 1.50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0.200%</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1.25%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9"/>
        </w:trPr>
        <w:tc>
          <w:tcPr>
            <w:tcW w:w="136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w w:val="98"/>
              </w:rPr>
              <w:t>Greater than 1.50 to 1.00, but less than or</w:t>
            </w:r>
          </w:p>
        </w:tc>
        <w:tc>
          <w:tcPr>
            <w:tcW w:w="2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rPr>
              <w:t>II</w:t>
            </w:r>
          </w:p>
        </w:tc>
        <w:tc>
          <w:tcPr>
            <w:tcW w:w="3460" w:type="dxa"/>
            <w:vAlign w:val="bottom"/>
          </w:tcPr>
          <w:p>
            <w:pPr>
              <w:ind w:left="160"/>
              <w:spacing w:after="0"/>
              <w:rPr>
                <w:sz w:val="20"/>
                <w:szCs w:val="20"/>
                <w:color w:val="auto"/>
              </w:rPr>
            </w:pPr>
            <w:r>
              <w:rPr>
                <w:rFonts w:ascii="Arial" w:cs="Arial" w:eastAsia="Arial" w:hAnsi="Arial"/>
                <w:sz w:val="18"/>
                <w:szCs w:val="18"/>
                <w:color w:val="auto"/>
              </w:rPr>
              <w:t>equal to 2.25 to 1.00</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0.225%</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0"/>
              </w:rPr>
              <w:t>1.50%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13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1360" w:type="dxa"/>
            <w:vAlign w:val="bottom"/>
            <w:shd w:val="clear" w:color="auto" w:fill="CCEEFF"/>
          </w:tcPr>
          <w:p>
            <w:pPr>
              <w:spacing w:after="0"/>
              <w:rPr>
                <w:sz w:val="19"/>
                <w:szCs w:val="19"/>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Greater than 2.25 to 1.00, but less than or</w:t>
            </w:r>
          </w:p>
        </w:tc>
        <w:tc>
          <w:tcPr>
            <w:tcW w:w="20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7"/>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equal to 3.00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0.250%</w:t>
            </w:r>
          </w:p>
        </w:tc>
        <w:tc>
          <w:tcPr>
            <w:tcW w:w="22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1.75%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rPr>
              <w:t>IV</w:t>
            </w:r>
          </w:p>
        </w:tc>
        <w:tc>
          <w:tcPr>
            <w:tcW w:w="3460" w:type="dxa"/>
            <w:vAlign w:val="bottom"/>
          </w:tcPr>
          <w:p>
            <w:pPr>
              <w:ind w:left="160"/>
              <w:spacing w:after="0"/>
              <w:rPr>
                <w:sz w:val="20"/>
                <w:szCs w:val="20"/>
                <w:color w:val="auto"/>
              </w:rPr>
            </w:pPr>
            <w:r>
              <w:rPr>
                <w:rFonts w:ascii="Arial" w:cs="Arial" w:eastAsia="Arial" w:hAnsi="Arial"/>
                <w:sz w:val="18"/>
                <w:szCs w:val="18"/>
                <w:color w:val="auto"/>
              </w:rPr>
              <w:t>Greater than 3.00 to 1.00</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0.300%</w:t>
            </w:r>
          </w:p>
        </w:tc>
        <w:tc>
          <w:tcPr>
            <w:tcW w:w="2280" w:type="dxa"/>
            <w:vAlign w:val="bottom"/>
          </w:tcPr>
          <w:p>
            <w:pPr>
              <w:jc w:val="center"/>
              <w:ind w:right="50"/>
              <w:spacing w:after="0"/>
              <w:rPr>
                <w:sz w:val="20"/>
                <w:szCs w:val="20"/>
                <w:color w:val="auto"/>
              </w:rPr>
            </w:pPr>
            <w:r>
              <w:rPr>
                <w:rFonts w:ascii="Arial" w:cs="Arial" w:eastAsia="Arial" w:hAnsi="Arial"/>
                <w:sz w:val="18"/>
                <w:szCs w:val="18"/>
                <w:color w:val="auto"/>
                <w:w w:val="90"/>
              </w:rPr>
              <w:t>2.00%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2018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Agreement.</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must be greater than 3.25 to 1.00.</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2018 Credit Facility. Some of these limitations, however, do not take effect so long as total leverage is less than or equal to 2.75 to 1.00 and available liquidity exceeds $25 million. Substantially all of our domestic assets, with the exception of real property were utilized as collateral for the Credit Agreement.</w:t>
      </w:r>
    </w:p>
    <w:p>
      <w:pPr>
        <w:spacing w:after="0" w:line="1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utilized initial borrowings of $205.0 million from the 2018 Credit Facility, along with additional funding of $10.0 million of cash on hand, to repay outstanding borrowings under the 2016 Credit Agreement of $213.5 million, to settle outstanding interest accrued and loan fees under the prior facility, and to pay loan fees associated with the 2018 Credit Agreement which totaled $1.0 million. We expensed $1.1 million of unamortized deferred financing fees associated with the 2016 Credit Agreement, while deferring the remaining $0.5 million of unamortized deferred financing fees attributable to the remaining lenders from the previous facility over the life of the 2018 Credit Facility.</w:t>
      </w:r>
    </w:p>
    <w:p>
      <w:pPr>
        <w:spacing w:after="0" w:line="10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of October 31, 2019, we had $142.5 million of borrowings outstanding under the 2018 Credit Facility (reduced by unamortized debt issuance costs of $1.2 million), $4.8 million of outstanding letters of credit and $15.9 million outstanding under capital leases. We had $177.7 million available for use under the 2018 Credit Facility at October 31, 2019. The borrowings outstanding as of October 31, 2019 under the 2018 Credit Facility accrue interest at 3.30% per annum, and our weighted average borrowing rate for borrowings outstanding during the years ended October 31, 2019 and 2018 was 4.07% and 3.76%, respectively. We were in compliance with our debt covenants as of October 31, 2019.</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Instruments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maintain certain capital lease obligations related to equipment purchases, vehicles, and warehouse space. The cost and accumulated depreciation of property, plant and equipment under capital leases at October 31, 2019 was $16.6 million and $3.7 million. These obligations accrue interest at an average rate of 3.60%, and extend through the year 2037.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presents the scheduled maturity dates of our long-term debt outstanding (excluding deferred loan costs of $1.2 million ) at October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Revolving Credit Facility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Leases and Other</w:t>
            </w:r>
          </w:p>
        </w:tc>
        <w:tc>
          <w:tcPr>
            <w:tcW w:w="180" w:type="dxa"/>
            <w:vAlign w:val="bottom"/>
          </w:tcPr>
          <w:p>
            <w:pPr>
              <w:spacing w:after="0"/>
              <w:rPr>
                <w:sz w:val="14"/>
                <w:szCs w:val="14"/>
                <w:color w:val="auto"/>
              </w:rPr>
            </w:pPr>
          </w:p>
        </w:tc>
        <w:tc>
          <w:tcPr>
            <w:tcW w:w="1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7"/>
              </w:rPr>
              <w:t>Aggregate Maturities</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142,500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143,508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11,388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11,388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have a number of retirement plans covering substantially all employees. We provide both defined benefit and defined contribution plans. In general, an employee’s coverage for retirement benefits depends on the location of employment.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a non-contributory, single employer defined benefit pension plan that covers the majority of our domestic employees, excluding the Woodcraft employees who are not currently participating. Effective January 1, 2007, we amended this defined benefit pension plan to include a cash balance formula for all new salaried employees hired on or after January 1, 2007 and for any non-union employees who were not participating in a defined benefit plan prior to January 1, 2007. All participating salaried employees hired after January 1, 2007, are eligible to receive credits equivalent to 4% of their annual eligible wages. Some of the employees at the time of the amendment were “grandfathered” and are eligible to receive credits ranging up to 6.5% based upon a percentage of benefits received under our defined benefit plan prior to this amendment of the pension plan. Additionally, every year the participants will receive an interest related credit on their respective balance equivalent to the prevailing 30-year Treasury rate. For employees who were participating in this plan prior to January 1, 2007, the benefit formula is a more traditional formula for retirement benefits, whereby the plan pays benefits to employees upon retirement, using a formula which considers years of service and pensionable compensation prior to retirement. Of our pension plan participants, 99% have their benefit determined pursuant to the cash balance formula.</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Medicare Prescription Drug, Improvement and Modernization Act of 2003 (the "Act") was signed into law on December 8, 2003. This Act introduces a Medicare prescription-drug benefit beginning in 2006 as well as a federal subsidy to sponsors of retiree health care plans that provide a benefit at least “actuarially equivalent” to the Medicare benefit. We concluded that our plans are at least “actuarially equivalent” to the Medicare benefit. For those who are otherwise eligible for the subsidy, we have not included this subsidy per the Act in our benefit calculations. The impact to net periodic benefit cost and to benefits paid did not have a material impact on the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 and Net periodic Benefit Cost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changes in benefit obligation and plan assets, and our funded status (reported in deferred pension and postretirement benefits on the consolidated balance sheets)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October 31,</w:t>
            </w:r>
          </w:p>
        </w:tc>
        <w:tc>
          <w:tcPr>
            <w:tcW w:w="1040" w:type="dxa"/>
            <w:vAlign w:val="bottom"/>
            <w:tcBorders>
              <w:bottom w:val="single" w:sz="8" w:color="auto"/>
            </w:tcBorders>
          </w:tcPr>
          <w:p>
            <w:pPr>
              <w:spacing w:after="0"/>
              <w:rPr>
                <w:sz w:val="16"/>
                <w:szCs w:val="16"/>
                <w:color w:val="auto"/>
              </w:rPr>
            </w:pPr>
          </w:p>
        </w:tc>
      </w:tr>
      <w:tr>
        <w:trPr>
          <w:trHeight w:val="263"/>
        </w:trPr>
        <w:tc>
          <w:tcPr>
            <w:tcW w:w="8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77"/>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Change in Benefit Obligation:</w:t>
            </w:r>
          </w:p>
        </w:tc>
        <w:tc>
          <w:tcPr>
            <w:tcW w:w="360" w:type="dxa"/>
            <w:vAlign w:val="bottom"/>
          </w:tcPr>
          <w:p>
            <w:pPr>
              <w:spacing w:after="0"/>
              <w:rPr>
                <w:sz w:val="15"/>
                <w:szCs w:val="15"/>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5"/>
                <w:szCs w:val="15"/>
                <w:color w:val="auto"/>
              </w:rPr>
            </w:pPr>
          </w:p>
        </w:tc>
      </w:tr>
      <w:tr>
        <w:trPr>
          <w:trHeight w:val="255"/>
        </w:trPr>
        <w:tc>
          <w:tcPr>
            <w:tcW w:w="8240" w:type="dxa"/>
            <w:vAlign w:val="bottom"/>
          </w:tcPr>
          <w:p>
            <w:pPr>
              <w:ind w:left="40"/>
              <w:spacing w:after="0"/>
              <w:rPr>
                <w:sz w:val="20"/>
                <w:szCs w:val="20"/>
                <w:color w:val="auto"/>
              </w:rPr>
            </w:pPr>
            <w:r>
              <w:rPr>
                <w:rFonts w:ascii="Arial" w:cs="Arial" w:eastAsia="Arial" w:hAnsi="Arial"/>
                <w:sz w:val="18"/>
                <w:szCs w:val="18"/>
                <w:color w:val="auto"/>
              </w:rPr>
              <w:t>Beginning balance as of November 1, 2018 and 2017,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35,959</w:t>
            </w:r>
          </w:p>
        </w:tc>
        <w:tc>
          <w:tcPr>
            <w:tcW w:w="2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38,323</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Actuarial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9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October 31,</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44,323</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35,959</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Plan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Beginning balance as of November 1, 2018 and 2017,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32,064</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34,340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764</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October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31,212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32,064</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Non current liability - Funded Status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(13,111)</w:t>
            </w:r>
          </w:p>
        </w:tc>
        <w:tc>
          <w:tcPr>
            <w:tcW w:w="2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(3,895)</w:t>
            </w:r>
          </w:p>
        </w:tc>
      </w:tr>
    </w:tbl>
    <w:p>
      <w:pPr>
        <w:spacing w:after="0" w:line="3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October 31, 2019 and 2018, included in our accumulated comprehensive loss was a net actuarial loss of $6.7 million and $3.0 million, respectively. There were no net prior service costs or transition obligations for the years ended October 31, 2019 and 2018.</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October 31, 2019 and 2018, the accumulated benefit obligation was $43.3 million and $35.4 million, respectively. The accumulated benefit obligation is the present value of pension benefits (whether vested or unvested) attributed to employee service rendered before the measurement date, and based on employee service and compensation prior to that date. The accumulated benefit obligation differs from the projected benefit obligation in that it includes no assumption about future compensation levels.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periodic benefit cost for the years ended October 31, 2019, 2018 and 2017,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8"/>
        </w:trPr>
        <w:tc>
          <w:tcPr>
            <w:tcW w:w="3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3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63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9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changes in plan assets and projected benefit obligations which were recognized in our other comprehensive loss for the years ended October 31, 2019, 2018 and 2017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48"/>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arising during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Amortization of 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574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6,572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Date and Assumptions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generally determine our actuarial assumptions on an annual basis, with a measurement date of October 31. The following table presents our assumptions for pension benefit calculations for the years ended October 31, 2019, 2018 and 2017:</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For the Year Ended October 31,</w:t>
            </w:r>
          </w:p>
        </w:tc>
        <w:tc>
          <w:tcPr>
            <w:tcW w:w="1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200" w:type="dxa"/>
            <w:vAlign w:val="bottom"/>
          </w:tcPr>
          <w:p>
            <w:pPr>
              <w:spacing w:after="0"/>
              <w:rPr>
                <w:sz w:val="22"/>
                <w:szCs w:val="22"/>
                <w:color w:val="auto"/>
              </w:rPr>
            </w:pPr>
          </w:p>
        </w:tc>
        <w:tc>
          <w:tcPr>
            <w:tcW w:w="9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2019</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560" w:type="dxa"/>
            <w:vAlign w:val="bottom"/>
          </w:tcPr>
          <w:p>
            <w:pPr>
              <w:spacing w:after="0"/>
              <w:rPr>
                <w:sz w:val="22"/>
                <w:szCs w:val="22"/>
                <w:color w:val="auto"/>
              </w:rPr>
            </w:pPr>
          </w:p>
        </w:tc>
        <w:tc>
          <w:tcPr>
            <w:tcW w:w="82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89"/>
              </w:rPr>
              <w:t>2019</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8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Weighted Average Assumptions:</w:t>
            </w:r>
          </w:p>
        </w:tc>
        <w:tc>
          <w:tcPr>
            <w:tcW w:w="9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Benefit Obligation</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Net Periodic Benefit Cost</w:t>
            </w:r>
          </w:p>
        </w:tc>
        <w:tc>
          <w:tcPr>
            <w:tcW w:w="820" w:type="dxa"/>
            <w:vAlign w:val="bottom"/>
            <w:tcBorders>
              <w:bottom w:val="single" w:sz="8" w:color="auto"/>
            </w:tcBorders>
          </w:tcPr>
          <w:p>
            <w:pPr>
              <w:spacing w:after="0"/>
              <w:rPr>
                <w:sz w:val="21"/>
                <w:szCs w:val="2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3"/>
              </w:rPr>
              <w:t>3.10%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4.44%</w:t>
            </w:r>
          </w:p>
        </w:tc>
        <w:tc>
          <w:tcPr>
            <w:tcW w:w="940" w:type="dxa"/>
            <w:vAlign w:val="bottom"/>
            <w:tcBorders>
              <w:bottom w:val="single" w:sz="8" w:color="CCEEFF"/>
            </w:tcBorders>
            <w:shd w:val="clear" w:color="auto" w:fill="CCEEFF"/>
          </w:tcPr>
          <w:p>
            <w:pPr>
              <w:jc w:val="center"/>
              <w:ind w:right="17"/>
              <w:spacing w:after="0"/>
              <w:rPr>
                <w:sz w:val="20"/>
                <w:szCs w:val="20"/>
                <w:color w:val="auto"/>
              </w:rPr>
            </w:pPr>
            <w:r>
              <w:rPr>
                <w:rFonts w:ascii="Arial" w:cs="Arial" w:eastAsia="Arial" w:hAnsi="Arial"/>
                <w:sz w:val="18"/>
                <w:szCs w:val="18"/>
                <w:color w:val="auto"/>
                <w:w w:val="93"/>
              </w:rPr>
              <w:t>3.68%</w:t>
            </w: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90"/>
              </w:rPr>
              <w:t>4.44%</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3.68%</w:t>
            </w:r>
          </w:p>
        </w:tc>
        <w:tc>
          <w:tcPr>
            <w:tcW w:w="82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0"/>
              </w:rPr>
              <w:t>3.66%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3"/>
              </w:rPr>
              <w:t>3.00%</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940" w:type="dxa"/>
            <w:vAlign w:val="bottom"/>
          </w:tcPr>
          <w:p>
            <w:pPr>
              <w:jc w:val="center"/>
              <w:ind w:right="17"/>
              <w:spacing w:after="0"/>
              <w:rPr>
                <w:sz w:val="20"/>
                <w:szCs w:val="20"/>
                <w:color w:val="auto"/>
              </w:rPr>
            </w:pPr>
            <w:r>
              <w:rPr>
                <w:rFonts w:ascii="Arial" w:cs="Arial" w:eastAsia="Arial" w:hAnsi="Arial"/>
                <w:sz w:val="18"/>
                <w:szCs w:val="18"/>
                <w:color w:val="auto"/>
                <w:w w:val="93"/>
              </w:rPr>
              <w:t>3.00%</w:t>
            </w:r>
          </w:p>
        </w:tc>
        <w:tc>
          <w:tcPr>
            <w:tcW w:w="560" w:type="dxa"/>
            <w:vAlign w:val="bottom"/>
          </w:tcPr>
          <w:p>
            <w:pPr>
              <w:spacing w:after="0"/>
              <w:rPr>
                <w:sz w:val="21"/>
                <w:szCs w:val="21"/>
                <w:color w:val="auto"/>
              </w:rPr>
            </w:pPr>
          </w:p>
        </w:tc>
        <w:tc>
          <w:tcPr>
            <w:tcW w:w="820" w:type="dxa"/>
            <w:vAlign w:val="bottom"/>
          </w:tcPr>
          <w:p>
            <w:pPr>
              <w:jc w:val="center"/>
              <w:ind w:left="114"/>
              <w:spacing w:after="0"/>
              <w:rPr>
                <w:sz w:val="20"/>
                <w:szCs w:val="20"/>
                <w:color w:val="auto"/>
              </w:rPr>
            </w:pPr>
            <w:r>
              <w:rPr>
                <w:rFonts w:ascii="Arial" w:cs="Arial" w:eastAsia="Arial" w:hAnsi="Arial"/>
                <w:sz w:val="18"/>
                <w:szCs w:val="18"/>
                <w:color w:val="auto"/>
                <w:w w:val="90"/>
              </w:rPr>
              <w:t>3.00%</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3.00%</w:t>
            </w:r>
          </w:p>
        </w:tc>
        <w:tc>
          <w:tcPr>
            <w:tcW w:w="820" w:type="dxa"/>
            <w:vAlign w:val="bottom"/>
          </w:tcPr>
          <w:p>
            <w:pPr>
              <w:jc w:val="center"/>
              <w:ind w:right="114"/>
              <w:spacing w:after="0"/>
              <w:rPr>
                <w:sz w:val="20"/>
                <w:szCs w:val="20"/>
                <w:color w:val="auto"/>
              </w:rPr>
            </w:pPr>
            <w:r>
              <w:rPr>
                <w:rFonts w:ascii="Arial" w:cs="Arial" w:eastAsia="Arial" w:hAnsi="Arial"/>
                <w:sz w:val="18"/>
                <w:szCs w:val="18"/>
                <w:color w:val="auto"/>
                <w:w w:val="90"/>
              </w:rPr>
              <w:t>3.00%</w:t>
            </w:r>
          </w:p>
        </w:tc>
      </w:tr>
      <w:tr>
        <w:trPr>
          <w:trHeight w:val="27"/>
        </w:trPr>
        <w:tc>
          <w:tcPr>
            <w:tcW w:w="4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0"/>
              </w:rPr>
              <w:t>6.50%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82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90"/>
              </w:rPr>
              <w:t>6.50%</w:t>
            </w:r>
          </w:p>
        </w:tc>
      </w:tr>
      <w:tr>
        <w:trPr>
          <w:trHeight w:val="27"/>
        </w:trPr>
        <w:tc>
          <w:tcPr>
            <w:tcW w:w="4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discount rate was used to calculate the present value of the projected benefit obligation for pension benefits. The rate reflects the amount at which benefits could be effectively settled on the measurement date. We used a RATE: Link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expected return on plan assets was used to determine net periodic pension expense. The rate of return assumptions were based on projected long-term market returns for the various asset classes in which the plans were invested, weighted by the target asset allocations. We review the return assumption at least annually. The rate of compensation increase represents the long-term assumption for expected increases in salaries.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provide our target allocation for the year ended October 31, 2019, as well as the actual asset allocation by asset category and fair value measurements as of October 31, 2019 and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9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Target Allocation</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Actual Allocation</w:t>
            </w:r>
          </w:p>
        </w:tc>
        <w:tc>
          <w:tcPr>
            <w:tcW w:w="1520" w:type="dxa"/>
            <w:vAlign w:val="bottom"/>
            <w:tcBorders>
              <w:bottom w:val="single" w:sz="8" w:color="auto"/>
            </w:tcBorders>
          </w:tcPr>
          <w:p>
            <w:pPr>
              <w:spacing w:after="0"/>
              <w:rPr>
                <w:sz w:val="16"/>
                <w:szCs w:val="16"/>
                <w:color w:val="auto"/>
              </w:rPr>
            </w:pPr>
          </w:p>
        </w:tc>
      </w:tr>
      <w:tr>
        <w:trPr>
          <w:trHeight w:val="263"/>
        </w:trPr>
        <w:tc>
          <w:tcPr>
            <w:tcW w:w="5040" w:type="dxa"/>
            <w:vAlign w:val="bottom"/>
          </w:tcPr>
          <w:p>
            <w:pPr>
              <w:spacing w:after="0"/>
              <w:rPr>
                <w:sz w:val="22"/>
                <w:szCs w:val="22"/>
                <w:color w:val="auto"/>
              </w:rPr>
            </w:pPr>
          </w:p>
        </w:tc>
        <w:tc>
          <w:tcPr>
            <w:tcW w:w="2200" w:type="dxa"/>
            <w:vAlign w:val="bottom"/>
            <w:gridSpan w:val="2"/>
          </w:tcPr>
          <w:p>
            <w:pPr>
              <w:ind w:left="460"/>
              <w:spacing w:after="0"/>
              <w:rPr>
                <w:sz w:val="20"/>
                <w:szCs w:val="20"/>
                <w:color w:val="auto"/>
              </w:rPr>
            </w:pPr>
            <w:r>
              <w:rPr>
                <w:rFonts w:ascii="Arial" w:cs="Arial" w:eastAsia="Arial" w:hAnsi="Arial"/>
                <w:sz w:val="14"/>
                <w:szCs w:val="14"/>
                <w:b w:val="1"/>
                <w:bCs w:val="1"/>
                <w:color w:val="auto"/>
              </w:rPr>
              <w:t>October 31, 2019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80" w:type="dxa"/>
            <w:vAlign w:val="bottom"/>
            <w:gridSpan w:val="3"/>
          </w:tcPr>
          <w:p>
            <w:pPr>
              <w:ind w:left="140"/>
              <w:spacing w:after="0"/>
              <w:rPr>
                <w:sz w:val="20"/>
                <w:szCs w:val="20"/>
                <w:color w:val="auto"/>
              </w:rPr>
            </w:pPr>
            <w:r>
              <w:rPr>
                <w:rFonts w:ascii="Arial" w:cs="Arial" w:eastAsia="Arial" w:hAnsi="Arial"/>
                <w:sz w:val="14"/>
                <w:szCs w:val="14"/>
                <w:b w:val="1"/>
                <w:bCs w:val="1"/>
                <w:color w:val="auto"/>
              </w:rPr>
              <w:t>October 31, 2019</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jc w:val="right"/>
              <w:ind w:right="392"/>
              <w:spacing w:after="0"/>
              <w:rPr>
                <w:sz w:val="20"/>
                <w:szCs w:val="20"/>
                <w:color w:val="auto"/>
              </w:rPr>
            </w:pPr>
            <w:r>
              <w:rPr>
                <w:rFonts w:ascii="Arial" w:cs="Arial" w:eastAsia="Arial" w:hAnsi="Arial"/>
                <w:sz w:val="14"/>
                <w:szCs w:val="14"/>
                <w:b w:val="1"/>
                <w:bCs w:val="1"/>
                <w:color w:val="auto"/>
                <w:w w:val="90"/>
              </w:rPr>
              <w:t>October 31, 2018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5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399"/>
        </w:trPr>
        <w:tc>
          <w:tcPr>
            <w:tcW w:w="5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1072"/>
              <w:spacing w:after="0"/>
              <w:rPr>
                <w:sz w:val="20"/>
                <w:szCs w:val="20"/>
                <w:color w:val="auto"/>
              </w:rPr>
            </w:pPr>
            <w:r>
              <w:rPr>
                <w:rFonts w:ascii="Arial" w:cs="Arial" w:eastAsia="Arial" w:hAnsi="Arial"/>
                <w:sz w:val="14"/>
                <w:szCs w:val="14"/>
                <w:b w:val="1"/>
                <w:bCs w:val="1"/>
                <w:color w:val="auto"/>
              </w:rPr>
              <w:t>Fair Value Measurements at</w:t>
            </w:r>
          </w:p>
        </w:tc>
      </w:tr>
      <w:tr>
        <w:trPr>
          <w:trHeight w:val="264"/>
        </w:trPr>
        <w:tc>
          <w:tcPr>
            <w:tcW w:w="50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October 31, 2019</w:t>
            </w: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4"/>
              </w:rPr>
              <w:t>October 31, 2018</w:t>
            </w:r>
          </w:p>
        </w:tc>
      </w:tr>
      <w:tr>
        <w:trPr>
          <w:trHeight w:val="173"/>
        </w:trPr>
        <w:tc>
          <w:tcPr>
            <w:tcW w:w="5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5"/>
          </w:tcPr>
          <w:p>
            <w:pPr>
              <w:jc w:val="right"/>
              <w:ind w:right="30"/>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tcPr>
          <w:p>
            <w:pPr>
              <w:spacing w:after="0"/>
              <w:rPr>
                <w:sz w:val="15"/>
                <w:szCs w:val="15"/>
                <w:color w:val="auto"/>
              </w:rPr>
            </w:pPr>
          </w:p>
        </w:tc>
      </w:tr>
      <w:tr>
        <w:trPr>
          <w:trHeight w:val="259"/>
        </w:trPr>
        <w:tc>
          <w:tcPr>
            <w:tcW w:w="5040" w:type="dxa"/>
            <w:vAlign w:val="bottom"/>
          </w:tcPr>
          <w:p>
            <w:pPr>
              <w:ind w:left="40"/>
              <w:spacing w:after="0"/>
              <w:rPr>
                <w:sz w:val="20"/>
                <w:szCs w:val="20"/>
                <w:color w:val="auto"/>
              </w:rPr>
            </w:pPr>
            <w:r>
              <w:rPr>
                <w:rFonts w:ascii="Arial" w:cs="Arial" w:eastAsia="Arial" w:hAnsi="Arial"/>
                <w:sz w:val="18"/>
                <w:szCs w:val="18"/>
                <w:color w:val="auto"/>
              </w:rPr>
              <w:t>Money market fund</w:t>
            </w:r>
          </w:p>
        </w:tc>
        <w:tc>
          <w:tcPr>
            <w:tcW w:w="1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597</w:t>
            </w:r>
          </w:p>
        </w:tc>
      </w:tr>
      <w:tr>
        <w:trPr>
          <w:trHeight w:val="27"/>
        </w:trPr>
        <w:tc>
          <w:tcPr>
            <w:tcW w:w="5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Large capitalization</w:t>
            </w:r>
          </w:p>
        </w:tc>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8,092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8,362</w:t>
            </w:r>
          </w:p>
        </w:tc>
      </w:tr>
      <w:tr>
        <w:trPr>
          <w:trHeight w:val="27"/>
        </w:trPr>
        <w:tc>
          <w:tcPr>
            <w:tcW w:w="5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Small capitalization</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International equity</w:t>
            </w:r>
          </w:p>
        </w:tc>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6,219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6,385</w:t>
            </w:r>
          </w:p>
        </w:tc>
      </w:tr>
      <w:tr>
        <w:trPr>
          <w:trHeight w:val="27"/>
        </w:trPr>
        <w:tc>
          <w:tcPr>
            <w:tcW w:w="5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19,219</w:t>
            </w:r>
          </w:p>
        </w:tc>
      </w:tr>
      <w:tr>
        <w:trPr>
          <w:trHeight w:val="27"/>
        </w:trPr>
        <w:tc>
          <w:tcPr>
            <w:tcW w:w="5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50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High-quality core bond</w:t>
            </w:r>
          </w:p>
        </w:tc>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9,525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9,736</w:t>
            </w:r>
          </w:p>
        </w:tc>
      </w:tr>
      <w:tr>
        <w:trPr>
          <w:trHeight w:val="27"/>
        </w:trPr>
        <w:tc>
          <w:tcPr>
            <w:tcW w:w="5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High-quality government bond</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High-yield bond</w:t>
            </w:r>
          </w:p>
        </w:tc>
        <w:tc>
          <w:tcPr>
            <w:tcW w:w="1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1,237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1,261</w:t>
            </w:r>
          </w:p>
        </w:tc>
      </w:tr>
      <w:tr>
        <w:trPr>
          <w:trHeight w:val="27"/>
        </w:trPr>
        <w:tc>
          <w:tcPr>
            <w:tcW w:w="50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12,248</w:t>
            </w:r>
          </w:p>
        </w:tc>
      </w:tr>
      <w:tr>
        <w:trPr>
          <w:trHeight w:val="270"/>
        </w:trPr>
        <w:tc>
          <w:tcPr>
            <w:tcW w:w="5040" w:type="dxa"/>
            <w:vAlign w:val="bottom"/>
          </w:tcPr>
          <w:p>
            <w:pPr>
              <w:ind w:left="380"/>
              <w:spacing w:after="0" w:line="270" w:lineRule="exact"/>
              <w:rPr>
                <w:sz w:val="20"/>
                <w:szCs w:val="20"/>
                <w:color w:val="auto"/>
              </w:rPr>
            </w:pPr>
            <w:r>
              <w:rPr>
                <w:rFonts w:ascii="Arial" w:cs="Arial" w:eastAsia="Arial" w:hAnsi="Arial"/>
                <w:sz w:val="18"/>
                <w:szCs w:val="18"/>
                <w:color w:val="auto"/>
              </w:rPr>
              <w:t>Total securities</w:t>
            </w:r>
            <w:r>
              <w:rPr>
                <w:rFonts w:ascii="Arial" w:cs="Arial" w:eastAsia="Arial" w:hAnsi="Arial"/>
                <w:sz w:val="25"/>
                <w:szCs w:val="25"/>
                <w:color w:val="auto"/>
                <w:vertAlign w:val="superscript"/>
              </w:rPr>
              <w:t>(1)</w:t>
            </w:r>
          </w:p>
        </w:tc>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31,212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32,064</w:t>
            </w:r>
          </w:p>
        </w:tc>
      </w:tr>
      <w:tr>
        <w:trPr>
          <w:trHeight w:val="20"/>
        </w:trPr>
        <w:tc>
          <w:tcPr>
            <w:tcW w:w="5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hanging="170"/>
        <w:spacing w:after="0"/>
        <w:tabs>
          <w:tab w:leader="none" w:pos="34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Quoted prices in active markets for identical assets (Level 1).</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Inputs and valuation techniques used to measure the fair value of plan assets vary according to the type of security being valued. All of the equity and debt securities held directly by the plans were actively traded and fair values were determined based on quoted market prices.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investment objective for defined benefit plan assets is to meet the plans’ benefit obligations, while minimizing the potential for future required plan contributions. The investment strategies focus on asset class diversification, liquidity to meet benefit payments and an appropriate balance of long-term investment return and risk. Target ranges for asset allocations are determined by matching the actuarial projections of the plans’ future liabilities and benefit payments with expected long-term rates of return on the assets, taking into account investment return volatility and correlations across asset classes. Plan assets are diversified across several investment managers and are generally invested in liquid funds that are selected to track broad market equity and bond indices. Investment risk is carefully controlled with plan assets rebalanced to target allocations on a periodic basis and monitoring of performance of investment managers relative to the investment guidelines established with each investment manager.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Benefit Payments and Funding</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pension funding policy is to make the minimum annual contributions required pursuant to the plan. We accelerated contributions to target a 100% funding threshold. Additionally, we consider funding annual requirements early in the fiscal year to potentially maximize the return on assets. For the fiscal years ended October 31, 2019, 2018 and 2017, we made total pension contributions of $0.7 million, $0.8 million and $3.6 million, respectively.</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2020, we expect to contribute approximately $3.7 million to the pension plan to reach targeted funding levels and meet minimum contribution requirements. This expected contribution level will be dependent on many variables, including the market value of the assets compared to the obligation, as well as other market or regulatory conditions. In addition, we consider the cash requirements of our business investment opportunities. Accordingly, actual funding amounts and the timing of such funding may differ from current estimates.</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total benefit payments expected to be paid to participants by year, which includes payments funded from our assets, as well as payments paid from the plan for the year ended October 31,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Pension Benefits</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3,227</w:t>
            </w:r>
          </w:p>
        </w:tc>
      </w:tr>
      <w:tr>
        <w:trPr>
          <w:trHeight w:val="27"/>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3,187</w:t>
            </w:r>
          </w:p>
        </w:tc>
      </w:tr>
      <w:tr>
        <w:trPr>
          <w:trHeight w:val="27"/>
        </w:trPr>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2025 - 2029</w:t>
            </w:r>
          </w:p>
        </w:tc>
        <w:tc>
          <w:tcPr>
            <w:tcW w:w="3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17,098</w:t>
            </w:r>
          </w:p>
        </w:tc>
      </w:tr>
      <w:tr>
        <w:trPr>
          <w:trHeight w:val="27"/>
        </w:trPr>
        <w:tc>
          <w:tcPr>
            <w:tcW w:w="9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33,226</w:t>
            </w: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sponsor a defined contribution plan into which we and our employees make contributions. We merged a predecessor plan sponsored by Woodcraft into our defined contribution plan effective January 1, 2017. We match 50% up to the first 5% of employee annual salary deferrals under our existing plan. Beginning January 1, 2018, the plan was amended to provide the same match to Woodcraft employees. Prior to January 1, 2018, we matched 35% up to the first 5% of employee deferrals for employees who participated in the predecessor Woodcraft plan. We do not offer our common stock as a direct investment option under these plans. For the years ended October 31, 2019, 2018 and 2017, we contributed approximately $2.7 million, $2.6 million and $2.4 million for these plans,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our postretirement benefit plan, we provide certain healthcare and life insurance benefits for a small number of eligible retired employees who were employed prior to January 1, 1993. Certain employees may become eligible for those benefits if they reach normal retirement age while working for us. We continue to fund benefit costs on a pay-as-you-go basis. The table below indicates the amount of these liabilities included in the accompanying consolidated balance sheets:</w:t>
      </w:r>
    </w:p>
    <w:p>
      <w:pPr>
        <w:spacing w:after="0" w:line="1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October 31, 2019</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October 31, 2018</w:t>
            </w:r>
          </w:p>
        </w:tc>
      </w:tr>
      <w:tr>
        <w:trPr>
          <w:trHeight w:val="181"/>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4"/>
          </w:tcPr>
          <w:p>
            <w:pPr>
              <w:jc w:val="right"/>
              <w:ind w:right="1194"/>
              <w:spacing w:after="0"/>
              <w:rPr>
                <w:sz w:val="20"/>
                <w:szCs w:val="20"/>
                <w:color w:val="auto"/>
              </w:rPr>
            </w:pPr>
            <w:r>
              <w:rPr>
                <w:rFonts w:ascii="Arial" w:cs="Arial" w:eastAsia="Arial" w:hAnsi="Arial"/>
                <w:sz w:val="13"/>
                <w:szCs w:val="13"/>
                <w:b w:val="1"/>
                <w:bCs w:val="1"/>
                <w:color w:val="auto"/>
              </w:rPr>
              <w:t>(In thousands)</w:t>
            </w:r>
          </w:p>
        </w:tc>
      </w:tr>
      <w:tr>
        <w:trPr>
          <w:trHeight w:val="25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Deferred pension and postretirement benefits</w:t>
            </w:r>
          </w:p>
        </w:tc>
        <w:tc>
          <w:tcPr>
            <w:tcW w:w="20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323</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have supplemental benefit plans covering certain executive officers and a non-qualified deferred compensation plan covering members of the Board of Directors and certain key employees. Our liability under the supplemental benefit plan was approximately $4.2 million and $3.4 million as of October 31, 2019 and 2018, and our liability under the deferred compensation plan was approximately $3.8 million and $3.5 million, respectively. As of October 31, 2019 and 2018, the current portion of these liabilities was recorded under the caption "Accrued Liabilities," and the long-term portion was included under the caption "Other Liabilities" in the accompanying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Warranty Obligations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accrue warranty obligations as we recognize revenue associated with certain products. We make provisions for our warranty obligations based upon historical experience of costs incurred for such obligations adjusted, as necessary, for current conditions and factors. There are significant uncertainties and judgments involved in estimating our warranty obligations, including changing product designs, differences in customer installation processes and future claims experience which may vary from historical claims experience. Therefore, the ultimate amount we incur as warranty costs in the near and long-term may not be consistent with our current estimate.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reconciliation of the activity related to our accrued warranty, including both the current and long-term portions (reported in accrued liabilities and other liabilities, respectively, on the accompanying consolidated balance sheets)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October 31,</w:t>
            </w:r>
          </w:p>
        </w:tc>
        <w:tc>
          <w:tcPr>
            <w:tcW w:w="940" w:type="dxa"/>
            <w:vAlign w:val="bottom"/>
            <w:tcBorders>
              <w:bottom w:val="single" w:sz="8" w:color="auto"/>
            </w:tcBorders>
          </w:tcPr>
          <w:p>
            <w:pPr>
              <w:spacing w:after="0"/>
              <w:rPr>
                <w:sz w:val="16"/>
                <w:szCs w:val="16"/>
                <w:color w:val="auto"/>
              </w:rPr>
            </w:pPr>
          </w:p>
        </w:tc>
      </w:tr>
      <w:tr>
        <w:trPr>
          <w:trHeight w:val="264"/>
        </w:trPr>
        <w:tc>
          <w:tcPr>
            <w:tcW w:w="80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83"/>
              </w:rPr>
              <w:t>2018</w:t>
            </w:r>
          </w:p>
        </w:tc>
      </w:tr>
      <w:tr>
        <w:trPr>
          <w:trHeight w:val="248"/>
        </w:trPr>
        <w:tc>
          <w:tcPr>
            <w:tcW w:w="8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20" w:type="dxa"/>
            <w:vAlign w:val="bottom"/>
            <w:gridSpan w:val="3"/>
          </w:tcPr>
          <w:p>
            <w:pPr>
              <w:jc w:val="right"/>
              <w:ind w:right="270"/>
              <w:spacing w:after="0"/>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21"/>
                <w:szCs w:val="21"/>
                <w:color w:val="auto"/>
              </w:rPr>
            </w:pPr>
          </w:p>
        </w:tc>
      </w:tr>
      <w:tr>
        <w:trPr>
          <w:trHeight w:val="25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 and 2017, respectively</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Provision for warranty expense</w:t>
            </w:r>
          </w:p>
        </w:tc>
        <w:tc>
          <w:tcPr>
            <w:tcW w:w="96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accrual for preexisting warranties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Warranty costs paid</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warranty</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Less: Current portion of accrued warranty</w:t>
            </w:r>
          </w:p>
        </w:tc>
        <w:tc>
          <w:tcPr>
            <w:tcW w:w="960" w:type="dxa"/>
            <w:vAlign w:val="bottom"/>
          </w:tcPr>
          <w:p>
            <w:pPr>
              <w:spacing w:after="0"/>
              <w:rPr>
                <w:sz w:val="21"/>
                <w:szCs w:val="21"/>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7"/>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portion at October 31,</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provide for income taxes on taxable income at the applicable statutory rates. The following table summarizes the components of income tax expense (benefit) for the years ended October 31, 2019, 2018 and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October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40"/>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9"/>
        </w:trPr>
        <w:tc>
          <w:tcPr>
            <w:tcW w:w="6520" w:type="dxa"/>
            <w:vAlign w:val="bottom"/>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3,338</w:t>
            </w: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873</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Non-United States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3,879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4,067</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7,516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4,756</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6,931</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(5,828)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1,860</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Non-United States</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6520" w:type="dxa"/>
            <w:vAlign w:val="bottom"/>
          </w:tcPr>
          <w:p>
            <w:pPr>
              <w:ind w:left="1140"/>
              <w:spacing w:after="0"/>
              <w:rPr>
                <w:sz w:val="20"/>
                <w:szCs w:val="20"/>
                <w:color w:val="auto"/>
              </w:rPr>
            </w:pPr>
            <w:r>
              <w:rPr>
                <w:rFonts w:ascii="Arial" w:cs="Arial" w:eastAsia="Arial" w:hAnsi="Arial"/>
                <w:sz w:val="18"/>
                <w:szCs w:val="18"/>
                <w:color w:val="auto"/>
              </w:rPr>
              <w:t>Total income tax expense (benefit)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10,776</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6,819</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financial reporting purposes, (loss) income before income taxes for the years ended October 31, 2019, 2018 and 2017 includes the following components: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October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40"/>
        </w:trPr>
        <w:tc>
          <w:tcPr>
            <w:tcW w:w="6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9"/>
        </w:trPr>
        <w:tc>
          <w:tcPr>
            <w:tcW w:w="6480" w:type="dxa"/>
            <w:vAlign w:val="bottom"/>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(58,247)</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9,721</w:t>
            </w:r>
          </w:p>
        </w:tc>
        <w:tc>
          <w:tcPr>
            <w:tcW w:w="2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9,189</w:t>
            </w:r>
          </w:p>
        </w:tc>
      </w:tr>
      <w:tr>
        <w:trPr>
          <w:trHeight w:val="27"/>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22,293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16,032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16,313</w:t>
            </w:r>
          </w:p>
        </w:tc>
      </w:tr>
      <w:tr>
        <w:trPr>
          <w:trHeight w:val="257"/>
        </w:trPr>
        <w:tc>
          <w:tcPr>
            <w:tcW w:w="6480" w:type="dxa"/>
            <w:vAlign w:val="bottom"/>
          </w:tcPr>
          <w:p>
            <w:pPr>
              <w:ind w:left="380"/>
              <w:spacing w:after="0"/>
              <w:rPr>
                <w:sz w:val="20"/>
                <w:szCs w:val="20"/>
                <w:color w:val="auto"/>
              </w:rPr>
            </w:pPr>
            <w:r>
              <w:rPr>
                <w:rFonts w:ascii="Arial" w:cs="Arial" w:eastAsia="Arial" w:hAnsi="Arial"/>
                <w:sz w:val="18"/>
                <w:szCs w:val="18"/>
                <w:color w:val="auto"/>
              </w:rPr>
              <w:t>Total (loss) income before income taxes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(35,954)</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25,753</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25,502</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reconciles our effective income tax rate to the federal statutory rate for the years ended October 31, 2019, 2018 and 2017:</w:t>
      </w:r>
    </w:p>
    <w:p>
      <w:pPr>
        <w:sectPr>
          <w:pgSz w:w="11900" w:h="16838" w:orient="portrait"/>
          <w:cols w:equalWidth="0" w:num="1">
            <w:col w:w="11420"/>
          </w:cols>
          <w:pgMar w:left="240" w:top="125"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23495</wp:posOffset>
            </wp:positionV>
            <wp:extent cx="3267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United States tax at statutory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State and local income tax</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Non-United States income tax</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Deferred rate impact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(4.1)</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business credits</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(0.6)</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permanent differences</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Deferred rate impact of enactment of tax reform</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tax positions under the Act (GILTI and FDII)</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Tax impact of stock based compensation</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Impact of deemed repatriation</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380"/>
              <w:spacing w:after="0"/>
              <w:rPr>
                <w:sz w:val="20"/>
                <w:szCs w:val="20"/>
                <w:color w:val="auto"/>
              </w:rPr>
            </w:pPr>
            <w:r>
              <w:rPr>
                <w:rFonts w:ascii="Arial" w:cs="Arial" w:eastAsia="Arial" w:hAnsi="Arial"/>
                <w:sz w:val="18"/>
                <w:szCs w:val="18"/>
                <w:color w:val="auto"/>
              </w:rPr>
              <w:t>Asset impairment charges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89"/>
              </w:rPr>
              <w:t>(50.7)</w:t>
            </w:r>
          </w:p>
        </w:tc>
        <w:tc>
          <w:tcPr>
            <w:tcW w:w="220" w:type="dxa"/>
            <w:vAlign w:val="bottom"/>
          </w:tcPr>
          <w:p>
            <w:pPr>
              <w:spacing w:after="0"/>
              <w:rPr>
                <w:sz w:val="21"/>
                <w:szCs w:val="21"/>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to actual adjustments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57"/>
        </w:trPr>
        <w:tc>
          <w:tcPr>
            <w:tcW w:w="6280" w:type="dxa"/>
            <w:vAlign w:val="bottom"/>
          </w:tcPr>
          <w:p>
            <w:pPr>
              <w:ind w:left="720"/>
              <w:spacing w:after="0"/>
              <w:rPr>
                <w:sz w:val="20"/>
                <w:szCs w:val="20"/>
                <w:color w:val="auto"/>
              </w:rPr>
            </w:pPr>
            <w:r>
              <w:rPr>
                <w:rFonts w:ascii="Arial" w:cs="Arial" w:eastAsia="Arial" w:hAnsi="Arial"/>
                <w:sz w:val="18"/>
                <w:szCs w:val="18"/>
                <w:color w:val="auto"/>
              </w:rPr>
              <w:t>Effective tax rate</w:t>
            </w:r>
          </w:p>
        </w:tc>
        <w:tc>
          <w:tcPr>
            <w:tcW w:w="9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(30.0)%</w:t>
            </w:r>
          </w:p>
        </w:tc>
        <w:tc>
          <w:tcPr>
            <w:tcW w:w="2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26.7 %</w:t>
            </w:r>
          </w:p>
        </w:tc>
      </w:tr>
      <w:tr>
        <w:trPr>
          <w:trHeight w:val="20"/>
        </w:trPr>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22, 2017, the Tax Cuts and Jobs Act (the Act) was signed into law. The Act reduced our federal income tax statutory rate from 35.0% to 21.0% for the fiscal year ending October 31, 2019 and 23.3% for the fiscal year ended October 31, 2018, which reflects the period November 1, 2017 to December 31, 2017 at the previous 35.0% rate and the period January 1, 2018 to October 31, 2018 at the new 21.0% rate. The Act also imposed additional tax law changes that became effective during fiscal 2019, which include new requirements for a global intangible low-taxed income provision (GILTI) and a deduction for foreign-derived intangible income (FDII). We elected to account for the tax on GILTI as a period cost and therefore have not recorded deferred taxes related to GILTI on our foreign subsidiaries.</w:t>
      </w:r>
    </w:p>
    <w:p>
      <w:pPr>
        <w:spacing w:after="0" w:line="1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October 31, 2019 effective rate was primarily impacted by a net charge of $1.2 million related to GILTI and FDII, as well as discrete charge of $0.4 million for the adjustment of the one-time mandatory transition tax on deemed repatriation of previously tax-deferred and unremitted foreign earnings and $0.6 million related to the vesting or exercise of equity-based compensation awards. Additionally, during the year ended October 31, 2019, we recorded a $74.6 million asset impairment charge, which was primarily non-deductible, in the NA Cabinet Components segment, as further explained in Note 5, "Goodwill and Intangible Assets."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Discrete items contributing to the October 31, 2018 income tax benefit included $7.7 million for the re-measurement of our deferred income tax assets and liabilities due to the decrease in the federal corporate income tax rate, a benefit of $0.2 million for the true up of our accruals and related deferred taxes from prior year filings and settled tax audits, and a benefit of $0.2 million related to the vesting or exercise of equity-based compensation awards, partially offset by a tax expense of $1.2 million for the one-time mandatory transition tax on deemed repatriation of previously tax-deferred and unremitted foreign earnings.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the October 31, 2017 effective tax rate is due primarily to a greater proportion of U.S. taxable income in relation to foreign taxable income for the year. The U.S. tax rate is generally higher than the foreign tax rate. The effective rate is also lower due to a change over a period of three years in the deferred tax rate, primarily in the U.K., from 19% to 17%.</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Given the significance of the Act, the SEC staff issued Staff Accounting Bulletin No. 118 (SAB 118), which allows registrants to record provisional amounts during a one year “measurement period”. As of October 31, 2019, we have completed the accounting for the tax effects of the Act.</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light of the Act, we repatriated $24.2 million and $2.8 million of foreign earnings from our international operations during the years ended October 31, 2019 and 2018, respectively. This was repatriation of excess cash that was a portion of the one-time mandatory transition tax discussed above. We will continue to evaluate our foreign cash position and may repatriate additional foreign earnings in the future. With the exception of the one-time mandatory transition tax on deemed repatriation of previously tax-deferred and unremitted foreign earnings, we do not anticipate any material tax impact from any potential repatriation of previously unremitted foreign earnings. If the investment in our foreign subsidiaries were completely realized, we could incur an estimated residual U.S. tax liability of $0.1 million.</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the 2017 effective tax rate is due primarily to a greater proportion of U.S. taxable income in relation to foreign taxable income for the year. The U.S. tax rate is generally higher than the foreign tax rate. The effective rate is also lower due to a change over a period of three years in the deferred tax rate, primarily in the U.K., from 19% to 17%.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420"/>
              <w:spacing w:after="0"/>
              <w:rPr>
                <w:sz w:val="20"/>
                <w:szCs w:val="20"/>
                <w:color w:val="auto"/>
              </w:rPr>
            </w:pPr>
            <w:r>
              <w:rPr>
                <w:rFonts w:ascii="Arial" w:cs="Arial" w:eastAsia="Arial" w:hAnsi="Arial"/>
                <w:sz w:val="18"/>
                <w:szCs w:val="18"/>
                <w:color w:val="auto"/>
              </w:rPr>
              <w:t>Significant components of our net deferred tax liabilities and assets were as follows:</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7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October 31,</w:t>
            </w:r>
          </w:p>
        </w:tc>
        <w:tc>
          <w:tcPr>
            <w:tcW w:w="114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Pr>
          <w:p>
            <w:pPr>
              <w:spacing w:after="0"/>
              <w:rPr>
                <w:sz w:val="20"/>
                <w:szCs w:val="20"/>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benefit obligations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7,227</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Accrued liabilities and reserves</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benefit obligations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548</w:t>
            </w: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and tax credit carry forwards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gross deferred tax assets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16,895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17,774</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 net of valuation allowance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15,335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11,075</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Goodwill and intangibles</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23,623</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23,432</w:t>
            </w: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34,698</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34,009</w:t>
            </w:r>
          </w:p>
        </w:tc>
      </w:tr>
      <w:tr>
        <w:trPr>
          <w:trHeight w:val="284"/>
        </w:trPr>
        <w:tc>
          <w:tcPr>
            <w:tcW w:w="77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57"/>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deferred tax liabilities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19,363</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17,510</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At October 31, 2019, state operating loss carry forwards totaled $37.5 million. The majority of these losses begin to expire in 2025. Tax credits available to offset future tax liabilities totaled $1.4 million and are expected to be utilized within the next twelve months. We evaluate tax benefits of operating losses and tax credit carry forwards on an ongoing basis, including a review of historical and projected future operating results, the eligible carry forward period and other circumstances. We have recorded a valuation allowance for certain state net operating losses as of October 31, 2019 and 2018, totaling $1.6 million and $1.3 million, respectively ($1.2 million and $1.0 million, respectively, net of federal taxes) for the respective periods. In assessing the need for a valuation allowance, we consider both positive and negative evidence related to the likelihood of realization of the deferred tax assets.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reconciles the change in the unrecognized income tax benefit associated with uncertain tax positions for the years ended October 31, 2019, 2018 and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393"/>
              <w:spacing w:after="0"/>
              <w:rPr>
                <w:sz w:val="20"/>
                <w:szCs w:val="20"/>
                <w:color w:val="auto"/>
              </w:rPr>
            </w:pPr>
            <w:r>
              <w:rPr>
                <w:rFonts w:ascii="Arial" w:cs="Arial" w:eastAsia="Arial" w:hAnsi="Arial"/>
                <w:sz w:val="14"/>
                <w:szCs w:val="14"/>
                <w:b w:val="1"/>
                <w:bCs w:val="1"/>
                <w:color w:val="auto"/>
              </w:rPr>
              <w:t>Unrecognized</w:t>
            </w:r>
          </w:p>
        </w:tc>
      </w:tr>
      <w:tr>
        <w:trPr>
          <w:trHeight w:val="192"/>
        </w:trPr>
        <w:tc>
          <w:tcPr>
            <w:tcW w:w="9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Income Tax Benefits</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October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Additions for tax positions related to the current year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related to the prior year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at October 31,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591</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related to the current year</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Additions for tax positions related to the prior year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9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October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Additions for tax positions related to the current year</w:t>
            </w:r>
          </w:p>
        </w:tc>
        <w:tc>
          <w:tcPr>
            <w:tcW w:w="20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for tax positions related to the prior year</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Reassessment of position</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9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October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October 31, 2019, our unrecognized tax benefit (UTB) relates to certain state tax items regarding the interpretation of tax laws and regulations. At October 31, 2019, $0.6 million is recorded as a liability for uncertain tax positions. The disallowance of the UTB would not materially affect the annual effective tax rate.</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along with our subsidiaries, file income tax returns in the U.S. and various state jurisdictions as well as in the U.K., Germany and Canada. In certain jurisdictions, the statute of limitations has not yet expired. We generally remain subject to examination of our U.S. income tax returns for 2016 and subsequent years. We generally remain subject to examination of our various state and foreign income tax returns for a period of four to five years from the date the return was filed. The state impact of any federal changes remains subject to examination by various states for a period of up to one year after formal notification to the state of the federal change.</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We do not believe any of the UTB at October 31, 2019 will be recognized within the next twelve months.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 and Purchase Obligations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operating leases for certain real estate and equipment used in our business. Rental expense for the years ended October 31, 2019,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was $9.9 million, $9.5 million and $10.5 million, respectively.</w:t>
      </w:r>
    </w:p>
    <w:p>
      <w:pPr>
        <w:spacing w:after="0" w:line="15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are a party to non-cancelable purchase obligations primarily for door hardware, primary and secondary steel and primary and secondary aluminum used in our manufacturing processes, as well as expenditures related to capital projects in progress. We paid $11.1 million and $5.2 million pursuant to these arrangements for the years ended October 31, 2019 and 2018, respectively. These obligations total $18.7 million and $16.7 million at October 31, 2019 and 2018, respectively, and extend through fiscal 2018. Future amounts paid pursuant to these arrangements will depend, to some extent, on our usage.</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future minimum rental payments under operating leases with remaining terms in excess of one year at October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9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Leases</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6,981</w:t>
            </w:r>
          </w:p>
        </w:tc>
      </w:tr>
      <w:tr>
        <w:trPr>
          <w:trHeight w:val="27"/>
        </w:trPr>
        <w:tc>
          <w:tcPr>
            <w:tcW w:w="9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5,506</w:t>
            </w:r>
          </w:p>
        </w:tc>
      </w:tr>
      <w:tr>
        <w:trPr>
          <w:trHeight w:val="27"/>
        </w:trPr>
        <w:tc>
          <w:tcPr>
            <w:tcW w:w="9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15,220</w:t>
            </w:r>
          </w:p>
        </w:tc>
      </w:tr>
      <w:tr>
        <w:trPr>
          <w:trHeight w:val="27"/>
        </w:trPr>
        <w:tc>
          <w:tcPr>
            <w:tcW w:w="9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47,539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maintain an asset retirement obligation associated with a leased facility in Kent, Washington. We have estimated our future cash flows associated with this asset retirement obligation and recorded an asset and corresponding liability. We are depreciating the asset and accreting the liability over a seven year term, to culminate in an asset retirement obligation of $2.2 million as of February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expenses or capital expenditures related to environmental matters during the past three fiscal years, and do not expect to incur a material amount of such costs in fiscal 2020.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During the years ended October 31, 2018 and 2017, our insurance carrier reimbursed fees and expenses originally incurred as part of our defense of these various commercial sealant claims totaling $0.5 million and $4.0 million, respectively. There were no corresponding reimbursements during 2019.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derivative activities are subject to the management, direction, and control of the Chief Financial Officer and Chief Executive Officer. Certain transactions in excess of specified levels require further approval from the Board of Directors.</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nature of our business activities requires the management of various financial and market risks, including those related to changes in foreign currency exchange rates and aluminum scrap prices. We have historically used foreign currency forwards and options to mitigate or eliminate certain of those risks at our subsidiaries. We use foreign currency contracts to offset fluctuations in the value of accounts receivable and payable balances that are denominated in currencies other than the United States Dollar, including the Euro, British Pound Sterling and Canadian Dollar. Currently, we do not enter into derivative transactions for speculative or trading purposes. We are exposed to credit loss in the event of nonperformance by the counterparties to our derivative transactions. We attempt to mitigate this risk by monitoring the creditworthiness of our counterparties and limiting our exposure to individual counterparties. In addition, we have established master netting agreements in certain cases to facilitate the settlement of gains and losses on specific derivative contracts.</w:t>
      </w:r>
    </w:p>
    <w:p>
      <w:pPr>
        <w:spacing w:after="0" w:line="13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We have not designated any of our derivative contracts as hedges for accounting purposes in accordance with the provisions under the Accounting Standards Codification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Therefore, changes in the fair value of these contracts and the realized gains and losses are recorded in the consolidated statements of (loss) income for the years ended October 31, 2019, 2018 and 2017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80" w:type="dxa"/>
            <w:vAlign w:val="bottom"/>
            <w:tcBorders>
              <w:bottom w:val="single" w:sz="8" w:color="CCEEFF"/>
            </w:tcBorders>
          </w:tcPr>
          <w:p>
            <w:pPr>
              <w:ind w:left="880"/>
              <w:spacing w:after="0"/>
              <w:rPr>
                <w:sz w:val="20"/>
                <w:szCs w:val="20"/>
                <w:color w:val="auto"/>
              </w:rPr>
            </w:pPr>
            <w:r>
              <w:rPr>
                <w:rFonts w:ascii="Arial" w:cs="Arial" w:eastAsia="Arial" w:hAnsi="Arial"/>
                <w:sz w:val="14"/>
                <w:szCs w:val="14"/>
                <w:b w:val="1"/>
                <w:bCs w:val="1"/>
                <w:color w:val="auto"/>
              </w:rPr>
              <w:t>Location of (Loss) or Gain: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3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408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have chosen not to offset any of our derivative instruments in accordance with the provisions of ASC 815. Therefore, the assets and liabilities are presented on a gross basis on our accompanying consolidated balance sheets. Less than $0.1 million of fair value related to foreign currency derivatives was included in prepaid and other current assets as of the years ended October 31, 2019 and 2018, and less than $0.1 million of fair value related to foreign currency derivatives was included in accrued liabilities as of October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notional amounts and fair value of outstanding derivative contracts at October 31, 2019 and 2018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Notional as indicated</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Fair Value in $</w:t>
            </w:r>
          </w:p>
        </w:tc>
      </w:tr>
      <w:tr>
        <w:trPr>
          <w:trHeight w:val="152"/>
        </w:trPr>
        <w:tc>
          <w:tcPr>
            <w:tcW w:w="35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0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October 31,</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3"/>
                <w:szCs w:val="13"/>
                <w:color w:val="auto"/>
              </w:rPr>
            </w:pPr>
          </w:p>
        </w:tc>
        <w:tc>
          <w:tcPr>
            <w:tcW w:w="11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3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43"/>
        </w:trPr>
        <w:tc>
          <w:tcPr>
            <w:tcW w:w="3500" w:type="dxa"/>
            <w:vAlign w:val="bottom"/>
          </w:tcPr>
          <w:p>
            <w:pPr>
              <w:jc w:val="center"/>
              <w:ind w:right="1210"/>
              <w:spacing w:after="0"/>
              <w:rPr>
                <w:sz w:val="20"/>
                <w:szCs w:val="20"/>
                <w:color w:val="auto"/>
              </w:rPr>
            </w:pPr>
            <w:r>
              <w:rPr>
                <w:rFonts w:ascii="Arial" w:cs="Arial" w:eastAsia="Arial" w:hAnsi="Arial"/>
                <w:sz w:val="18"/>
                <w:szCs w:val="18"/>
                <w:color w:val="auto"/>
                <w:w w:val="91"/>
              </w:rPr>
              <w:t>Foreign currency derivatives:</w:t>
            </w:r>
          </w:p>
        </w:tc>
        <w:tc>
          <w:tcPr>
            <w:tcW w:w="2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jc w:val="center"/>
              <w:ind w:right="1210"/>
              <w:spacing w:after="0"/>
              <w:rPr>
                <w:sz w:val="20"/>
                <w:szCs w:val="20"/>
                <w:color w:val="auto"/>
              </w:rPr>
            </w:pPr>
            <w:r>
              <w:rPr>
                <w:rFonts w:ascii="Arial" w:cs="Arial" w:eastAsia="Arial" w:hAnsi="Arial"/>
                <w:sz w:val="18"/>
                <w:szCs w:val="18"/>
                <w:color w:val="auto"/>
                <w:w w:val="94"/>
              </w:rPr>
              <w:t>Buy EUR, Sell USD</w:t>
            </w:r>
          </w:p>
        </w:tc>
        <w:tc>
          <w:tcPr>
            <w:tcW w:w="20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EUR</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r>
      <w:tr>
        <w:trPr>
          <w:trHeight w:val="243"/>
        </w:trPr>
        <w:tc>
          <w:tcPr>
            <w:tcW w:w="3500" w:type="dxa"/>
            <w:vAlign w:val="bottom"/>
          </w:tcPr>
          <w:p>
            <w:pPr>
              <w:jc w:val="center"/>
              <w:ind w:right="1190"/>
              <w:spacing w:after="0"/>
              <w:rPr>
                <w:sz w:val="20"/>
                <w:szCs w:val="20"/>
                <w:color w:val="auto"/>
              </w:rPr>
            </w:pPr>
            <w:r>
              <w:rPr>
                <w:rFonts w:ascii="Arial" w:cs="Arial" w:eastAsia="Arial" w:hAnsi="Arial"/>
                <w:sz w:val="18"/>
                <w:szCs w:val="18"/>
                <w:color w:val="auto"/>
                <w:w w:val="95"/>
              </w:rPr>
              <w:t>Sell CAD, Buy USD</w:t>
            </w:r>
          </w:p>
        </w:tc>
        <w:tc>
          <w:tcPr>
            <w:tcW w:w="2000" w:type="dxa"/>
            <w:vAlign w:val="bottom"/>
          </w:tcPr>
          <w:p>
            <w:pPr>
              <w:ind w:left="1320"/>
              <w:spacing w:after="0"/>
              <w:rPr>
                <w:sz w:val="20"/>
                <w:szCs w:val="20"/>
                <w:color w:val="auto"/>
              </w:rPr>
            </w:pPr>
            <w:r>
              <w:rPr>
                <w:rFonts w:ascii="Arial" w:cs="Arial" w:eastAsia="Arial" w:hAnsi="Arial"/>
                <w:sz w:val="18"/>
                <w:szCs w:val="18"/>
                <w:color w:val="auto"/>
              </w:rPr>
              <w:t>CAD</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jc w:val="center"/>
              <w:ind w:right="1250"/>
              <w:spacing w:after="0"/>
              <w:rPr>
                <w:sz w:val="20"/>
                <w:szCs w:val="20"/>
                <w:color w:val="auto"/>
              </w:rPr>
            </w:pPr>
            <w:r>
              <w:rPr>
                <w:rFonts w:ascii="Arial" w:cs="Arial" w:eastAsia="Arial" w:hAnsi="Arial"/>
                <w:sz w:val="18"/>
                <w:szCs w:val="18"/>
                <w:color w:val="auto"/>
                <w:w w:val="91"/>
              </w:rPr>
              <w:t>Sell GBP, Buy USD</w:t>
            </w:r>
          </w:p>
        </w:tc>
        <w:tc>
          <w:tcPr>
            <w:tcW w:w="20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GBP</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jc w:val="center"/>
              <w:ind w:right="1230"/>
              <w:spacing w:after="0"/>
              <w:rPr>
                <w:sz w:val="20"/>
                <w:szCs w:val="20"/>
                <w:color w:val="auto"/>
              </w:rPr>
            </w:pPr>
            <w:r>
              <w:rPr>
                <w:rFonts w:ascii="Arial" w:cs="Arial" w:eastAsia="Arial" w:hAnsi="Arial"/>
                <w:sz w:val="18"/>
                <w:szCs w:val="18"/>
                <w:color w:val="auto"/>
                <w:w w:val="92"/>
              </w:rPr>
              <w:t>Buy EUR, Sell GBP</w:t>
            </w:r>
          </w:p>
        </w:tc>
        <w:tc>
          <w:tcPr>
            <w:tcW w:w="2000" w:type="dxa"/>
            <w:vAlign w:val="bottom"/>
          </w:tcPr>
          <w:p>
            <w:pPr>
              <w:ind w:left="1320"/>
              <w:spacing w:after="0"/>
              <w:rPr>
                <w:sz w:val="20"/>
                <w:szCs w:val="20"/>
                <w:color w:val="auto"/>
              </w:rPr>
            </w:pPr>
            <w:r>
              <w:rPr>
                <w:rFonts w:ascii="Arial" w:cs="Arial" w:eastAsia="Arial" w:hAnsi="Arial"/>
                <w:sz w:val="18"/>
                <w:szCs w:val="18"/>
                <w:color w:val="auto"/>
              </w:rPr>
              <w:t>EUR</w:t>
            </w: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00" w:type="dxa"/>
            <w:vAlign w:val="bottom"/>
            <w:shd w:val="clear" w:color="auto" w:fill="CCEEFF"/>
          </w:tcPr>
          <w:p>
            <w:pPr>
              <w:jc w:val="center"/>
              <w:ind w:right="1210"/>
              <w:spacing w:after="0"/>
              <w:rPr>
                <w:sz w:val="20"/>
                <w:szCs w:val="20"/>
                <w:color w:val="auto"/>
              </w:rPr>
            </w:pPr>
            <w:r>
              <w:rPr>
                <w:rFonts w:ascii="Arial" w:cs="Arial" w:eastAsia="Arial" w:hAnsi="Arial"/>
                <w:sz w:val="18"/>
                <w:szCs w:val="18"/>
                <w:color w:val="auto"/>
                <w:w w:val="94"/>
              </w:rPr>
              <w:t>Buy USD, Sell EUR</w:t>
            </w:r>
          </w:p>
        </w:tc>
        <w:tc>
          <w:tcPr>
            <w:tcW w:w="20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USD</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classification in the fair value hierarchy, see Note 13, "Fair Value Measurements of Assets and Liabilities", included herewith.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 of Assets and Liabilities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4" w:lineRule="exact"/>
        <w:rPr>
          <w:sz w:val="20"/>
          <w:szCs w:val="20"/>
          <w:color w:val="auto"/>
        </w:rPr>
      </w:pPr>
    </w:p>
    <w:p>
      <w:pPr>
        <w:ind w:left="500" w:hanging="168"/>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500" w:hanging="16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October 31, 2019 and 2018, foreign currency derivatives were the only instruments being measured on a recurring basis. Less than $0.1 million of foreign currency derivatives were included in total assets as of October 31, 2019 and less than $0.1 million of foreign currency derivatives were included in total assets and total liabilities as of October 31, 2018. All of our derivative contracts are valued using quoted market prices from brokers or exchanges and are classified within Level 2 of the fair value hierarchy.</w:t>
      </w:r>
    </w:p>
    <w:p>
      <w:pPr>
        <w:spacing w:after="0" w:line="13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October 31, 2019 and 2018, we had approximately $2.4 million of certain property, plant and equipment located in our NA Fenestration segment that was recorded at fair value on a non-recurring basis and classified as Level 3. The fair value was based on broker opinions.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2019 and 2018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liability portion of our performance share awards are marked-to-market on a quarterly basis during a three-year vesting period based on market data (Level 2 measurement). For further information, refer to Note 14, "Stock-Based Compensation - Performance Share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established and maintain an Omnibus Incentive Plan (2008 Plan) that provides for the granting of restricted stock awards, stock options, restricted stock units, performance share awards, performance restricted stock units, and other stock-based and cash-based awards. The 2008 Plan is administered by the Compensation and Management Development Committee of the Board of Directors.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2008 Plan is 7,650,000 as approved by the shareholders. Any officer, key employee and/or non-employee director is eligible for awards under the 2008 Plan. We grant restricted stock units to non-employee directors on the first business day of each fiscal year. Annually, pending approval by the Compensation &amp; Management Development Committee of our Board of Directors in December,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awards is entitled to all of the rights of a shareholder, except that the awards are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non-vested restricted stock awards activity during the years ended October 31, 2019, 2018 and 2017,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34"/>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7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Grant Date Fair Value per</w:t>
            </w:r>
          </w:p>
        </w:tc>
      </w:tr>
      <w:tr>
        <w:trPr>
          <w:trHeight w:val="182"/>
        </w:trPr>
        <w:tc>
          <w:tcPr>
            <w:tcW w:w="754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Restricted Stock Awards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7"/>
              </w:rPr>
              <w:t>Share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2016</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266,700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93,800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19.46</w:t>
            </w: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19.65</w:t>
            </w: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2017</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284,300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19.66</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73,400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20.70</w:t>
            </w: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(28,700)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19.66</w:t>
            </w: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2018</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19.76</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124,800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13.78</w:t>
            </w: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17.87</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(69,400)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19.19</w:t>
            </w: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2019</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230,100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w:t>
            </w:r>
          </w:p>
        </w:tc>
      </w:tr>
      <w:tr>
        <w:trPr>
          <w:trHeight w:val="20"/>
        </w:trPr>
        <w:tc>
          <w:tcPr>
            <w:tcW w:w="75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the years ended October 31, 2019, 2018 and 2017 was $1.3 million, $2.3 million and $1.3 million, respectively. As of October 31, 2019, total unrecognized compensation cost related to unamortized restricted stock awards totaled $1.5 million. We expect to recognize this expense over the remaining weighted average period of 1.8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Historically, stock options have been awarded to key employees, officers and non-employee directors. Effective May 2015, the director compensation structure was revised to eliminate the grant of stock options to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2019 and 2018. Stock options typically vest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w:t>
      </w:r>
    </w:p>
    <w:p>
      <w:pPr>
        <w:spacing w:after="0" w:line="11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use the Black-Scholes pricing model to estimate the fair value of our stock options. A description of the methodology for the valuation assumptions follows:</w:t>
      </w:r>
    </w:p>
    <w:p>
      <w:pPr>
        <w:spacing w:after="0" w:line="116" w:lineRule="exact"/>
        <w:rPr>
          <w:sz w:val="20"/>
          <w:szCs w:val="20"/>
          <w:color w:val="auto"/>
        </w:rPr>
      </w:pPr>
    </w:p>
    <w:p>
      <w:pPr>
        <w:jc w:val="both"/>
        <w:ind w:left="340" w:hanging="170"/>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For stock options granted prior to July 1, 2013, we used an estimate of the historical volatility of a selected peer group.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July 1, 2013, we determined that we had sufficient historical data to calculate the volatility of our common stock since our spin-off in April 2008. We believe there has been uncertainty in the U.S. equities market over the past several years and that uncertainty has contributed to volatility in equities in general. We expect this volatility to continue over the foreseeable future. Therefore, we believe that our historical volatility is a proxy for expected volatility. We have not excluded any of our historical data from the volatility calculation, and we are not aware of any specific significant factors which might impact our future volatility.</w:t>
      </w:r>
    </w:p>
    <w:p>
      <w:pPr>
        <w:spacing w:after="0" w:line="139" w:lineRule="exact"/>
        <w:rPr>
          <w:rFonts w:ascii="Arial" w:cs="Arial" w:eastAsia="Arial" w:hAnsi="Arial"/>
          <w:sz w:val="18"/>
          <w:szCs w:val="18"/>
          <w:color w:val="auto"/>
        </w:rPr>
      </w:pPr>
    </w:p>
    <w:p>
      <w:pPr>
        <w:jc w:val="both"/>
        <w:ind w:left="340" w:hanging="170"/>
        <w:spacing w:after="0" w:line="289"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For stock options granted prior to July 1, 2013, we determined the expected term using historical information of our former parent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the spin-off in 2008, with regards to option vesting, exercise behavior and contractual expiration, as we believed that this employee group was the most similar to our employee group. Separate groups of employees that have similar historical exercise behavior were considered separately. Effective July 1, 2013, we determined that we had sufficient historical data to estimate our expected term using our own data with regards to the exercise behavior, cancellations, retention patterns and remaining contractual terms. When analyzing these patterns and variables, we considered the stratification of the awards (large grants to relatively few employees versus smaller grants to many others), the age of certain employees with larger grants, the historical exercise behavior of the employee group, and fluctuations/volatility of our underlying common stock, as to whether the stock options are expected to be out-of-the-money. For our directors, stock options vested immediately, and, as such, the expected term approximated the contractual term, after adjusting for historical forfeitures. We believe our estimates are reasonable given these factors.</w:t>
      </w:r>
    </w:p>
    <w:p>
      <w:pPr>
        <w:spacing w:after="0" w:line="112" w:lineRule="exact"/>
        <w:rPr>
          <w:rFonts w:ascii="Arial" w:cs="Arial" w:eastAsia="Arial" w:hAnsi="Arial"/>
          <w:sz w:val="16"/>
          <w:szCs w:val="16"/>
          <w:color w:val="auto"/>
        </w:rPr>
      </w:pPr>
    </w:p>
    <w:p>
      <w:pPr>
        <w:ind w:left="340" w:hanging="170"/>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 We base the risk-free rate on the yield at the date of grant of a zero-coupon United States Treasury bond whose maturity period equals</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option’s expected term.</w:t>
      </w:r>
    </w:p>
    <w:p>
      <w:pPr>
        <w:spacing w:after="0" w:line="116"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We base the expected dividend yield on our historical dividend payment of approximately $0.16 per share.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assumptions used to estimate the fair value of our stock options granted during the year ended October 31,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Year Ended October 31, 2017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Weighted-average expected volatility</w:t>
            </w:r>
          </w:p>
        </w:tc>
        <w:tc>
          <w:tcPr>
            <w:tcW w:w="7000" w:type="dxa"/>
            <w:vAlign w:val="bottom"/>
            <w:gridSpan w:val="2"/>
          </w:tcPr>
          <w:p>
            <w:pPr>
              <w:jc w:val="center"/>
              <w:ind w:left="4530"/>
              <w:spacing w:after="0"/>
              <w:rPr>
                <w:sz w:val="20"/>
                <w:szCs w:val="20"/>
                <w:color w:val="auto"/>
              </w:rPr>
            </w:pPr>
            <w:r>
              <w:rPr>
                <w:rFonts w:ascii="Arial" w:cs="Arial" w:eastAsia="Arial" w:hAnsi="Arial"/>
                <w:sz w:val="18"/>
                <w:szCs w:val="18"/>
                <w:color w:val="auto"/>
                <w:w w:val="90"/>
              </w:rPr>
              <w:t>34.7%</w:t>
            </w:r>
          </w:p>
        </w:tc>
      </w:tr>
      <w:tr>
        <w:trPr>
          <w:trHeight w:val="27"/>
        </w:trPr>
        <w:tc>
          <w:tcPr>
            <w:tcW w:w="44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term (in years)</w:t>
            </w:r>
          </w:p>
        </w:tc>
        <w:tc>
          <w:tcPr>
            <w:tcW w:w="7000" w:type="dxa"/>
            <w:vAlign w:val="bottom"/>
            <w:tcBorders>
              <w:bottom w:val="single" w:sz="8" w:color="CCEEFF"/>
            </w:tcBorders>
            <w:gridSpan w:val="2"/>
            <w:shd w:val="clear" w:color="auto" w:fill="CCEEFF"/>
          </w:tcPr>
          <w:p>
            <w:pPr>
              <w:jc w:val="center"/>
              <w:ind w:left="4530"/>
              <w:spacing w:after="0"/>
              <w:rPr>
                <w:sz w:val="20"/>
                <w:szCs w:val="20"/>
                <w:color w:val="auto"/>
              </w:rPr>
            </w:pPr>
            <w:r>
              <w:rPr>
                <w:rFonts w:ascii="Arial" w:cs="Arial" w:eastAsia="Arial" w:hAnsi="Arial"/>
                <w:sz w:val="18"/>
                <w:szCs w:val="18"/>
                <w:color w:val="auto"/>
                <w:w w:val="87"/>
              </w:rPr>
              <w:t>5.7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7000" w:type="dxa"/>
            <w:vAlign w:val="bottom"/>
            <w:gridSpan w:val="2"/>
          </w:tcPr>
          <w:p>
            <w:pPr>
              <w:jc w:val="center"/>
              <w:ind w:left="4530"/>
              <w:spacing w:after="0"/>
              <w:rPr>
                <w:sz w:val="20"/>
                <w:szCs w:val="20"/>
                <w:color w:val="auto"/>
              </w:rPr>
            </w:pPr>
            <w:r>
              <w:rPr>
                <w:rFonts w:ascii="Arial" w:cs="Arial" w:eastAsia="Arial" w:hAnsi="Arial"/>
                <w:sz w:val="18"/>
                <w:szCs w:val="18"/>
                <w:color w:val="auto"/>
                <w:w w:val="92"/>
              </w:rPr>
              <w:t>2.0%</w:t>
            </w:r>
          </w:p>
        </w:tc>
      </w:tr>
      <w:tr>
        <w:trPr>
          <w:trHeight w:val="27"/>
        </w:trPr>
        <w:tc>
          <w:tcPr>
            <w:tcW w:w="44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 over expected term</w:t>
            </w:r>
          </w:p>
        </w:tc>
        <w:tc>
          <w:tcPr>
            <w:tcW w:w="7000" w:type="dxa"/>
            <w:vAlign w:val="bottom"/>
            <w:tcBorders>
              <w:bottom w:val="single" w:sz="8" w:color="CCEEFF"/>
            </w:tcBorders>
            <w:gridSpan w:val="2"/>
            <w:shd w:val="clear" w:color="auto" w:fill="CCEEFF"/>
          </w:tcPr>
          <w:p>
            <w:pPr>
              <w:jc w:val="center"/>
              <w:ind w:left="4530"/>
              <w:spacing w:after="0"/>
              <w:rPr>
                <w:sz w:val="20"/>
                <w:szCs w:val="20"/>
                <w:color w:val="auto"/>
              </w:rPr>
            </w:pPr>
            <w:r>
              <w:rPr>
                <w:rFonts w:ascii="Arial" w:cs="Arial" w:eastAsia="Arial" w:hAnsi="Arial"/>
                <w:sz w:val="18"/>
                <w:szCs w:val="18"/>
                <w:color w:val="auto"/>
                <w:w w:val="92"/>
              </w:rPr>
              <w:t>1.0%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Weighted average grant date fair value</w:t>
            </w:r>
          </w:p>
        </w:tc>
        <w:tc>
          <w:tcPr>
            <w:tcW w:w="7000" w:type="dxa"/>
            <w:vAlign w:val="bottom"/>
            <w:gridSpan w:val="2"/>
          </w:tcPr>
          <w:p>
            <w:pPr>
              <w:jc w:val="center"/>
              <w:ind w:left="4510"/>
              <w:spacing w:after="0"/>
              <w:rPr>
                <w:sz w:val="20"/>
                <w:szCs w:val="20"/>
                <w:color w:val="auto"/>
              </w:rPr>
            </w:pPr>
            <w:r>
              <w:rPr>
                <w:rFonts w:ascii="Arial" w:cs="Arial" w:eastAsia="Arial" w:hAnsi="Arial"/>
                <w:sz w:val="18"/>
                <w:szCs w:val="18"/>
                <w:color w:val="auto"/>
                <w:w w:val="88"/>
              </w:rPr>
              <w:t>$6.25</w:t>
            </w:r>
          </w:p>
        </w:tc>
      </w:tr>
      <w:tr>
        <w:trPr>
          <w:trHeight w:val="675"/>
        </w:trPr>
        <w:tc>
          <w:tcPr>
            <w:tcW w:w="4420" w:type="dxa"/>
            <w:vAlign w:val="bottom"/>
          </w:tcPr>
          <w:p>
            <w:pPr>
              <w:spacing w:after="0"/>
              <w:rPr>
                <w:sz w:val="24"/>
                <w:szCs w:val="24"/>
                <w:color w:val="auto"/>
              </w:rPr>
            </w:pPr>
          </w:p>
        </w:tc>
        <w:tc>
          <w:tcPr>
            <w:tcW w:w="4600" w:type="dxa"/>
            <w:vAlign w:val="bottom"/>
          </w:tcPr>
          <w:p>
            <w:pPr>
              <w:jc w:val="right"/>
              <w:ind w:right="3130"/>
              <w:spacing w:after="0"/>
              <w:rPr>
                <w:sz w:val="20"/>
                <w:szCs w:val="20"/>
                <w:color w:val="auto"/>
              </w:rPr>
            </w:pPr>
            <w:r>
              <w:rPr>
                <w:rFonts w:ascii="Arial" w:cs="Arial" w:eastAsia="Arial" w:hAnsi="Arial"/>
                <w:sz w:val="18"/>
                <w:szCs w:val="18"/>
                <w:color w:val="auto"/>
              </w:rPr>
              <w:t>74</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years ended October 31, 2019, 2018 and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 Average</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Weighted Average</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Remaining Contractual</w:t>
            </w:r>
          </w:p>
        </w:tc>
        <w:tc>
          <w:tcPr>
            <w:tcW w:w="220" w:type="dxa"/>
            <w:vAlign w:val="bottom"/>
          </w:tcPr>
          <w:p>
            <w:pPr>
              <w:spacing w:after="0"/>
              <w:rPr>
                <w:sz w:val="12"/>
                <w:szCs w:val="12"/>
                <w:color w:val="auto"/>
              </w:rPr>
            </w:pPr>
          </w:p>
        </w:tc>
        <w:tc>
          <w:tcPr>
            <w:tcW w:w="11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82"/>
        </w:trPr>
        <w:tc>
          <w:tcPr>
            <w:tcW w:w="45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 (in years)</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8"/>
              </w:rPr>
              <w:t>Value (000s)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2016</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2,386,220</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16.84</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292,600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19.45</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(507,660)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(18,402)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19.90</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2017</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2,152,758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17.44</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(377,218)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12.58</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(21,884)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2018</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1,753,656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(204,770)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15.76</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(132,700)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2019</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1,416,186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18.71</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Vested or expected to vest at October 31, 2019</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vMerge w:val="continue"/>
          </w:tcPr>
          <w:p>
            <w:pPr>
              <w:spacing w:after="0"/>
              <w:rPr>
                <w:sz w:val="24"/>
                <w:szCs w:val="24"/>
                <w:color w:val="auto"/>
              </w:rPr>
            </w:pP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1,416,186</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18.71</w:t>
            </w: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October 31, 2019</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1,334,714</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Intrinsic value is the amount by which the market price of the common stock on the date of exercise exceeds the exercise price of the stock option. For the years ended October 31, 2019, 2018 and 2017, the total intrinsic value of our stock options that were exercised totaled $0.4 million, $2.9 million and $3.1 million, respectively. The total fair value of stock options vested during the years ended October 31, 2019, 2018 and 2017, was $1.1 million, $1.5 million and $1.8 million, respectively. As of October 31, 2019, substantially all compensation cost related to stock options has been recognized.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years ended October 31, 2019, 2018 and 2017, 34,050, 18,050 and 24,560 restricted stock units, respectively, were granted and immediately vested with corresponding weighted average grant date fair value of $15.51, $21.85 and $15.65, respectively. As of October 31, 2019, there were 4,616 non-vested restricted stock units from the fiscal 2019 grant which will vest in December 2020. As of October 31, 2018 and 2017, there were no non-vested restricted stock units. During the year ended October 31, 2019, we paid less than $0.4 million to settle restricted stock units. We did not make any payments to settle restricted stock units during the years ended October 31, 2018 and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have granted performance share awards to key employees and officers annually in December. In addition, we awarded performance shares in January 2016 to a new officer. These awards cliff vest after a three-year period with service and performance measures such as relative total shareholder return (R-TSR) and earnings per share (EPS) growth as vesting conditions. The number of performance share awards earned is variable depending on the metrics achieved. The settlement method is 50% in cash and 50% in our common stock. Performance share awards issued during the year ended October 31, 2019 vest with return on net assets (RONA) as the vesting condition and pay out 100% in cash.</w:t>
      </w:r>
    </w:p>
    <w:p>
      <w:pPr>
        <w:sectPr>
          <w:pgSz w:w="11900" w:h="16838" w:orient="portrait"/>
          <w:cols w:equalWidth="0" w:num="1">
            <w:col w:w="11420"/>
          </w:cols>
          <w:pgMar w:left="240" w:top="125"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value the shares subject to the market condition, we utilized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will be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marked to market over the three-year term of the award, and could fluctuate depending on the number of shares ultimately expected to vest. Depending on the achievement of the performance conditions, 0% to 200% of the awarded performance shares may ultimately vest.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share grants and the grant date fair value for the EPS, R-TSR, and RONA performance metrics: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Grant Date Fair Value</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4800" w:type="dxa"/>
            <w:vAlign w:val="bottom"/>
            <w:tcBorders>
              <w:bottom w:val="single" w:sz="8" w:color="CCEEFF"/>
            </w:tcBorders>
          </w:tcPr>
          <w:p>
            <w:pPr>
              <w:ind w:left="1960"/>
              <w:spacing w:after="0"/>
              <w:rPr>
                <w:sz w:val="20"/>
                <w:szCs w:val="20"/>
                <w:color w:val="auto"/>
              </w:rPr>
            </w:pPr>
            <w:r>
              <w:rPr>
                <w:rFonts w:ascii="Arial" w:cs="Arial" w:eastAsia="Arial" w:hAnsi="Arial"/>
                <w:sz w:val="18"/>
                <w:szCs w:val="18"/>
                <w:b w:val="1"/>
                <w:bCs w:val="1"/>
                <w:color w:val="auto"/>
              </w:rPr>
              <w:t>Grant Date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Shares Awarded</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EPS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R-TSR</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RONA</w:t>
            </w: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Forfeited</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30, 2016</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186,500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19.45</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42,230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December 7, 2017</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146,500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33,208</w:t>
            </w:r>
          </w:p>
        </w:tc>
      </w:tr>
      <w:tr>
        <w:trPr>
          <w:trHeight w:val="27"/>
        </w:trPr>
        <w:tc>
          <w:tcPr>
            <w:tcW w:w="4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131,500</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18,100</w:t>
            </w:r>
          </w:p>
        </w:tc>
      </w:tr>
      <w:tr>
        <w:trPr>
          <w:trHeight w:val="27"/>
        </w:trPr>
        <w:tc>
          <w:tcPr>
            <w:tcW w:w="48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December 3, 2018 and January 25, 2019, 139,164 shares vested pursuant to the December 2013 grant and a total of 4,300 shares vested pursuant to the January 2016 grant, however, performance conditions resulted in no share issuances or cash payments for either of these awards. The November 2016 and December 2017 grants include a return on invested capital (ROIC) metric which, if achieved, could enhance the number of shares that are ultimately issued but cannot exceed the maximum (200%). Due to the uncertainty with regard to achieving this metric, no value has been assigned. In the event and at such time as the metric is deemed achievable, compensation expense will begin to be recognized through the remaining vesting period. For the years ended October 31, 2019 and 2017, we recorded $1.1 million and $3.0 million, respectively, of compensation expense related to performance share awards. For the year ended October 31, 2018, we recorded a decrease in compensation expense of $0.9 million, which reflected a decrease in the number of shares expected to vest in November 2019 associated with the November 30, 2016 performance share grant.</w:t>
      </w:r>
    </w:p>
    <w:p>
      <w:pPr>
        <w:spacing w:after="0" w:line="1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Performance shares are excluded from diluted weighted-average shares used to calculate earnings per share until the performance criteria is probable to result in the issuance of contingent shares. We evaluate the probability of the performance share vesting within one year of the vesting date. As of October 31, 2019, we have deemed 56,103 performance share awards from our November 30, 2016 grant to vest, of which 28,051 will be paid in our common stock and 28,051, along with accrued dividends, will settle in cash. For the years ended October 31, 2019 and 2017, there were 28,051 and 23,175 shares, respectively, related to performance shares that were potentially dilutive and considered in the diluted weighted average shares calculations. No contingent shares related to performance shares are included in diluted weighted average shares for the year ended October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awarded performance restricted stock units may vest. Specifically, the awards vest on a continuum with the following Absolute Total Shareholder Return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TSR) milestones: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40" w:type="dxa"/>
            <w:vAlign w:val="bottom"/>
            <w:gridSpan w:val="2"/>
          </w:tcPr>
          <w:p>
            <w:pPr>
              <w:ind w:left="40"/>
              <w:spacing w:after="0"/>
              <w:rPr>
                <w:sz w:val="20"/>
                <w:szCs w:val="20"/>
                <w:color w:val="auto"/>
              </w:rPr>
            </w:pPr>
            <w:r>
              <w:rPr>
                <w:rFonts w:ascii="Arial" w:cs="Arial" w:eastAsia="Arial" w:hAnsi="Arial"/>
                <w:sz w:val="18"/>
                <w:szCs w:val="18"/>
                <w:b w:val="1"/>
                <w:bCs w:val="1"/>
                <w:color w:val="auto"/>
              </w:rPr>
              <w:t>Vesting Criteria</w:t>
            </w:r>
          </w:p>
        </w:tc>
        <w:tc>
          <w:tcPr>
            <w:tcW w:w="3520" w:type="dxa"/>
            <w:vAlign w:val="bottom"/>
          </w:tcPr>
          <w:p>
            <w:pPr>
              <w:ind w:left="680"/>
              <w:spacing w:after="0"/>
              <w:rPr>
                <w:sz w:val="20"/>
                <w:szCs w:val="20"/>
                <w:color w:val="auto"/>
              </w:rPr>
            </w:pPr>
            <w:r>
              <w:rPr>
                <w:rFonts w:ascii="Arial" w:cs="Arial" w:eastAsia="Arial" w:hAnsi="Arial"/>
                <w:sz w:val="18"/>
                <w:szCs w:val="18"/>
                <w:b w:val="1"/>
                <w:bCs w:val="1"/>
                <w:color w:val="auto"/>
              </w:rPr>
              <w:t>Percentage of Award Vested</w:t>
            </w:r>
          </w:p>
        </w:tc>
      </w:tr>
      <w:tr>
        <w:trPr>
          <w:trHeight w:val="27"/>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greater than or equal to 50%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A-TSR less than 50% and greater than or equal to 20%</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less than 20% and greater than or equal to -20%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A-TSR less than -20%</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40" w:type="dxa"/>
            <w:vAlign w:val="bottom"/>
            <w:vMerge w:val="restart"/>
          </w:tcPr>
          <w:p>
            <w:pPr>
              <w:ind w:left="348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Grand Date</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Forfeited</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Awarded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December 7, 2017</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78,200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89,200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7"/>
        </w:trPr>
        <w:tc>
          <w:tcPr>
            <w:tcW w:w="7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years ended October 31, 2019 and 2018, we recorded compensation expense of approximately $0.7 million and $0.4 million related to our performance share restricted units.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2019, 2018 and 2017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October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1,018</w:t>
            </w:r>
          </w:p>
        </w:tc>
        <w:tc>
          <w:tcPr>
            <w:tcW w:w="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8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1,820</w:t>
            </w:r>
          </w:p>
        </w:tc>
      </w:tr>
      <w:tr>
        <w:trPr>
          <w:trHeight w:val="27"/>
        </w:trPr>
        <w:tc>
          <w:tcPr>
            <w:tcW w:w="6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Performance share awards</w:t>
            </w:r>
          </w:p>
        </w:tc>
        <w:tc>
          <w:tcPr>
            <w:tcW w:w="8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3,001</w:t>
            </w:r>
          </w:p>
        </w:tc>
      </w:tr>
      <w:tr>
        <w:trPr>
          <w:trHeight w:val="27"/>
        </w:trPr>
        <w:tc>
          <w:tcPr>
            <w:tcW w:w="6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restricted stock units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compensation expense</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3,965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7,486</w:t>
            </w:r>
          </w:p>
        </w:tc>
      </w:tr>
      <w:tr>
        <w:trPr>
          <w:trHeight w:val="27"/>
        </w:trPr>
        <w:tc>
          <w:tcPr>
            <w:tcW w:w="6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effect</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1,999</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Net compensation expense</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2,968</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5,487</w:t>
            </w:r>
          </w:p>
        </w:tc>
      </w:tr>
      <w:tr>
        <w:trPr>
          <w:trHeight w:val="20"/>
        </w:trPr>
        <w:tc>
          <w:tcPr>
            <w:tcW w:w="6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October 31, 2019, our authorized capital stock consists of 125,000,000 shares of common stock, at par value of $0.01 per share, and 1,000,000 shares of preferred stock, with no par value. As of October 31, 2019 and 2018, we had 37,370,402 and 37,433,817 shares of common stock issued, respectively, and 33,021,789 and 33,339,032 shares of common stock outstanding, respectively. There were no shares of preferred stock issued or outstanding at October 31, 2019 and 2018.</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Repurchase Program and Treasury Stock</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2019 and 2018, we purchased 583,398 shares and 1,900,000 shares, respectively, at a cost of $9.6 million and $32.0 million, respectively, under this program.</w:t>
      </w:r>
    </w:p>
    <w:p>
      <w:pPr>
        <w:sectPr>
          <w:pgSz w:w="11900" w:h="16838" w:orient="portrait"/>
          <w:cols w:equalWidth="0" w:num="1">
            <w:col w:w="11420"/>
          </w:cols>
          <w:pgMar w:left="240" w:top="125"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We recorded a charge to retained earnings of $0.3 million and $2.1 million in the years ended October 31, 2019 and 2018, respectively.</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a summary of treasury stock activity for the years ended October 31, 2019, 2018 and 2017, refer to the </w:t>
      </w:r>
      <w:r>
        <w:rPr>
          <w:rFonts w:ascii="Arial" w:cs="Arial" w:eastAsia="Arial" w:hAnsi="Arial"/>
          <w:sz w:val="18"/>
          <w:szCs w:val="18"/>
          <w:i w:val="1"/>
          <w:iCs w:val="1"/>
          <w:color w:val="auto"/>
        </w:rPr>
        <w:t>Consolidated Statement of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located elsewhere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Income (Expense)</w:t>
      </w:r>
    </w:p>
    <w:p>
      <w:pPr>
        <w:spacing w:after="0" w:line="1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Other income included under the caption "Other, net" on the accompanying consolidated statements of (loss) income,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 Ended October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3"/>
        </w:trPr>
        <w:tc>
          <w:tcPr>
            <w:tcW w:w="68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Foreign currency transaction (losses) gains</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(187)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713</w:t>
            </w:r>
          </w:p>
        </w:tc>
      </w:tr>
      <w:tr>
        <w:trPr>
          <w:trHeight w:val="27"/>
        </w:trPr>
        <w:tc>
          <w:tcPr>
            <w:tcW w:w="6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derivative losses</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Pension service benefit</w:t>
            </w:r>
          </w:p>
        </w:tc>
        <w:tc>
          <w:tcPr>
            <w:tcW w:w="7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430</w:t>
            </w:r>
          </w:p>
        </w:tc>
      </w:tr>
      <w:tr>
        <w:trPr>
          <w:trHeight w:val="27"/>
        </w:trPr>
        <w:tc>
          <w:tcPr>
            <w:tcW w:w="6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68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income for the years ended October 31, 2018 and 2017 has been updated to reflect the adoption of Accounting Standards Update 2017-07. For further information, see Note 21, "New Accounting Guidance".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consolidated financial statements. Corporate general and administrative expenses allocated during the years ended October 31, 2019, 2018 and 2017 were $18.3 million, $18.7 million and $17.0 million, respectively.</w:t>
      </w:r>
    </w:p>
    <w:p>
      <w:pPr>
        <w:spacing w:after="0" w:line="1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w:t>
      </w:r>
      <w:r>
        <w:rPr>
          <w:rFonts w:ascii="Arial" w:cs="Arial" w:eastAsia="Arial" w:hAnsi="Arial"/>
          <w:sz w:val="18"/>
          <w:szCs w:val="18"/>
          <w:i w:val="1"/>
          <w:iCs w:val="1"/>
          <w:color w:val="auto"/>
        </w:rPr>
        <w:t>Segment Reporting</w:t>
      </w:r>
      <w:r>
        <w:rPr>
          <w:rFonts w:ascii="Arial" w:cs="Arial" w:eastAsia="Arial" w:hAnsi="Arial"/>
          <w:sz w:val="18"/>
          <w:szCs w:val="18"/>
          <w:color w:val="auto"/>
        </w:rPr>
        <w:t>”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information for the years ended October 31, 2019, 2018 and 2017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NA Fenestration</w:t>
            </w:r>
            <w:r>
              <w:rPr>
                <w:rFonts w:ascii="Arial" w:cs="Arial" w:eastAsia="Arial" w:hAnsi="Arial"/>
                <w:sz w:val="8"/>
                <w:szCs w:val="8"/>
                <w:b w:val="1"/>
                <w:bCs w:val="1"/>
                <w:color w:val="auto"/>
              </w:rPr>
              <w:t>(1)</w:t>
            </w:r>
          </w:p>
        </w:tc>
        <w:tc>
          <w:tcPr>
            <w:tcW w:w="14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EU Fenestration</w:t>
            </w:r>
            <w:r>
              <w:rPr>
                <w:rFonts w:ascii="Arial" w:cs="Arial" w:eastAsia="Arial" w:hAnsi="Arial"/>
                <w:sz w:val="8"/>
                <w:szCs w:val="8"/>
                <w:b w:val="1"/>
                <w:bCs w:val="1"/>
                <w:color w:val="auto"/>
              </w:rPr>
              <w:t>(1)</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 Ended October 31, 2019</w:t>
            </w: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503,837</w:t>
            </w:r>
          </w:p>
        </w:tc>
        <w:tc>
          <w:tcPr>
            <w:tcW w:w="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893,841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27,054</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49,586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39,765</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12,984</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24,883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226,243</w:t>
            </w:r>
          </w:p>
        </w:tc>
        <w:tc>
          <w:tcPr>
            <w:tcW w:w="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645,110</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 Ended October 31, 2018</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485,366</w:t>
            </w:r>
          </w:p>
        </w:tc>
        <w:tc>
          <w:tcPr>
            <w:tcW w:w="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249,813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889,785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27,248</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30,633</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13,929</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26,484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239,915</w:t>
            </w:r>
          </w:p>
        </w:tc>
        <w:tc>
          <w:tcPr>
            <w:tcW w:w="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743,214</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 Ended October 31, 2017</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474,878</w:t>
            </w:r>
          </w:p>
        </w:tc>
        <w:tc>
          <w:tcPr>
            <w:tcW w:w="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866,555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34,308</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25,955</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33,937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18,822</w:t>
            </w:r>
          </w:p>
        </w:tc>
        <w:tc>
          <w:tcPr>
            <w:tcW w:w="4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34,564</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00" w:hanging="187"/>
        <w:spacing w:after="0"/>
        <w:tabs>
          <w:tab w:leader="none" w:pos="60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NA Fenestration and EU Fenestration were previously named "NA Engineered Components" and "EU Engineered Components".</w:t>
      </w:r>
    </w:p>
    <w:p>
      <w:pPr>
        <w:spacing w:after="0" w:line="269"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segment for the years ended October 31, 2019 and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NA Fenestration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EU Fenestration</w:t>
            </w:r>
          </w:p>
        </w:tc>
        <w:tc>
          <w:tcPr>
            <w:tcW w:w="120" w:type="dxa"/>
            <w:vAlign w:val="bottom"/>
            <w:vMerge w:val="restart"/>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NA Cabinet Comp.</w:t>
            </w:r>
          </w:p>
        </w:tc>
        <w:tc>
          <w:tcPr>
            <w:tcW w:w="100" w:type="dxa"/>
            <w:vAlign w:val="bottom"/>
            <w:vMerge w:val="restart"/>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219,627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38,712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67,704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39,147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145,563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5, "Goodwill and Intangible Assets", located herewith.</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did not allocate non-operating expense or income tax expense to the reportable segments. The following table reconciles operating income (loss) as reported above to net (loss) income for the years ended October 31, 2019,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October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35,697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33,937</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26,553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18,683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manufacturing facilities and all long-lived assets are located in the U.S., U.K. and Germany. We attribute our net sales to a geographic region based on the location of the customer. The following tables provide information concerning our net sales for the years ended October 31, 2019, 2018 and 2017, and our long-lived assets as of October 31, 2019 and 2018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Year Ended October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i w:val="1"/>
                <w:iCs w:val="1"/>
                <w:color w:val="auto"/>
              </w:rPr>
              <w:t>Net sales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683,204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676,776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667,063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162,106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159,652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148,370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24,442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Asia</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18,584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17,028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11,163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893,841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889,785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866,555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Year Ended October 31,</w:t>
            </w:r>
          </w:p>
        </w:tc>
        <w:tc>
          <w:tcPr>
            <w:tcW w:w="0" w:type="dxa"/>
            <w:vAlign w:val="bottom"/>
          </w:tcPr>
          <w:p>
            <w:pPr>
              <w:spacing w:after="0"/>
              <w:rPr>
                <w:sz w:val="1"/>
                <w:szCs w:val="1"/>
                <w:color w:val="auto"/>
              </w:rPr>
            </w:pPr>
          </w:p>
        </w:tc>
      </w:t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Long-lived assets, net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54"/>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288,722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384,595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Germany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140,839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141,814</w:t>
            </w:r>
          </w:p>
        </w:tc>
        <w:tc>
          <w:tcPr>
            <w:tcW w:w="0" w:type="dxa"/>
            <w:vAlign w:val="bottom"/>
          </w:tcPr>
          <w:p>
            <w:pPr>
              <w:spacing w:after="0"/>
              <w:rPr>
                <w:sz w:val="1"/>
                <w:szCs w:val="1"/>
                <w:color w:val="auto"/>
              </w:rPr>
            </w:pP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long-lived assets, net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446,460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542,916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Long-lived assets, net includes: property, plant and equipment, net; goodwill; and intangible assets, net.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(loss) earnings per share by dividing net (loss)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computation of basic and diluted earnings per share for the years ended October 31, 2019, 2018 and 2017 follows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91440</wp:posOffset>
            </wp:positionV>
            <wp:extent cx="24612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6"/>
              </w:rPr>
              <w:t>Weighted Average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2"/>
        </w:trPr>
        <w:tc>
          <w:tcPr>
            <w:tcW w:w="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Net (Loss) Income</w:t>
            </w: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Per Share</w:t>
            </w:r>
          </w:p>
        </w:tc>
      </w:tr>
      <w:tr>
        <w:trPr>
          <w:trHeight w:val="203"/>
        </w:trPr>
        <w:tc>
          <w:tcPr>
            <w:tcW w:w="754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 Ended October 31, 2019</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5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32,960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75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Diluted loss per common share </w:t>
            </w:r>
            <w:r>
              <w:rPr>
                <w:rFonts w:ascii="Arial" w:cs="Arial" w:eastAsia="Arial" w:hAnsi="Arial"/>
                <w:sz w:val="25"/>
                <w:szCs w:val="25"/>
                <w:color w:val="auto"/>
                <w:vertAlign w:val="superscript"/>
              </w:rPr>
              <w:t>(1)</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(46,730)</w:t>
            </w:r>
          </w:p>
        </w:tc>
        <w:tc>
          <w:tcPr>
            <w:tcW w:w="22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32,960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3"/>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October 31, 2018</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auto"/>
            </w:tcBorders>
            <w:shd w:val="clear" w:color="auto" w:fill="CCEEFF"/>
          </w:tcPr>
          <w:p>
            <w:pPr>
              <w:spacing w:after="0"/>
              <w:rPr>
                <w:sz w:val="4"/>
                <w:szCs w:val="4"/>
                <w:color w:val="auto"/>
              </w:rPr>
            </w:pPr>
          </w:p>
        </w:tc>
        <w:tc>
          <w:tcPr>
            <w:tcW w:w="54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26,553</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34,701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0.77</w:t>
            </w: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r>
      <w:tr>
        <w:trPr>
          <w:trHeight w:val="297"/>
        </w:trPr>
        <w:tc>
          <w:tcPr>
            <w:tcW w:w="75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26,553</w:t>
            </w:r>
          </w:p>
        </w:tc>
        <w:tc>
          <w:tcPr>
            <w:tcW w:w="2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35,025</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0.76</w:t>
            </w:r>
          </w:p>
        </w:tc>
      </w:tr>
      <w:tr>
        <w:trPr>
          <w:trHeight w:val="190"/>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October 31, 2017</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auto"/>
            </w:tcBorders>
            <w:shd w:val="clear" w:color="auto" w:fill="CCEEFF"/>
          </w:tcPr>
          <w:p>
            <w:pPr>
              <w:spacing w:after="0"/>
              <w:rPr>
                <w:sz w:val="4"/>
                <w:szCs w:val="4"/>
                <w:color w:val="auto"/>
              </w:rPr>
            </w:pPr>
          </w:p>
        </w:tc>
        <w:tc>
          <w:tcPr>
            <w:tcW w:w="54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18,683</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34,230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0.55</w:t>
            </w: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Performance shares</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18,683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34,837</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0.54</w:t>
            </w: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8"/>
        <w:spacing w:after="0" w:line="417" w:lineRule="auto"/>
        <w:tabs>
          <w:tab w:leader="none" w:pos="178"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The computation of diluted earnings per share excludes outstanding stock options and other common stock equivalents when their inclusion would be anti-dilutive. During the twelve-month period ended October 31, 2019, 39,766 shares of common stock equivalents, 113,383 shares of restricted stock and 28,051 contingent shares related to performance share awards and performance restricted stock units were excluded from the computation of diluted earnings per share.</w:t>
      </w:r>
    </w:p>
    <w:p>
      <w:pPr>
        <w:jc w:val="both"/>
        <w:ind w:firstLine="405"/>
        <w:spacing w:after="0" w:line="264" w:lineRule="auto"/>
        <w:rPr>
          <w:sz w:val="20"/>
          <w:szCs w:val="20"/>
          <w:color w:val="auto"/>
        </w:rPr>
      </w:pPr>
      <w:r>
        <w:rPr>
          <w:rFonts w:ascii="Arial" w:cs="Arial" w:eastAsia="Arial" w:hAnsi="Arial"/>
          <w:sz w:val="18"/>
          <w:szCs w:val="18"/>
          <w:color w:val="auto"/>
        </w:rPr>
        <w:t>For the years ended October 31, 2019, 2018 and 2017, we had 1,267,141, 1,000,356, and 686,650 securities, respectively, that were potentially dilutive in future earnings per share calculations. Such dilution will be dependent on the excess of the market price of our stock over the exercise price and other components of the treasury stock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Unaudited Quarterly Data</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Selected quarterly financial data for the years ended October 31, 2019 and 2018 was as follows (amounts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For the Quarter Ended</w:t>
            </w:r>
          </w:p>
        </w:tc>
        <w:tc>
          <w:tcPr>
            <w:tcW w:w="488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31, 2019</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 2019</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2019</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October 31, 2019</w:t>
            </w:r>
          </w:p>
        </w:tc>
      </w:tr>
      <w:tr>
        <w:trPr>
          <w:trHeight w:val="48"/>
        </w:trPr>
        <w:tc>
          <w:tcPr>
            <w:tcW w:w="4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240,369</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158,557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171,378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181,357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183,128</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(23,724)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(30,948)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Cash dividends paid per common share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365"/>
        </w:trPr>
        <w:tc>
          <w:tcPr>
            <w:tcW w:w="4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For the Quarter Ended</w:t>
            </w:r>
          </w:p>
        </w:tc>
        <w:tc>
          <w:tcPr>
            <w:tcW w:w="488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31, 2018</w:t>
            </w: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 2018</w:t>
            </w:r>
          </w:p>
        </w:tc>
        <w:tc>
          <w:tcPr>
            <w:tcW w:w="1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2018</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October 31, 2018</w:t>
            </w:r>
          </w:p>
        </w:tc>
      </w:tr>
      <w:tr>
        <w:trPr>
          <w:trHeight w:val="48"/>
        </w:trPr>
        <w:tc>
          <w:tcPr>
            <w:tcW w:w="4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191,666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244,086</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154,521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169,030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185,811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187,660</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11,696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Basic (loss) earnings per share</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Cash dividends paid per common share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r>
    </w:tbl>
    <w:p>
      <w:pPr>
        <w:spacing w:after="0" w:line="391" w:lineRule="exact"/>
        <w:rPr>
          <w:sz w:val="20"/>
          <w:szCs w:val="20"/>
          <w:color w:val="auto"/>
        </w:rPr>
      </w:pPr>
    </w:p>
    <w:p>
      <w:pPr>
        <w:jc w:val="both"/>
        <w:ind w:left="60" w:firstLine="405"/>
        <w:spacing w:after="0" w:line="279" w:lineRule="auto"/>
        <w:rPr>
          <w:sz w:val="20"/>
          <w:szCs w:val="20"/>
          <w:color w:val="auto"/>
        </w:rPr>
      </w:pPr>
      <w:r>
        <w:rPr>
          <w:rFonts w:ascii="Arial" w:cs="Arial" w:eastAsia="Arial" w:hAnsi="Arial"/>
          <w:sz w:val="17"/>
          <w:szCs w:val="17"/>
          <w:color w:val="auto"/>
        </w:rPr>
        <w:t>Quarterly (loss) earnings per share results may not sum to the consolidated earnings per share results on the accompanying consolidated statements of (loss) income due to rounding and changes in weighted average shares during the respective periods. Results for the 2018 quarters have been updated to reflect the impact of an accounting change from the LIFO inventory method to the FIFO inventory method and for the adoption of Accounting Standards Update 2017-07. See Note 3, "Inventories" and Note 20, "New Accounting Guidance" for further details.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New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No. 2017-09,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w:t>
      </w:r>
      <w:r>
        <w:rPr>
          <w:rFonts w:ascii="Arial" w:cs="Arial" w:eastAsia="Arial" w:hAnsi="Arial"/>
          <w:sz w:val="18"/>
          <w:szCs w:val="18"/>
          <w:color w:val="auto"/>
        </w:rPr>
        <w:t>, which provides guidance as to when changes in share-based payment awards under Topic 718 should be accounted for as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the award. Essentially, the changes should be considered a modification unless specific criteria are met. We adopted this guidance as of November 1, 2018 with no impact to the financial statements.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w:t>
      </w:r>
      <w:r>
        <w:rPr>
          <w:rFonts w:ascii="Arial" w:cs="Arial" w:eastAsia="Arial" w:hAnsi="Arial"/>
          <w:sz w:val="18"/>
          <w:szCs w:val="18"/>
          <w:color w:val="auto"/>
        </w:rPr>
        <w:t>, Improving the Presentation of Net Periodic Pension Cost and Net Periodic Postretirement Benefit Cost. This update provides explicit guidance on how to present the service cost component and other components of net benefit cost in the income statement and allows only the service cost component of net benefit cost to be eligible for capitalization. We adopted this change retrospectively as of November 1, 2018, resulting in a reclassification for the twelve months ended October 31, 2018 and 2017 of $0.8 million and $0.3 million of benefit, respectively, from the "Cost of sales" line item and approximately $0.2 million and $0.1 million of benefit for the corresponding periods from the "Selling, general and administrative" line item to the "Other, net" line item on the accompanying condensed consolidated statement of income.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provides clarity when determining whether a set of assets and activities constitutes a business. Specifically, if substantially all of the fair value of the gross assets acquired (or disposed of) is concentrated in a single identifiable asset or a group of similar identifiable assets, the set</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is not deemed to be a business. We adopted this change prospectively as of November 1, 2018 with no impact to the financial statements.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(Topic 350). This guidance simplifies the current two-step goodwill impairment test by eliminating the second step. Essentially, the entity compares the fair value of a reporting unit with its carrying value amount and recognizes an impairment charge for the amount by which the carrying value exceeds the fair value. The resulting loss is limited to the amount of goodwill. This guidance also eliminates the requirement for a reporting unit with zero or negative carrying value to perform a qualitative assessment of goodwill and apply step-two of the goodwill impairment test if the qualitative assessment fails. Thus, the same impairment assessment will be applied to all reporting units (even if the carrying value is zero or negative). We prospectively adopted this guidance as of February 1, 2019 with no material impact to the consolidated financial statements. See Note 5, "Goodwill and Intangible Assets," for further details of the goodwill impairment analysis performed during the year ended October 31, 2019.</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This amendment is intended to reduce diversity in practice as to how certain cash receipts and cash payments are presented and classified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by providing guidance for several specific cash flow issues. We adopted this change retrospectively as of November 1, 2018 which resulted in a reclassification of $8.5 million of earn-out payments related to a prior period acquisition from investing activities to financing activities within the Statement of Cash Flow for the year ended October 31, 2017.</w:t>
      </w:r>
    </w:p>
    <w:p>
      <w:pPr>
        <w:spacing w:after="0" w:line="10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This guidance prescribes a methodology to determine when revenue is recognizable and constitutes a principles-based approach to revenue recognition based on the consideration to which the entity expects to be entitled in exchange for goods or services. In addition, this guidance requires additional disclosure in the notes to the financial statements with regard to the methodology applied. This pronouncement essentially superseded and replaced existing revenue recognition rules in U.S. GAAP, including industry-specific guidance. We adopted this guidance using the modified retrospective approach on November 1, 2018. Based on our evaluation, we have concluded that the adoption of this new guidance did not have a material impact on our consolidated financial statements. For additional information, refer to Note 1, “Nature of Operations and Basis of Presentation - Revenue from Contracts with Customers”.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In February 2016, the FASB established Topic 842, </w:t>
      </w:r>
      <w:r>
        <w:rPr>
          <w:rFonts w:ascii="Arial" w:cs="Arial" w:eastAsia="Arial" w:hAnsi="Arial"/>
          <w:sz w:val="17"/>
          <w:szCs w:val="17"/>
          <w:i w:val="1"/>
          <w:iCs w:val="1"/>
          <w:color w:val="auto"/>
        </w:rPr>
        <w:t>Leases</w:t>
      </w:r>
      <w:r>
        <w:rPr>
          <w:rFonts w:ascii="Arial" w:cs="Arial" w:eastAsia="Arial" w:hAnsi="Arial"/>
          <w:sz w:val="17"/>
          <w:szCs w:val="17"/>
          <w:color w:val="auto"/>
        </w:rPr>
        <w:t>, by issuing ASU No. 2016-02, which requires lessees to recognize leases on-balance sheet and disclose key information about leasing arrangements.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is effective for us on November 1, 2019, with early adoption permitted. We plan to adopt using a modified retrospective transition approach, applying the new standard to all leases existing at the date of initial application. We expect to adopt the new standard on November 1, 2019 and use the effective date as our date of initial application. Consequently, financial information will not be updated and the disclosures required under the new standard will not be provided for dates and periods prior to November 1, 2019.</w:t>
      </w:r>
    </w:p>
    <w:p>
      <w:pPr>
        <w:spacing w:after="0" w:line="10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new standard provides a number of optional practical expedients in transition. We will elect all of the new standard’s available transition practical expedients.</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standard will have a material effect on our financial statements. The most significant effects on our financial statements relate to the recognition of new ROU assets and lease liabilities on our balance sheet for our operating leases and providing significant new disclosures about our leasing activities. We do not expect a significant change in our leasing activities between now and adoption.</w:t>
      </w:r>
    </w:p>
    <w:p>
      <w:pPr>
        <w:spacing w:after="0" w:line="10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adoption, we will recognize additional operating liabilities ranging from $40.0 million to $45.0 million, with corresponding ROU assets of the same amount based on the present value of the remaining minimum rental payments under current leasing standards for existing operating leases.</w:t>
      </w:r>
    </w:p>
    <w:p>
      <w:pPr>
        <w:spacing w:after="0" w:line="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also provides practical expedients for an entity’s ongoing accounting. We will elect the short-term lease recognition exemption for all leases that qualify. This means, for those leases that qualify, we will not recognize ROU assets or lease liabilities, and this includes not recognizing ROU assets or lease liabilities for existing short-term leases of those assets in transition. We also currently expect to elect the practical expedient to not separate lease and non-lease components for all of our leases.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 13a-15(e) under the Securities Exchange Act of 1934 (1934 Act) as of October 31, 2019. Based on that evaluation, the Chief Executive Officer and Chief Financial Officer concluded that, as of October 31, 2019, the disclosure controls and procedures are effective.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Refer to Management’s Annual Report on Internal Control over Financial Reporting located in </w:t>
      </w:r>
      <w:r>
        <w:rPr>
          <w:rFonts w:ascii="Arial" w:cs="Arial" w:eastAsia="Arial" w:hAnsi="Arial"/>
          <w:sz w:val="18"/>
          <w:szCs w:val="18"/>
          <w:i w:val="1"/>
          <w:iCs w:val="1"/>
          <w:color w:val="auto"/>
        </w:rPr>
        <w:t>"Part 2, Item 8. Financial Information"</w:t>
      </w:r>
      <w:r>
        <w:rPr>
          <w:rFonts w:ascii="Arial" w:cs="Arial" w:eastAsia="Arial" w:hAnsi="Arial"/>
          <w:sz w:val="18"/>
          <w:szCs w:val="18"/>
          <w:color w:val="auto"/>
        </w:rPr>
        <w:t xml:space="preserve">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Report Relating to Effectiveness of Internal Control over Financial Reporting</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Refer to the Report of Independent Registered Public Accounting Firm located in </w:t>
      </w:r>
      <w:r>
        <w:rPr>
          <w:rFonts w:ascii="Arial" w:cs="Arial" w:eastAsia="Arial" w:hAnsi="Arial"/>
          <w:sz w:val="18"/>
          <w:szCs w:val="18"/>
          <w:i w:val="1"/>
          <w:iCs w:val="1"/>
          <w:color w:val="auto"/>
        </w:rPr>
        <w:t>"Part 2, Item 8. Financial Information"</w:t>
      </w:r>
      <w:r>
        <w:rPr>
          <w:rFonts w:ascii="Arial" w:cs="Arial" w:eastAsia="Arial" w:hAnsi="Arial"/>
          <w:sz w:val="18"/>
          <w:szCs w:val="18"/>
          <w:color w:val="auto"/>
        </w:rPr>
        <w:t xml:space="preserve"> in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 Directors, Executive Officers and Corporate Governance.</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Pursuant to General Instruction G(3) to Form 10-K, the information on </w:t>
      </w:r>
      <w:r>
        <w:rPr>
          <w:rFonts w:ascii="Arial" w:cs="Arial" w:eastAsia="Arial" w:hAnsi="Arial"/>
          <w:sz w:val="18"/>
          <w:szCs w:val="18"/>
          <w:i w:val="1"/>
          <w:iCs w:val="1"/>
          <w:color w:val="auto"/>
        </w:rPr>
        <w:t>"Directors, Executive Officers and Corporate Governance"</w:t>
      </w:r>
      <w:r>
        <w:rPr>
          <w:rFonts w:ascii="Arial" w:cs="Arial" w:eastAsia="Arial" w:hAnsi="Arial"/>
          <w:sz w:val="18"/>
          <w:szCs w:val="18"/>
          <w:color w:val="auto"/>
        </w:rPr>
        <w:t xml:space="preserve"> is incorporated herein by reference from the Registrant's Definitive Proxy Statement relating to the 2020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 Executive Compensation.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Pursuant to General Instruction G(3) to Form 10-K, the information on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is incorporated herein by reference from the Registrant's Definitive Proxy Statement relating to the 2020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 Security Ownership of Certain Beneficial Owners and Management and Related Stockholder Matters.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Pursuant to General Instruction G(3) to Form 10-K, the information on </w:t>
      </w:r>
      <w:r>
        <w:rPr>
          <w:rFonts w:ascii="Arial" w:cs="Arial" w:eastAsia="Arial" w:hAnsi="Arial"/>
          <w:sz w:val="17"/>
          <w:szCs w:val="17"/>
          <w:i w:val="1"/>
          <w:iCs w:val="1"/>
          <w:color w:val="auto"/>
        </w:rPr>
        <w:t>"Security Ownership of Certain Beneficial Owners and Management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Related Stockholder Matters" </w:t>
      </w:r>
      <w:r>
        <w:rPr>
          <w:rFonts w:ascii="Arial" w:cs="Arial" w:eastAsia="Arial" w:hAnsi="Arial"/>
          <w:sz w:val="17"/>
          <w:szCs w:val="17"/>
          <w:color w:val="auto"/>
        </w:rPr>
        <w:t>is incorporated herein by reference from the Registrant's Definitive Proxy Statement relating to the 2020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 Certain Relationships and Related Transactions, and Director Independence.</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Pursuant to General Instruction G(3) to Form 10-K, the information on </w:t>
      </w:r>
      <w:r>
        <w:rPr>
          <w:rFonts w:ascii="Arial" w:cs="Arial" w:eastAsia="Arial" w:hAnsi="Arial"/>
          <w:sz w:val="17"/>
          <w:szCs w:val="17"/>
          <w:i w:val="1"/>
          <w:iCs w:val="1"/>
          <w:color w:val="auto"/>
        </w:rPr>
        <w:t>"Certain Relationships and Related Transactions, and Director Independence"</w:t>
      </w:r>
      <w:r>
        <w:rPr>
          <w:rFonts w:ascii="Arial" w:cs="Arial" w:eastAsia="Arial" w:hAnsi="Arial"/>
          <w:sz w:val="17"/>
          <w:szCs w:val="17"/>
          <w:color w:val="auto"/>
        </w:rPr>
        <w:t xml:space="preserve"> is incorporated herein by reference from the Registrant's Definitive Proxy Statement relating to the 2020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 Principal Accountant Fees and Services.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Pursuant to General Instruction G(3) to Form 10-K, the information on </w:t>
      </w:r>
      <w:r>
        <w:rPr>
          <w:rFonts w:ascii="Arial" w:cs="Arial" w:eastAsia="Arial" w:hAnsi="Arial"/>
          <w:sz w:val="18"/>
          <w:szCs w:val="18"/>
          <w:i w:val="1"/>
          <w:iCs w:val="1"/>
          <w:color w:val="auto"/>
        </w:rPr>
        <w:t>"Principal Accountant Fees and Services"</w:t>
      </w:r>
      <w:r>
        <w:rPr>
          <w:rFonts w:ascii="Arial" w:cs="Arial" w:eastAsia="Arial" w:hAnsi="Arial"/>
          <w:sz w:val="18"/>
          <w:szCs w:val="18"/>
          <w:color w:val="auto"/>
        </w:rPr>
        <w:t xml:space="preserve"> is incorporated herein by reference from the Registrant's Definitive Proxy Statement relating to the 2020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2019.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financial statements included in this report are listed in the Index to Financial Statements located elsewhere in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or inapplicable.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exhibits required to be filed pursuant to Item 15(b) of Form 10-K are listed in the Exhibit Index filed herewith, which Exhibit Index is incorporated herein by reference. Exhibits 10.1 through 10.52 listed in the Exhibit Index filed herewith, are management or compensatory plans or arrangements required to be filed as exhibits to this Annual Report on Form 10-K pursuant to Item 15(b)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ind w:left="6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189" w:lineRule="exact"/>
        <w:rPr>
          <w:sz w:val="20"/>
          <w:szCs w:val="20"/>
          <w:color w:val="auto"/>
        </w:rPr>
      </w:pPr>
    </w:p>
    <w:p>
      <w:pPr>
        <w:ind w:left="280"/>
        <w:spacing w:after="0"/>
        <w:tabs>
          <w:tab w:leader="none" w:pos="4580" w:val="left"/>
        </w:tabs>
        <w:rPr>
          <w:sz w:val="20"/>
          <w:szCs w:val="20"/>
          <w:color w:val="auto"/>
        </w:rPr>
      </w:pPr>
      <w:r>
        <w:rPr>
          <w:rFonts w:ascii="Arial" w:cs="Arial" w:eastAsia="Arial" w:hAnsi="Arial"/>
          <w:sz w:val="18"/>
          <w:szCs w:val="18"/>
          <w:color w:val="auto"/>
        </w:rPr>
        <w:t>Date: December 12, 2019</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30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Scott M. Zuehlke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Senior Vice President - Chief Financial Officer and Treasurer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6060" w:type="dxa"/>
            <w:vAlign w:val="bottom"/>
          </w:tcPr>
          <w:p>
            <w:pPr>
              <w:jc w:val="center"/>
              <w:ind w:left="251"/>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jc w:val="center"/>
              <w:ind w:left="55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52"/>
        </w:trPr>
        <w:tc>
          <w:tcPr>
            <w:tcW w:w="2820" w:type="dxa"/>
            <w:vAlign w:val="bottom"/>
          </w:tcPr>
          <w:p>
            <w:pPr>
              <w:jc w:val="center"/>
              <w:spacing w:after="0"/>
              <w:rPr>
                <w:sz w:val="20"/>
                <w:szCs w:val="20"/>
                <w:color w:val="auto"/>
              </w:rPr>
            </w:pPr>
            <w:r>
              <w:rPr>
                <w:rFonts w:ascii="Arial" w:cs="Arial" w:eastAsia="Arial" w:hAnsi="Arial"/>
                <w:sz w:val="18"/>
                <w:szCs w:val="18"/>
                <w:color w:val="auto"/>
                <w:w w:val="96"/>
              </w:rPr>
              <w:t>/s/ William C. Griffiths</w:t>
            </w:r>
          </w:p>
        </w:tc>
        <w:tc>
          <w:tcPr>
            <w:tcW w:w="6060" w:type="dxa"/>
            <w:vAlign w:val="bottom"/>
          </w:tcPr>
          <w:p>
            <w:pPr>
              <w:jc w:val="center"/>
              <w:ind w:left="231"/>
              <w:spacing w:after="0"/>
              <w:rPr>
                <w:sz w:val="20"/>
                <w:szCs w:val="20"/>
                <w:color w:val="auto"/>
              </w:rPr>
            </w:pPr>
            <w:r>
              <w:rPr>
                <w:rFonts w:ascii="Arial" w:cs="Arial" w:eastAsia="Arial" w:hAnsi="Arial"/>
                <w:sz w:val="18"/>
                <w:szCs w:val="18"/>
                <w:color w:val="auto"/>
                <w:w w:val="91"/>
              </w:rPr>
              <w:t>Chairman of the Board,</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vMerge w:val="restart"/>
          </w:tcPr>
          <w:p>
            <w:pPr>
              <w:jc w:val="center"/>
              <w:ind w:left="291"/>
              <w:spacing w:after="0"/>
              <w:rPr>
                <w:sz w:val="20"/>
                <w:szCs w:val="20"/>
                <w:color w:val="auto"/>
              </w:rPr>
            </w:pPr>
            <w:r>
              <w:rPr>
                <w:rFonts w:ascii="Arial" w:cs="Arial" w:eastAsia="Arial" w:hAnsi="Arial"/>
                <w:sz w:val="18"/>
                <w:szCs w:val="18"/>
                <w:color w:val="auto"/>
                <w:w w:val="92"/>
              </w:rPr>
              <w:t>President and Chief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8"/>
              </w:rPr>
              <w:t>William C. Griffiths</w:t>
            </w:r>
          </w:p>
        </w:tc>
        <w:tc>
          <w:tcPr>
            <w:tcW w:w="60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87"/>
              </w:rPr>
              <w:t>/s/ Susan F. Davis</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6"/>
              </w:rPr>
              <w:t>Susan F. Davis</w:t>
            </w:r>
          </w:p>
        </w:tc>
        <w:tc>
          <w:tcPr>
            <w:tcW w:w="6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 Joseph D. Rupp</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Joseph D. Rupp</w:t>
            </w:r>
          </w:p>
        </w:tc>
        <w:tc>
          <w:tcPr>
            <w:tcW w:w="6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/s/ Curtis M. Stevens</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Curtis M. Stevens</w:t>
            </w:r>
          </w:p>
        </w:tc>
        <w:tc>
          <w:tcPr>
            <w:tcW w:w="6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Robert R. Buck</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Robert R. Buck</w:t>
            </w:r>
          </w:p>
        </w:tc>
        <w:tc>
          <w:tcPr>
            <w:tcW w:w="6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Donald R. Maier</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3"/>
              </w:rPr>
              <w:t>Donald R. Maier</w:t>
            </w:r>
          </w:p>
        </w:tc>
        <w:tc>
          <w:tcPr>
            <w:tcW w:w="6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Meredith W. Mendes</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5"/>
              </w:rPr>
              <w:t>Director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Meredith W. Mendes</w:t>
            </w:r>
          </w:p>
        </w:tc>
        <w:tc>
          <w:tcPr>
            <w:tcW w:w="60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Scott M. Zuehlke</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0"/>
              </w:rPr>
              <w:t>Senior Vice President - Chief Financial Officer and Treasurer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vMerge w:val="restart"/>
          </w:tcPr>
          <w:p>
            <w:pPr>
              <w:jc w:val="center"/>
              <w:ind w:left="251"/>
              <w:spacing w:after="0"/>
              <w:rPr>
                <w:sz w:val="20"/>
                <w:szCs w:val="20"/>
                <w:color w:val="auto"/>
              </w:rPr>
            </w:pPr>
            <w:r>
              <w:rPr>
                <w:rFonts w:ascii="Arial" w:cs="Arial" w:eastAsia="Arial" w:hAnsi="Arial"/>
                <w:sz w:val="18"/>
                <w:szCs w:val="18"/>
                <w:color w:val="auto"/>
                <w:w w:val="94"/>
              </w:rPr>
              <w:t>(Principal Financial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3"/>
              </w:rPr>
              <w:t>Scott M. Zuehlke</w:t>
            </w:r>
          </w:p>
        </w:tc>
        <w:tc>
          <w:tcPr>
            <w:tcW w:w="60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jc w:val="center"/>
              <w:spacing w:after="0"/>
              <w:rPr>
                <w:sz w:val="20"/>
                <w:szCs w:val="20"/>
                <w:color w:val="auto"/>
              </w:rPr>
            </w:pPr>
            <w:r>
              <w:rPr>
                <w:rFonts w:ascii="Arial" w:cs="Arial" w:eastAsia="Arial" w:hAnsi="Arial"/>
                <w:sz w:val="18"/>
                <w:szCs w:val="18"/>
                <w:color w:val="auto"/>
                <w:w w:val="96"/>
              </w:rPr>
              <w:t>/s/ Mark A. Livingston</w:t>
            </w:r>
          </w:p>
        </w:tc>
        <w:tc>
          <w:tcPr>
            <w:tcW w:w="6060" w:type="dxa"/>
            <w:vAlign w:val="bottom"/>
          </w:tcPr>
          <w:p>
            <w:pPr>
              <w:jc w:val="center"/>
              <w:ind w:left="251"/>
              <w:spacing w:after="0"/>
              <w:rPr>
                <w:sz w:val="20"/>
                <w:szCs w:val="20"/>
                <w:color w:val="auto"/>
              </w:rPr>
            </w:pPr>
            <w:r>
              <w:rPr>
                <w:rFonts w:ascii="Arial" w:cs="Arial" w:eastAsia="Arial" w:hAnsi="Arial"/>
                <w:sz w:val="18"/>
                <w:szCs w:val="18"/>
                <w:color w:val="auto"/>
                <w:w w:val="93"/>
              </w:rPr>
              <w:t>Vice President, Chief Accounting Officer and Controller</w:t>
            </w:r>
          </w:p>
        </w:tc>
        <w:tc>
          <w:tcPr>
            <w:tcW w:w="2040" w:type="dxa"/>
            <w:vAlign w:val="bottom"/>
          </w:tcPr>
          <w:p>
            <w:pPr>
              <w:jc w:val="center"/>
              <w:ind w:left="552"/>
              <w:spacing w:after="0"/>
              <w:rPr>
                <w:sz w:val="20"/>
                <w:szCs w:val="20"/>
                <w:color w:val="auto"/>
              </w:rPr>
            </w:pPr>
            <w:r>
              <w:rPr>
                <w:rFonts w:ascii="Arial" w:cs="Arial" w:eastAsia="Arial" w:hAnsi="Arial"/>
                <w:sz w:val="18"/>
                <w:szCs w:val="18"/>
                <w:color w:val="auto"/>
                <w:w w:val="88"/>
              </w:rPr>
              <w:t>December 12, 2019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6060" w:type="dxa"/>
            <w:vAlign w:val="bottom"/>
            <w:vMerge w:val="restart"/>
          </w:tcPr>
          <w:p>
            <w:pPr>
              <w:jc w:val="center"/>
              <w:ind w:left="251"/>
              <w:spacing w:after="0"/>
              <w:rPr>
                <w:sz w:val="20"/>
                <w:szCs w:val="20"/>
                <w:color w:val="auto"/>
              </w:rPr>
            </w:pPr>
            <w:r>
              <w:rPr>
                <w:rFonts w:ascii="Arial" w:cs="Arial" w:eastAsia="Arial" w:hAnsi="Arial"/>
                <w:sz w:val="18"/>
                <w:szCs w:val="18"/>
                <w:color w:val="auto"/>
                <w:w w:val="94"/>
              </w:rPr>
              <w:t>(Principal 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7"/>
              </w:rPr>
              <w:t>Mark A. Livingston</w:t>
            </w:r>
          </w:p>
        </w:tc>
        <w:tc>
          <w:tcPr>
            <w:tcW w:w="606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2820" w:type="dxa"/>
            <w:vAlign w:val="bottom"/>
          </w:tcPr>
          <w:p>
            <w:pPr>
              <w:spacing w:after="0"/>
              <w:rPr>
                <w:sz w:val="24"/>
                <w:szCs w:val="24"/>
                <w:color w:val="auto"/>
              </w:rPr>
            </w:pPr>
          </w:p>
        </w:tc>
        <w:tc>
          <w:tcPr>
            <w:tcW w:w="6060" w:type="dxa"/>
            <w:vAlign w:val="bottom"/>
          </w:tcPr>
          <w:p>
            <w:pPr>
              <w:jc w:val="right"/>
              <w:ind w:right="3091"/>
              <w:spacing w:after="0"/>
              <w:rPr>
                <w:sz w:val="20"/>
                <w:szCs w:val="20"/>
                <w:color w:val="auto"/>
              </w:rPr>
            </w:pPr>
            <w:r>
              <w:rPr>
                <w:rFonts w:ascii="Arial" w:cs="Arial" w:eastAsia="Arial" w:hAnsi="Arial"/>
                <w:sz w:val="18"/>
                <w:szCs w:val="18"/>
                <w:color w:val="auto"/>
              </w:rPr>
              <w:t>86</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4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40" w:type="dxa"/>
            <w:vAlign w:val="bottom"/>
            <w:gridSpan w:val="13"/>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413"/>
        </w:trPr>
        <w:tc>
          <w:tcPr>
            <w:tcW w:w="1460" w:type="dxa"/>
            <w:vAlign w:val="bottom"/>
            <w:gridSpan w:val="5"/>
          </w:tcPr>
          <w:p>
            <w:pPr>
              <w:spacing w:after="0"/>
              <w:rPr>
                <w:sz w:val="20"/>
                <w:szCs w:val="20"/>
                <w:color w:val="auto"/>
              </w:rPr>
            </w:pPr>
            <w:r>
              <w:rPr>
                <w:rFonts w:ascii="Arial" w:cs="Arial" w:eastAsia="Arial" w:hAnsi="Arial"/>
                <w:sz w:val="16"/>
                <w:szCs w:val="16"/>
                <w:b w:val="1"/>
                <w:bCs w:val="1"/>
                <w:color w:val="auto"/>
              </w:rPr>
              <w:t>Exhibit Number</w:t>
            </w:r>
          </w:p>
        </w:tc>
        <w:tc>
          <w:tcPr>
            <w:tcW w:w="9840" w:type="dxa"/>
            <w:vAlign w:val="bottom"/>
            <w:gridSpan w:val="16"/>
          </w:tcPr>
          <w:p>
            <w:pPr>
              <w:ind w:left="320"/>
              <w:spacing w:after="0"/>
              <w:rPr>
                <w:sz w:val="20"/>
                <w:szCs w:val="20"/>
                <w:color w:val="auto"/>
              </w:rPr>
            </w:pPr>
            <w:r>
              <w:rPr>
                <w:rFonts w:ascii="Arial" w:cs="Arial" w:eastAsia="Arial" w:hAnsi="Arial"/>
                <w:sz w:val="16"/>
                <w:szCs w:val="16"/>
                <w:b w:val="1"/>
                <w:bCs w:val="1"/>
                <w:color w:val="auto"/>
              </w:rPr>
              <w:t>Description of Exhibits</w:t>
            </w:r>
          </w:p>
        </w:tc>
      </w:tr>
      <w:tr>
        <w:trPr>
          <w:trHeight w:val="572"/>
        </w:trPr>
        <w:tc>
          <w:tcPr>
            <w:tcW w:w="1100" w:type="dxa"/>
            <w:vAlign w:val="bottom"/>
            <w:gridSpan w:val="4"/>
          </w:tcPr>
          <w:p>
            <w:pPr>
              <w:jc w:val="center"/>
              <w:ind w:left="611"/>
              <w:spacing w:after="0"/>
              <w:rPr>
                <w:sz w:val="20"/>
                <w:szCs w:val="20"/>
                <w:color w:val="auto"/>
              </w:rPr>
            </w:pPr>
            <w:r>
              <w:rPr>
                <w:rFonts w:ascii="Arial" w:cs="Arial" w:eastAsia="Arial" w:hAnsi="Arial"/>
                <w:sz w:val="18"/>
                <w:szCs w:val="18"/>
                <w:color w:val="auto"/>
                <w:w w:val="95"/>
              </w:rPr>
              <w:t>2.1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sz w:val="20"/>
                <w:szCs w:val="20"/>
                <w:color w:val="auto"/>
              </w:rPr>
            </w:pPr>
            <w:r>
              <w:rPr>
                <w:rFonts w:ascii="Arial" w:cs="Arial" w:eastAsia="Arial" w:hAnsi="Arial"/>
                <w:sz w:val="18"/>
                <w:szCs w:val="18"/>
                <w:color w:val="auto"/>
                <w:w w:val="93"/>
              </w:rPr>
              <w:t>Distribution Agreement among Quanex Corporation, Quanex Building Products LLC and Quanex Building Products Corporation</w:t>
            </w: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80" w:type="dxa"/>
            <w:vAlign w:val="bottom"/>
            <w:gridSpan w:val="15"/>
          </w:tcPr>
          <w:p>
            <w:pPr>
              <w:spacing w:after="0"/>
              <w:rPr>
                <w:sz w:val="20"/>
                <w:szCs w:val="20"/>
                <w:color w:val="auto"/>
              </w:rPr>
            </w:pPr>
            <w:r>
              <w:rPr>
                <w:rFonts w:ascii="Arial" w:cs="Arial" w:eastAsia="Arial" w:hAnsi="Arial"/>
                <w:sz w:val="18"/>
                <w:szCs w:val="18"/>
                <w:color w:val="auto"/>
                <w:w w:val="93"/>
              </w:rPr>
              <w:t>(incorporated by reference to Exhibit 10.1 to Quanex Corporation’s Current Report on Form 8-K (Reg. No. 001-05725) filed with</w:t>
            </w: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80" w:type="dxa"/>
            <w:vAlign w:val="bottom"/>
            <w:gridSpan w:val="15"/>
          </w:tcPr>
          <w:p>
            <w:pPr>
              <w:spacing w:after="0"/>
              <w:rPr>
                <w:sz w:val="20"/>
                <w:szCs w:val="20"/>
                <w:color w:val="auto"/>
              </w:rPr>
            </w:pPr>
            <w:r>
              <w:rPr>
                <w:rFonts w:ascii="Arial" w:cs="Arial" w:eastAsia="Arial" w:hAnsi="Arial"/>
                <w:sz w:val="18"/>
                <w:szCs w:val="18"/>
                <w:color w:val="auto"/>
              </w:rPr>
              <w:t>the Commission on December 24, 2007).</w:t>
            </w:r>
          </w:p>
        </w:tc>
      </w:tr>
      <w:tr>
        <w:trPr>
          <w:trHeight w:val="351"/>
        </w:trPr>
        <w:tc>
          <w:tcPr>
            <w:tcW w:w="1100" w:type="dxa"/>
            <w:vAlign w:val="bottom"/>
            <w:gridSpan w:val="4"/>
          </w:tcPr>
          <w:p>
            <w:pPr>
              <w:jc w:val="center"/>
              <w:ind w:left="611"/>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2.</w:t>
              </w:r>
              <w:r>
                <w:rPr>
                  <w:rFonts w:ascii="Arial" w:cs="Arial" w:eastAsia="Arial" w:hAnsi="Arial"/>
                  <w:sz w:val="18"/>
                  <w:szCs w:val="18"/>
                  <w:u w:val="single" w:color="auto"/>
                  <w:color w:val="0000FF"/>
                  <w:w w:val="95"/>
                </w:rPr>
                <w:t>2</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Agreement and Plan of Merger, dated as of January 31, 2011, by and among Quanex Building Products Corporation, QSB Inc.,</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Lauren Holdco Inc., Lauren International, Inc. and Kevin E. Gray, as agent for the shareholders of Lauren Holdco Inc., filed as</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Exhibit 2.1 of the Registrant’s Current Report on Form 8-K (Reg. No. 001-33913) as filed with the Securities and Exchange</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Commission on February 2, 2011, and incorporated herein by reference.</w:t>
              </w:r>
            </w:hyperlink>
          </w:p>
        </w:tc>
        <w:tc>
          <w:tcPr>
            <w:tcW w:w="4280" w:type="dxa"/>
            <w:vAlign w:val="bottom"/>
            <w:gridSpan w:val="7"/>
          </w:tcPr>
          <w:p>
            <w:pPr>
              <w:spacing w:after="0"/>
              <w:rPr>
                <w:sz w:val="17"/>
                <w:szCs w:val="17"/>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2.</w:t>
              </w:r>
              <w:r>
                <w:rPr>
                  <w:rFonts w:ascii="Arial" w:cs="Arial" w:eastAsia="Arial" w:hAnsi="Arial"/>
                  <w:sz w:val="18"/>
                  <w:szCs w:val="18"/>
                  <w:u w:val="single" w:color="auto"/>
                  <w:color w:val="0000FF"/>
                  <w:w w:val="95"/>
                </w:rPr>
                <w:t>3</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7"/>
              </w:rPr>
            </w:pPr>
            <w:hyperlink r:id="rId36">
              <w:r>
                <w:rPr>
                  <w:rFonts w:ascii="Arial" w:cs="Arial" w:eastAsia="Arial" w:hAnsi="Arial"/>
                  <w:sz w:val="18"/>
                  <w:szCs w:val="18"/>
                  <w:color w:val="0000FF"/>
                  <w:w w:val="97"/>
                </w:rPr>
                <w:t>Limited Liability Company Interest Purchase Agreement dated February 7, 2014, by and among Quanex Building Products</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Corporation, Nichols Aluminum, LLC and Aleris International Inc., filed as Exhibit 2.1 of the Registrant’s Current Report on Form</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8-K (Reg. No. 001-33913) as filed with the Securities and Exchange Commission on February 10, 2014, and incorporated herein</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2.</w:t>
              </w:r>
              <w:r>
                <w:rPr>
                  <w:rFonts w:ascii="Arial" w:cs="Arial" w:eastAsia="Arial" w:hAnsi="Arial"/>
                  <w:sz w:val="18"/>
                  <w:szCs w:val="18"/>
                  <w:u w:val="single" w:color="auto"/>
                  <w:color w:val="0000FF"/>
                  <w:w w:val="95"/>
                </w:rPr>
                <w:t>4</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First Amendment to Limited Liability Company Interest Purchase Agreement dated April 1, 2014, by and among Quanex Building</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7"/>
              </w:rPr>
            </w:pPr>
            <w:hyperlink r:id="rId37">
              <w:r>
                <w:rPr>
                  <w:rFonts w:ascii="Arial" w:cs="Arial" w:eastAsia="Arial" w:hAnsi="Arial"/>
                  <w:sz w:val="18"/>
                  <w:szCs w:val="18"/>
                  <w:color w:val="0000FF"/>
                  <w:w w:val="97"/>
                </w:rPr>
                <w:t>Products Corporation, Nichols Aluminum, LLC and Aleris International Inc., filed as Exhibit 10.1 of the Registrant’s Current</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Report on Form 8-K (Reg. No. 001-33913) as filed with the Securities and Exchange Commission on April 7, 2014, and</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incorporated herein by reference.</w:t>
              </w:r>
            </w:hyperlink>
          </w:p>
        </w:tc>
        <w:tc>
          <w:tcPr>
            <w:tcW w:w="7080" w:type="dxa"/>
            <w:vAlign w:val="bottom"/>
            <w:gridSpan w:val="12"/>
          </w:tcPr>
          <w:p>
            <w:pPr>
              <w:spacing w:after="0"/>
              <w:rPr>
                <w:sz w:val="17"/>
                <w:szCs w:val="17"/>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2.</w:t>
              </w:r>
              <w:r>
                <w:rPr>
                  <w:rFonts w:ascii="Arial" w:cs="Arial" w:eastAsia="Arial" w:hAnsi="Arial"/>
                  <w:sz w:val="18"/>
                  <w:szCs w:val="18"/>
                  <w:u w:val="single" w:color="auto"/>
                  <w:color w:val="0000FF"/>
                  <w:w w:val="95"/>
                </w:rPr>
                <w:t>5</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6"/>
              </w:rPr>
            </w:pPr>
            <w:hyperlink r:id="rId38">
              <w:r>
                <w:rPr>
                  <w:rFonts w:ascii="Arial" w:cs="Arial" w:eastAsia="Arial" w:hAnsi="Arial"/>
                  <w:sz w:val="18"/>
                  <w:szCs w:val="18"/>
                  <w:color w:val="0000FF"/>
                  <w:w w:val="96"/>
                </w:rPr>
                <w:t>Share Purchase Agreement dated June 15, 2015 by and among R.L. Hartshorn and others, and Quanex Building Products</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Corporation, filed as Exhibit 2.1 to the Registrant’s Current Report on Form 8-K (Reg. No. 001-33913), as filed with the Securities</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4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and Exchange Commission on June 16, 2015, and incorporated herein by reference.</w:t>
              </w:r>
            </w:hyperlink>
          </w:p>
        </w:tc>
        <w:tc>
          <w:tcPr>
            <w:tcW w:w="3440" w:type="dxa"/>
            <w:vAlign w:val="bottom"/>
            <w:gridSpan w:val="5"/>
          </w:tcPr>
          <w:p>
            <w:pPr>
              <w:spacing w:after="0"/>
              <w:rPr>
                <w:sz w:val="17"/>
                <w:szCs w:val="17"/>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2.</w:t>
              </w:r>
              <w:r>
                <w:rPr>
                  <w:rFonts w:ascii="Arial" w:cs="Arial" w:eastAsia="Arial" w:hAnsi="Arial"/>
                  <w:sz w:val="18"/>
                  <w:szCs w:val="18"/>
                  <w:u w:val="single" w:color="auto"/>
                  <w:color w:val="0000FF"/>
                  <w:w w:val="95"/>
                </w:rPr>
                <w:t>6</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Agreement and Plan of Merger, dated as of August 30, 2015, by and among Quanex Building Products Corporation, QWMS, Inc.,</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WII Holding, Inc., and Olympus Growth Fund IV, L.P, solely in its capacity as the representative of the stockholders of WII</w:t>
              </w:r>
            </w:hyperlink>
          </w:p>
        </w:tc>
        <w:tc>
          <w:tcPr>
            <w:tcW w:w="20" w:type="dxa"/>
            <w:vAlign w:val="bottom"/>
            <w:tcBorders>
              <w:top w:val="single" w:sz="8" w:color="0000FF"/>
            </w:tcBorders>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Holding, Inc, filed as Exhibit 2.1 to the Registrant's Current Report on Form 8-K (Reg. No. 001-33913), as filed with the Securities</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and Exchange Commission on August 30, 2015, and incorporated herein by reference.</w:t>
              </w:r>
            </w:hyperlink>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Restated Certificate of Incorporation of the Registrant dated as of March 4, 2016, filed as Exhibit 3.1 of the Registrant’s Current</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tcBorders>
            <w:gridSpan w:val="15"/>
          </w:tcPr>
          <w:p>
            <w:pPr>
              <w:spacing w:after="0" w:line="196" w:lineRule="exact"/>
              <w:rPr>
                <w:rFonts w:ascii="Arial" w:cs="Arial" w:eastAsia="Arial" w:hAnsi="Arial"/>
                <w:sz w:val="18"/>
                <w:szCs w:val="18"/>
                <w:color w:val="0000FF"/>
                <w:w w:val="98"/>
              </w:rPr>
            </w:pPr>
            <w:hyperlink r:id="rId40">
              <w:r>
                <w:rPr>
                  <w:rFonts w:ascii="Arial" w:cs="Arial" w:eastAsia="Arial" w:hAnsi="Arial"/>
                  <w:sz w:val="18"/>
                  <w:szCs w:val="18"/>
                  <w:color w:val="0000FF"/>
                  <w:w w:val="98"/>
                </w:rPr>
                <w:t>Report on Form 8-K (Reg. No. 001-33913) as filed with the Securities and Exchange Commission on March 7, 2016, and</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incorporated herein by reference.</w:t>
              </w:r>
            </w:hyperlink>
          </w:p>
        </w:tc>
        <w:tc>
          <w:tcPr>
            <w:tcW w:w="706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780" w:type="dxa"/>
            <w:vAlign w:val="bottom"/>
            <w:gridSpan w:val="2"/>
          </w:tcPr>
          <w:p>
            <w:pPr>
              <w:spacing w:after="0"/>
              <w:rPr>
                <w:sz w:val="24"/>
                <w:szCs w:val="24"/>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tcBorders>
              <w:bottom w:val="single" w:sz="8" w:color="0000FF"/>
            </w:tcBorders>
            <w:gridSpan w:val="14"/>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Third Amended and Restated Bylaws of the Registrant dated as of March 4, 2016, filed as Exhibit 3.2 of the Registrant’s Quarterly</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Report on Form 10-Q (Reg. No. 001-33913) for the quarter ended July 31, 2016, and incorporated herein by reference.</w:t>
              </w:r>
            </w:hyperlink>
          </w:p>
        </w:tc>
        <w:tc>
          <w:tcPr>
            <w:tcW w:w="920" w:type="dxa"/>
            <w:vAlign w:val="bottom"/>
            <w:gridSpan w:val="2"/>
          </w:tcPr>
          <w:p>
            <w:pPr>
              <w:spacing w:after="0"/>
              <w:rPr>
                <w:sz w:val="17"/>
                <w:szCs w:val="17"/>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Form of Registrant’s common stock certificate, filed as Exhibit 4.1 of Amendment No. 1 to the Registrant’s Registration Statement</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tcBorders>
            <w:gridSpan w:val="15"/>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on Form 10 (Reg. No. 001-33913), as filed with the Securities and Exchange Commission on February 14, 2008, and incorporated</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42">
              <w:r>
                <w:rPr>
                  <w:rFonts w:ascii="Arial" w:cs="Arial" w:eastAsia="Arial" w:hAnsi="Arial"/>
                  <w:sz w:val="18"/>
                  <w:szCs w:val="18"/>
                  <w:color w:val="0000FF"/>
                  <w:w w:val="87"/>
                </w:rPr>
                <w:t>herein by reference.</w:t>
              </w:r>
            </w:hyperlink>
          </w:p>
        </w:tc>
        <w:tc>
          <w:tcPr>
            <w:tcW w:w="802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00" w:type="dxa"/>
            <w:vAlign w:val="bottom"/>
            <w:gridSpan w:val="4"/>
          </w:tcPr>
          <w:p>
            <w:pPr>
              <w:jc w:val="center"/>
              <w:ind w:left="611"/>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Credit Agreement dated as of October 18, 2018, by and among the Company; the lenders party thereto; and Wells Fargo Bank,</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National Association, as Agent; filed as Exhibit 10.1 of the Registrant’s Current Report on Form 8-K (Reg. No. 001-33913) as</w:t>
              </w:r>
            </w:hyperlink>
          </w:p>
        </w:tc>
        <w:tc>
          <w:tcPr>
            <w:tcW w:w="20" w:type="dxa"/>
            <w:vAlign w:val="bottom"/>
            <w:tcBorders>
              <w:top w:val="single" w:sz="8" w:color="0000FF"/>
            </w:tcBorders>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filed with the Securities and Exchange Commission on October 18, 2018,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5"/>
          </w:tcPr>
          <w:p>
            <w:pPr>
              <w:jc w:val="center"/>
              <w:ind w:left="251"/>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†10.1</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8"/>
              </w:rPr>
            </w:pPr>
            <w:hyperlink r:id="rId44">
              <w:r>
                <w:rPr>
                  <w:rFonts w:ascii="Arial" w:cs="Arial" w:eastAsia="Arial" w:hAnsi="Arial"/>
                  <w:sz w:val="18"/>
                  <w:szCs w:val="18"/>
                  <w:color w:val="0000FF"/>
                  <w:w w:val="98"/>
                </w:rPr>
                <w:t>Quanex Building Products Corporation Amended and Restated 2008 Omnibus Incentive Plan, filed as Exhibit 10.1 to the</w:t>
              </w:r>
            </w:hyperlink>
          </w:p>
        </w:tc>
      </w:tr>
      <w:tr>
        <w:trPr>
          <w:trHeight w:val="196"/>
        </w:trPr>
        <w:tc>
          <w:tcPr>
            <w:tcW w:w="7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Registrant's Current Report on Form 8-K (Reg. No. 001-33913) as filed with the Securities and Exchange Commission on</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2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February 28, 2014, and incorporated herein by reference.</w:t>
              </w:r>
            </w:hyperlink>
          </w:p>
        </w:tc>
        <w:tc>
          <w:tcPr>
            <w:tcW w:w="5360" w:type="dxa"/>
            <w:vAlign w:val="bottom"/>
            <w:gridSpan w:val="9"/>
          </w:tcPr>
          <w:p>
            <w:pPr>
              <w:spacing w:after="0"/>
              <w:rPr>
                <w:sz w:val="17"/>
                <w:szCs w:val="17"/>
                <w:color w:val="auto"/>
              </w:rPr>
            </w:pPr>
          </w:p>
        </w:tc>
      </w:tr>
      <w:tr>
        <w:trPr>
          <w:trHeight w:val="372"/>
        </w:trPr>
        <w:tc>
          <w:tcPr>
            <w:tcW w:w="1460" w:type="dxa"/>
            <w:vAlign w:val="bottom"/>
            <w:gridSpan w:val="5"/>
          </w:tcPr>
          <w:p>
            <w:pPr>
              <w:jc w:val="center"/>
              <w:ind w:left="251"/>
              <w:spacing w:after="0"/>
              <w:rPr>
                <w:rFonts w:ascii="Arial" w:cs="Arial" w:eastAsia="Arial" w:hAnsi="Arial"/>
                <w:sz w:val="18"/>
                <w:szCs w:val="18"/>
                <w:color w:val="0000FF"/>
                <w:w w:val="88"/>
              </w:rPr>
            </w:pPr>
            <w:hyperlink r:id="rId45">
              <w:r>
                <w:rPr>
                  <w:rFonts w:ascii="Arial" w:cs="Arial" w:eastAsia="Arial" w:hAnsi="Arial"/>
                  <w:sz w:val="18"/>
                  <w:szCs w:val="18"/>
                  <w:color w:val="0000FF"/>
                  <w:w w:val="88"/>
                </w:rPr>
                <w:t>†10.2</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8"/>
              </w:rPr>
            </w:pPr>
            <w:hyperlink r:id="rId45">
              <w:r>
                <w:rPr>
                  <w:rFonts w:ascii="Arial" w:cs="Arial" w:eastAsia="Arial" w:hAnsi="Arial"/>
                  <w:sz w:val="18"/>
                  <w:szCs w:val="18"/>
                  <w:color w:val="0000FF"/>
                  <w:w w:val="98"/>
                </w:rPr>
                <w:t>Quanex Building Products Corporation Deferred Compensation Plan as amended, filed as Exhibit 10.2 to the Registrant's</w:t>
              </w:r>
            </w:hyperlink>
          </w:p>
        </w:tc>
      </w:tr>
      <w:tr>
        <w:trPr>
          <w:trHeight w:val="196"/>
        </w:trPr>
        <w:tc>
          <w:tcPr>
            <w:tcW w:w="7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Quarterly Report on Form 10-Q (Reg. No. 001-33913) for the quarter ended January 31, 2014, as filed with the Securities and</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7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Exchange Commission on March 6, 2014, and incorporated herein by reference.</w:t>
              </w:r>
            </w:hyperlink>
          </w:p>
        </w:tc>
        <w:tc>
          <w:tcPr>
            <w:tcW w:w="3700" w:type="dxa"/>
            <w:vAlign w:val="bottom"/>
            <w:gridSpan w:val="6"/>
          </w:tcPr>
          <w:p>
            <w:pPr>
              <w:spacing w:after="0"/>
              <w:rPr>
                <w:sz w:val="17"/>
                <w:szCs w:val="17"/>
                <w:color w:val="auto"/>
              </w:rPr>
            </w:pPr>
          </w:p>
        </w:tc>
      </w:tr>
      <w:tr>
        <w:trPr>
          <w:trHeight w:val="372"/>
        </w:trPr>
        <w:tc>
          <w:tcPr>
            <w:tcW w:w="1460" w:type="dxa"/>
            <w:vAlign w:val="bottom"/>
            <w:gridSpan w:val="5"/>
          </w:tcPr>
          <w:p>
            <w:pPr>
              <w:jc w:val="center"/>
              <w:ind w:left="251"/>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†10.3</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rPr>
            </w:pPr>
            <w:hyperlink r:id="rId46">
              <w:r>
                <w:rPr>
                  <w:rFonts w:ascii="Arial" w:cs="Arial" w:eastAsia="Arial" w:hAnsi="Arial"/>
                  <w:sz w:val="18"/>
                  <w:szCs w:val="18"/>
                  <w:color w:val="0000FF"/>
                </w:rPr>
                <w:t>Quanex Building Products Corporation Restoration Plan, filed as Exhibit 10.8 of Amendment No. 4 to the Registrant’s</w:t>
              </w:r>
            </w:hyperlink>
          </w:p>
        </w:tc>
      </w:tr>
      <w:tr>
        <w:trPr>
          <w:trHeight w:val="196"/>
        </w:trPr>
        <w:tc>
          <w:tcPr>
            <w:tcW w:w="7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Registration Statement on Form 10 (Reg. No. 001-33913), as filed with the Securities and Exchange Commission on March 17,</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2008, and incorporated herein by reference.</w:t>
              </w:r>
            </w:hyperlink>
          </w:p>
        </w:tc>
      </w:tr>
      <w:tr>
        <w:trPr>
          <w:trHeight w:val="20"/>
        </w:trPr>
        <w:tc>
          <w:tcPr>
            <w:tcW w:w="1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5"/>
          </w:tcPr>
          <w:p>
            <w:pPr>
              <w:jc w:val="center"/>
              <w:ind w:left="251"/>
              <w:spacing w:after="0"/>
              <w:rPr>
                <w:rFonts w:ascii="Arial" w:cs="Arial" w:eastAsia="Arial" w:hAnsi="Arial"/>
                <w:sz w:val="18"/>
                <w:szCs w:val="18"/>
                <w:color w:val="0000FF"/>
                <w:w w:val="88"/>
              </w:rPr>
            </w:pPr>
            <w:hyperlink r:id="rId47">
              <w:r>
                <w:rPr>
                  <w:rFonts w:ascii="Arial" w:cs="Arial" w:eastAsia="Arial" w:hAnsi="Arial"/>
                  <w:sz w:val="18"/>
                  <w:szCs w:val="18"/>
                  <w:color w:val="0000FF"/>
                  <w:w w:val="88"/>
                </w:rPr>
                <w:t>†10.4</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Quanex Building Products Corporation Supplemental Employees Retirement Plan, filed as Exhibit 10.9 of Amendment No. 4 to</w:t>
              </w:r>
            </w:hyperlink>
          </w:p>
        </w:tc>
      </w:tr>
      <w:tr>
        <w:trPr>
          <w:trHeight w:val="196"/>
        </w:trPr>
        <w:tc>
          <w:tcPr>
            <w:tcW w:w="7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top w:val="single" w:sz="8" w:color="0000FF"/>
            </w:tcBorders>
            <w:gridSpan w:val="15"/>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the Registrant’s Registration Statement on Form 10 (Reg. No. 001-33913), as filed with the Securities and Exchange Commission</w:t>
              </w:r>
            </w:hyperlink>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on March 17, 2008, and incorporated herein by reference.</w:t>
              </w:r>
            </w:hyperlink>
          </w:p>
        </w:tc>
        <w:tc>
          <w:tcPr>
            <w:tcW w:w="530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00"/>
          </w:cols>
          <w:pgMar w:left="240" w:top="108" w:right="359" w:bottom="1440" w:gutter="0" w:footer="0" w:header="0"/>
        </w:sectPr>
      </w:pP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00"/>
          </w:cols>
          <w:pgMar w:left="240" w:top="108" w:right="35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6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60" w:type="dxa"/>
            <w:vAlign w:val="bottom"/>
            <w:gridSpan w:val="13"/>
          </w:tcPr>
          <w:p>
            <w:pPr>
              <w:ind w:left="660"/>
              <w:spacing w:after="0"/>
              <w:rPr>
                <w:sz w:val="20"/>
                <w:szCs w:val="20"/>
                <w:color w:val="auto"/>
              </w:rPr>
            </w:pPr>
            <w:r>
              <w:rPr>
                <w:rFonts w:ascii="Arial" w:cs="Arial" w:eastAsia="Arial" w:hAnsi="Arial"/>
                <w:sz w:val="18"/>
                <w:szCs w:val="18"/>
                <w:b w:val="1"/>
                <w:bCs w:val="1"/>
                <w:color w:val="auto"/>
              </w:rPr>
              <w:t>EXHIBIT INDEX</w:t>
            </w:r>
          </w:p>
        </w:tc>
      </w:tr>
      <w:tr>
        <w:trPr>
          <w:trHeight w:val="413"/>
        </w:trPr>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Exhibit Number</w:t>
            </w:r>
          </w:p>
        </w:tc>
        <w:tc>
          <w:tcPr>
            <w:tcW w:w="9840" w:type="dxa"/>
            <w:vAlign w:val="bottom"/>
            <w:gridSpan w:val="16"/>
          </w:tcPr>
          <w:p>
            <w:pPr>
              <w:ind w:left="320"/>
              <w:spacing w:after="0"/>
              <w:rPr>
                <w:sz w:val="20"/>
                <w:szCs w:val="20"/>
                <w:color w:val="auto"/>
              </w:rPr>
            </w:pPr>
            <w:r>
              <w:rPr>
                <w:rFonts w:ascii="Arial" w:cs="Arial" w:eastAsia="Arial" w:hAnsi="Arial"/>
                <w:sz w:val="16"/>
                <w:szCs w:val="16"/>
                <w:b w:val="1"/>
                <w:bCs w:val="1"/>
                <w:color w:val="auto"/>
              </w:rPr>
              <w:t>Description of Exhibits</w:t>
            </w:r>
          </w:p>
        </w:tc>
      </w:tr>
      <w:tr>
        <w:trPr>
          <w:trHeight w:val="546"/>
        </w:trPr>
        <w:tc>
          <w:tcPr>
            <w:tcW w:w="700" w:type="dxa"/>
            <w:vAlign w:val="bottom"/>
          </w:tcPr>
          <w:p>
            <w:pPr>
              <w:spacing w:after="0"/>
              <w:rPr>
                <w:sz w:val="24"/>
                <w:szCs w:val="24"/>
                <w:color w:val="auto"/>
              </w:rPr>
            </w:pPr>
          </w:p>
        </w:tc>
        <w:tc>
          <w:tcPr>
            <w:tcW w:w="760" w:type="dxa"/>
            <w:vAlign w:val="bottom"/>
            <w:gridSpan w:val="2"/>
          </w:tcPr>
          <w:p>
            <w:pPr>
              <w:jc w:val="center"/>
              <w:ind w:right="360"/>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†10.5</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Form of Severance Agreement between the Registrant and certain of its executive officers, filed as Exhibit 10.5 of Amendment</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No. 1 to the Registrant’s Registration Statement on Form 10 (Reg. No. 001-33913), as filed with the Securities and Exchange</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3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Commission on February 14, 2008, and incorporated herein by reference.</w:t>
              </w:r>
            </w:hyperlink>
          </w:p>
        </w:tc>
        <w:tc>
          <w:tcPr>
            <w:tcW w:w="4180" w:type="dxa"/>
            <w:vAlign w:val="bottom"/>
            <w:gridSpan w:val="8"/>
          </w:tcPr>
          <w:p>
            <w:pPr>
              <w:spacing w:after="0"/>
              <w:rPr>
                <w:sz w:val="17"/>
                <w:szCs w:val="17"/>
                <w:color w:val="auto"/>
              </w:rPr>
            </w:pPr>
          </w:p>
        </w:tc>
      </w:tr>
      <w:tr>
        <w:trPr>
          <w:trHeight w:val="372"/>
        </w:trPr>
        <w:tc>
          <w:tcPr>
            <w:tcW w:w="700" w:type="dxa"/>
            <w:vAlign w:val="bottom"/>
          </w:tcPr>
          <w:p>
            <w:pPr>
              <w:spacing w:after="0"/>
              <w:rPr>
                <w:sz w:val="24"/>
                <w:szCs w:val="24"/>
                <w:color w:val="auto"/>
              </w:rPr>
            </w:pPr>
          </w:p>
        </w:tc>
        <w:tc>
          <w:tcPr>
            <w:tcW w:w="760" w:type="dxa"/>
            <w:vAlign w:val="bottom"/>
            <w:gridSpan w:val="2"/>
          </w:tcPr>
          <w:p>
            <w:pPr>
              <w:jc w:val="center"/>
              <w:ind w:right="360"/>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†10.6</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Form of Indemnity Agreement between the Registrant and each of its independent directors, effective September 2, 2008, filed as</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Exhibit 10.1 of the Registrant’s Current Report on Form 8-K (Reg. No. 001-33913), as filed with the Securities and Exchange</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Commission on August 29, 2008,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760" w:type="dxa"/>
            <w:vAlign w:val="bottom"/>
            <w:gridSpan w:val="2"/>
          </w:tcPr>
          <w:p>
            <w:pPr>
              <w:jc w:val="center"/>
              <w:ind w:right="360"/>
              <w:spacing w:after="0"/>
              <w:rPr>
                <w:rFonts w:ascii="Arial" w:cs="Arial" w:eastAsia="Arial" w:hAnsi="Arial"/>
                <w:sz w:val="18"/>
                <w:szCs w:val="18"/>
                <w:color w:val="0000FF"/>
                <w:w w:val="88"/>
              </w:rPr>
            </w:pPr>
            <w:hyperlink r:id="rId50">
              <w:r>
                <w:rPr>
                  <w:rFonts w:ascii="Arial" w:cs="Arial" w:eastAsia="Arial" w:hAnsi="Arial"/>
                  <w:sz w:val="18"/>
                  <w:szCs w:val="18"/>
                  <w:color w:val="0000FF"/>
                  <w:w w:val="88"/>
                </w:rPr>
                <w:t>†10.7</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Form of Indemnity Agreement between the Registrant and each of its officers, effective September 2, 2008, filed as Exhibit 10.2 of</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the Registrant’s Current Report on Form 8-K (Reg. No. 001-33913), as filed with the Securities and Exchange Commission on</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August 29, 2008,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760" w:type="dxa"/>
            <w:vAlign w:val="bottom"/>
            <w:gridSpan w:val="2"/>
          </w:tcPr>
          <w:p>
            <w:pPr>
              <w:jc w:val="center"/>
              <w:ind w:right="360"/>
              <w:spacing w:after="0"/>
              <w:rPr>
                <w:rFonts w:ascii="Arial" w:cs="Arial" w:eastAsia="Arial" w:hAnsi="Arial"/>
                <w:sz w:val="18"/>
                <w:szCs w:val="18"/>
                <w:color w:val="0000FF"/>
                <w:w w:val="88"/>
              </w:rPr>
            </w:pPr>
            <w:hyperlink r:id="rId51">
              <w:r>
                <w:rPr>
                  <w:rFonts w:ascii="Arial" w:cs="Arial" w:eastAsia="Arial" w:hAnsi="Arial"/>
                  <w:sz w:val="18"/>
                  <w:szCs w:val="18"/>
                  <w:color w:val="0000FF"/>
                  <w:w w:val="88"/>
                </w:rPr>
                <w:t>†10.8</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Agreement between Quanex Building Products Corporation and William C. Griffiths, effective July 9, 2013, filed as Exhibit 10.1</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of the Registrant's Current Report on Form 8-K (Reg. No. 001-33913), as filed with the Securities and Exchange Commission on</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July 9, 2013, and incorporated herein by reference.</w:t>
              </w:r>
            </w:hyperlink>
          </w:p>
        </w:tc>
        <w:tc>
          <w:tcPr>
            <w:tcW w:w="5800" w:type="dxa"/>
            <w:vAlign w:val="bottom"/>
            <w:gridSpan w:val="11"/>
          </w:tcPr>
          <w:p>
            <w:pPr>
              <w:spacing w:after="0"/>
              <w:rPr>
                <w:sz w:val="17"/>
                <w:szCs w:val="17"/>
                <w:color w:val="auto"/>
              </w:rPr>
            </w:pPr>
          </w:p>
        </w:tc>
      </w:tr>
      <w:tr>
        <w:trPr>
          <w:trHeight w:val="372"/>
        </w:trPr>
        <w:tc>
          <w:tcPr>
            <w:tcW w:w="700" w:type="dxa"/>
            <w:vAlign w:val="bottom"/>
          </w:tcPr>
          <w:p>
            <w:pPr>
              <w:spacing w:after="0"/>
              <w:rPr>
                <w:sz w:val="24"/>
                <w:szCs w:val="24"/>
                <w:color w:val="auto"/>
              </w:rPr>
            </w:pPr>
          </w:p>
        </w:tc>
        <w:tc>
          <w:tcPr>
            <w:tcW w:w="760" w:type="dxa"/>
            <w:vAlign w:val="bottom"/>
            <w:gridSpan w:val="2"/>
          </w:tcPr>
          <w:p>
            <w:pPr>
              <w:jc w:val="center"/>
              <w:ind w:right="360"/>
              <w:spacing w:after="0"/>
              <w:rPr>
                <w:rFonts w:ascii="Arial" w:cs="Arial" w:eastAsia="Arial" w:hAnsi="Arial"/>
                <w:sz w:val="18"/>
                <w:szCs w:val="18"/>
                <w:color w:val="0000FF"/>
                <w:w w:val="88"/>
              </w:rPr>
            </w:pPr>
            <w:hyperlink r:id="rId52">
              <w:r>
                <w:rPr>
                  <w:rFonts w:ascii="Arial" w:cs="Arial" w:eastAsia="Arial" w:hAnsi="Arial"/>
                  <w:sz w:val="18"/>
                  <w:szCs w:val="18"/>
                  <w:color w:val="0000FF"/>
                  <w:w w:val="88"/>
                </w:rPr>
                <w:t>†10.9</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5"/>
              </w:rPr>
            </w:pPr>
            <w:hyperlink r:id="rId52">
              <w:r>
                <w:rPr>
                  <w:rFonts w:ascii="Arial" w:cs="Arial" w:eastAsia="Arial" w:hAnsi="Arial"/>
                  <w:sz w:val="18"/>
                  <w:szCs w:val="18"/>
                  <w:color w:val="0000FF"/>
                  <w:w w:val="95"/>
                </w:rPr>
                <w:t>Change in Control Agreement between Quanex Building Products Corporation and William C. Griffiths, effective July 9, 2013,</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7"/>
              </w:rPr>
            </w:pPr>
            <w:hyperlink r:id="rId52">
              <w:r>
                <w:rPr>
                  <w:rFonts w:ascii="Arial" w:cs="Arial" w:eastAsia="Arial" w:hAnsi="Arial"/>
                  <w:sz w:val="18"/>
                  <w:szCs w:val="18"/>
                  <w:color w:val="0000FF"/>
                  <w:w w:val="97"/>
                </w:rPr>
                <w:t>filed as Exhibit 10.2 of the Registrant's Current Report on Form 8-K (Reg. No. 001-33913), as filed with the Securities and</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Exchange Commission on July 9, 2013,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0" w:type="dxa"/>
            <w:vAlign w:val="bottom"/>
            <w:gridSpan w:val="8"/>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0">
              <w:r>
                <w:rPr>
                  <w:rFonts w:ascii="Arial" w:cs="Arial" w:eastAsia="Arial" w:hAnsi="Arial"/>
                  <w:sz w:val="18"/>
                  <w:szCs w:val="18"/>
                  <w:color w:val="0000FF"/>
                  <w:w w:val="87"/>
                </w:rPr>
                <w:t>†10.10</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Indemnity Agreement between Quanex Building Products Corporation and William C. Griffiths, effective July 9, 2013, the form of</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8"/>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which is filed as Exhibit 10.2 of the Registrant's Current Report on Form 8-K (Reg. No. 001-33913), as filed with the Securities</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and Exchange Commission on August 29, 2008,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20" w:type="dxa"/>
            <w:vAlign w:val="bottom"/>
            <w:gridSpan w:val="9"/>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760" w:type="dxa"/>
            <w:vAlign w:val="bottom"/>
            <w:gridSpan w:val="2"/>
          </w:tcPr>
          <w:p>
            <w:pPr>
              <w:jc w:val="center"/>
              <w:ind w:right="320"/>
              <w:spacing w:after="0"/>
              <w:rPr>
                <w:rFonts w:ascii="Arial" w:cs="Arial" w:eastAsia="Arial" w:hAnsi="Arial"/>
                <w:sz w:val="18"/>
                <w:szCs w:val="18"/>
                <w:color w:val="0000FF"/>
                <w:w w:val="79"/>
              </w:rPr>
            </w:pPr>
            <w:hyperlink r:id="rId53">
              <w:r>
                <w:rPr>
                  <w:rFonts w:ascii="Arial" w:cs="Arial" w:eastAsia="Arial" w:hAnsi="Arial"/>
                  <w:sz w:val="18"/>
                  <w:szCs w:val="18"/>
                  <w:color w:val="0000FF"/>
                  <w:w w:val="79"/>
                </w:rPr>
                <w:t>†10.11</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Form of Stock Option Agreement for Employees under the Quanex Building Products Corporation 2008 Omnibus Incentive Plan,</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9"/>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as amended, filed as Exhibit 10.1 to the Registrant’s Current Report on Form 8-K (Reg. No. 001-33913), as filed with the</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Securities and Exchange Commission on April 29, 2014, and incorporated herein by reference.</w:t>
              </w:r>
            </w:hyperlink>
          </w:p>
        </w:tc>
        <w:tc>
          <w:tcPr>
            <w:tcW w:w="2640" w:type="dxa"/>
            <w:vAlign w:val="bottom"/>
            <w:gridSpan w:val="5"/>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4">
              <w:r>
                <w:rPr>
                  <w:rFonts w:ascii="Arial" w:cs="Arial" w:eastAsia="Arial" w:hAnsi="Arial"/>
                  <w:sz w:val="18"/>
                  <w:szCs w:val="18"/>
                  <w:color w:val="0000FF"/>
                  <w:w w:val="87"/>
                </w:rPr>
                <w:t>†10.12</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8"/>
              </w:rPr>
            </w:pPr>
            <w:hyperlink r:id="rId54">
              <w:r>
                <w:rPr>
                  <w:rFonts w:ascii="Arial" w:cs="Arial" w:eastAsia="Arial" w:hAnsi="Arial"/>
                  <w:sz w:val="18"/>
                  <w:szCs w:val="18"/>
                  <w:color w:val="0000FF"/>
                  <w:w w:val="98"/>
                </w:rPr>
                <w:t>Form of Stock Option Agreement for Section 16 Officers under the Quanex Building Products Corporation 2008 Omnibus</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Incentive Plan, as amended, filed as Exhibit 10.2 to the Registrant’s Current Report on Form 8-K (Reg. No. 001-33913), as filed</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with the Securities and Exchange Commission on April 29, 2014, and incorporated herein by reference.</w:t>
              </w:r>
            </w:hyperlink>
          </w:p>
        </w:tc>
        <w:tc>
          <w:tcPr>
            <w:tcW w:w="2000" w:type="dxa"/>
            <w:vAlign w:val="bottom"/>
            <w:gridSpan w:val="3"/>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5">
              <w:r>
                <w:rPr>
                  <w:rFonts w:ascii="Arial" w:cs="Arial" w:eastAsia="Arial" w:hAnsi="Arial"/>
                  <w:sz w:val="18"/>
                  <w:szCs w:val="18"/>
                  <w:color w:val="0000FF"/>
                  <w:w w:val="87"/>
                </w:rPr>
                <w:t>†10.13</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Form of Stock Option Agreement for Key Leaders under the Quanex Building Products Corporation 2008 Omnibus Incentive</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10"/>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Plan, as amended, filed as Exhibit 10.3 to the Registrant’s Current Report on Form 8-K ( Reg. No. 001-33913), as filed with the</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Securities and Exchange Commission on April 29, 2014, and incorporated herein by reference.</w:t>
              </w:r>
            </w:hyperlink>
          </w:p>
        </w:tc>
        <w:tc>
          <w:tcPr>
            <w:tcW w:w="2640" w:type="dxa"/>
            <w:vAlign w:val="bottom"/>
            <w:gridSpan w:val="5"/>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6">
              <w:r>
                <w:rPr>
                  <w:rFonts w:ascii="Arial" w:cs="Arial" w:eastAsia="Arial" w:hAnsi="Arial"/>
                  <w:sz w:val="18"/>
                  <w:szCs w:val="18"/>
                  <w:color w:val="0000FF"/>
                  <w:w w:val="87"/>
                </w:rPr>
                <w:t>†10.14</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4"/>
              </w:rPr>
            </w:pPr>
            <w:hyperlink r:id="rId56">
              <w:r>
                <w:rPr>
                  <w:rFonts w:ascii="Arial" w:cs="Arial" w:eastAsia="Arial" w:hAnsi="Arial"/>
                  <w:sz w:val="18"/>
                  <w:szCs w:val="18"/>
                  <w:color w:val="0000FF"/>
                  <w:w w:val="94"/>
                </w:rPr>
                <w:t>Form of Stock Option Agreement for Non-Employee Directors under the Quanex Building Products Corporation 2008 Omnibus</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10"/>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Incentive Plan, as amended, filed as Exhibit 10.4 to the Registrant’s Current Report on Form 8-K (Reg. No. 001-33913), as filed</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with the Securities and Exchange Commission on April 29, 2014, and incorporated herein by reference.</w:t>
              </w:r>
            </w:hyperlink>
          </w:p>
        </w:tc>
        <w:tc>
          <w:tcPr>
            <w:tcW w:w="2000" w:type="dxa"/>
            <w:vAlign w:val="bottom"/>
            <w:gridSpan w:val="3"/>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7">
              <w:r>
                <w:rPr>
                  <w:rFonts w:ascii="Arial" w:cs="Arial" w:eastAsia="Arial" w:hAnsi="Arial"/>
                  <w:sz w:val="18"/>
                  <w:szCs w:val="18"/>
                  <w:color w:val="0000FF"/>
                  <w:w w:val="87"/>
                </w:rPr>
                <w:t>†10.15</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Form of Restricted Stock Award Agreement for Employees under the Quanex Building Products Corporation 2008 Omnibus</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10"/>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Incentive Plan, as amended, filed as Exhibit 10.5 to the Registrant’s Current Report on Form 8-K (Reg. No. 001-33913), as filed</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with the Securities and Exchange Commission on April 29, 2014, and incorporated herein by reference.</w:t>
              </w:r>
            </w:hyperlink>
          </w:p>
        </w:tc>
        <w:tc>
          <w:tcPr>
            <w:tcW w:w="2000" w:type="dxa"/>
            <w:vAlign w:val="bottom"/>
            <w:gridSpan w:val="3"/>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8">
              <w:r>
                <w:rPr>
                  <w:rFonts w:ascii="Arial" w:cs="Arial" w:eastAsia="Arial" w:hAnsi="Arial"/>
                  <w:sz w:val="18"/>
                  <w:szCs w:val="18"/>
                  <w:color w:val="0000FF"/>
                  <w:w w:val="87"/>
                </w:rPr>
                <w:t>†10.16</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7"/>
              </w:rPr>
            </w:pPr>
            <w:hyperlink r:id="rId58">
              <w:r>
                <w:rPr>
                  <w:rFonts w:ascii="Arial" w:cs="Arial" w:eastAsia="Arial" w:hAnsi="Arial"/>
                  <w:sz w:val="18"/>
                  <w:szCs w:val="18"/>
                  <w:color w:val="0000FF"/>
                  <w:w w:val="97"/>
                </w:rPr>
                <w:t>Form of Restricted Stock Award Agreement for Section 16 Officers under the Quanex Building Products Corporation 2008</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10"/>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Omnibus Incentive Plan, as amended, filed as Exhibit 10.6 to the Registrant’s Current Report on Form 8-K (Reg. No. 001-33913),</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as filed with the Securities and Exchange Commission on April 29, 2014, and incorporated herein by reference.</w:t>
              </w:r>
            </w:hyperlink>
          </w:p>
        </w:tc>
        <w:tc>
          <w:tcPr>
            <w:tcW w:w="1440" w:type="dxa"/>
            <w:vAlign w:val="bottom"/>
            <w:gridSpan w:val="2"/>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9">
              <w:r>
                <w:rPr>
                  <w:rFonts w:ascii="Arial" w:cs="Arial" w:eastAsia="Arial" w:hAnsi="Arial"/>
                  <w:sz w:val="18"/>
                  <w:szCs w:val="18"/>
                  <w:color w:val="0000FF"/>
                  <w:w w:val="87"/>
                </w:rPr>
                <w:t>†10.17</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Form of Restricted Stock Award Agreement for Key Leaders under the Quanex Building Products Corporation 2008 Omnibus</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10"/>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Incentive Plan, as amended, filed as Exhibit 10.7 to the Registrant’s Current Report on Form 8-K (Reg. No. 001-33913), as filed</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with the Securities and Exchange Commission on April 29, 2014,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60" w:type="dxa"/>
            <w:vAlign w:val="bottom"/>
            <w:gridSpan w:val="11"/>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60">
              <w:r>
                <w:rPr>
                  <w:rFonts w:ascii="Arial" w:cs="Arial" w:eastAsia="Arial" w:hAnsi="Arial"/>
                  <w:sz w:val="18"/>
                  <w:szCs w:val="18"/>
                  <w:color w:val="0000FF"/>
                  <w:w w:val="87"/>
                </w:rPr>
                <w:t>†10.18</w:t>
              </w:r>
            </w:hyperlink>
          </w:p>
        </w:tc>
        <w:tc>
          <w:tcPr>
            <w:tcW w:w="36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Form of Restricted Stock Award Agreement for Non-Employee Directors under the Quanex Building Products Corporation 2008</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Omnibus Incentive Plan, as amended, filed as Exhibit 10.8 to the Registrant’s Current Report on Form 8-K (Reg. No. 001-33913),</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5"/>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as filed with the Securities and Exchange Commission on April 29, 2014, and incorporated herein by reference.</w:t>
              </w:r>
            </w:hyperlink>
          </w:p>
        </w:tc>
      </w:tr>
      <w:tr>
        <w:trPr>
          <w:trHeight w:val="480"/>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5140" w:type="dxa"/>
            <w:vAlign w:val="bottom"/>
            <w:tcBorders>
              <w:top w:val="single" w:sz="8" w:color="0000FF"/>
            </w:tcBorders>
            <w:gridSpan w:val="5"/>
          </w:tcPr>
          <w:p>
            <w:pPr>
              <w:jc w:val="right"/>
              <w:ind w:right="118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108" w:right="35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6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60" w:type="dxa"/>
            <w:vAlign w:val="bottom"/>
            <w:gridSpan w:val="8"/>
          </w:tcPr>
          <w:p>
            <w:pPr>
              <w:ind w:left="660"/>
              <w:spacing w:after="0"/>
              <w:rPr>
                <w:sz w:val="20"/>
                <w:szCs w:val="20"/>
                <w:color w:val="auto"/>
              </w:rPr>
            </w:pPr>
            <w:r>
              <w:rPr>
                <w:rFonts w:ascii="Arial" w:cs="Arial" w:eastAsia="Arial" w:hAnsi="Arial"/>
                <w:sz w:val="18"/>
                <w:szCs w:val="18"/>
                <w:b w:val="1"/>
                <w:bCs w:val="1"/>
                <w:color w:val="auto"/>
              </w:rPr>
              <w:t>EXHIBIT INDEX</w:t>
            </w:r>
          </w:p>
        </w:tc>
      </w:tr>
      <w:tr>
        <w:trPr>
          <w:trHeight w:val="413"/>
        </w:trPr>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Exhibit Number</w:t>
            </w:r>
          </w:p>
        </w:tc>
        <w:tc>
          <w:tcPr>
            <w:tcW w:w="9840" w:type="dxa"/>
            <w:vAlign w:val="bottom"/>
            <w:gridSpan w:val="11"/>
          </w:tcPr>
          <w:p>
            <w:pPr>
              <w:ind w:left="320"/>
              <w:spacing w:after="0"/>
              <w:rPr>
                <w:sz w:val="20"/>
                <w:szCs w:val="20"/>
                <w:color w:val="auto"/>
              </w:rPr>
            </w:pPr>
            <w:r>
              <w:rPr>
                <w:rFonts w:ascii="Arial" w:cs="Arial" w:eastAsia="Arial" w:hAnsi="Arial"/>
                <w:sz w:val="16"/>
                <w:szCs w:val="16"/>
                <w:b w:val="1"/>
                <w:bCs w:val="1"/>
                <w:color w:val="auto"/>
              </w:rPr>
              <w:t>Description of Exhibits</w:t>
            </w:r>
          </w:p>
        </w:tc>
      </w:tr>
      <w:tr>
        <w:trPr>
          <w:trHeight w:val="668"/>
        </w:trPr>
        <w:tc>
          <w:tcPr>
            <w:tcW w:w="1460" w:type="dxa"/>
            <w:vAlign w:val="bottom"/>
            <w:gridSpan w:val="3"/>
          </w:tcPr>
          <w:p>
            <w:pPr>
              <w:ind w:left="660"/>
              <w:spacing w:after="0"/>
              <w:rPr>
                <w:rFonts w:ascii="Arial" w:cs="Arial" w:eastAsia="Arial" w:hAnsi="Arial"/>
                <w:sz w:val="18"/>
                <w:szCs w:val="18"/>
                <w:color w:val="0000FF"/>
              </w:rPr>
            </w:pPr>
            <w:hyperlink r:id="rId61">
              <w:r>
                <w:rPr>
                  <w:rFonts w:ascii="Arial" w:cs="Arial" w:eastAsia="Arial" w:hAnsi="Arial"/>
                  <w:sz w:val="18"/>
                  <w:szCs w:val="18"/>
                  <w:color w:val="0000FF"/>
                </w:rPr>
                <w:t>†10.19</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Form of Restricted Stock Unit Award Agreement for Employees under the Quanex Building Products Corporation 2008 Omnibus</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Incentive Plan, as amended, filed as Exhibit 10.9 to the Registrant’s Current Report on Form 8-K (Reg. No. 001-33913), as filed</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with the Securities and Exchange Commission on April 29, 2014,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2">
              <w:r>
                <w:rPr>
                  <w:rFonts w:ascii="Arial" w:cs="Arial" w:eastAsia="Arial" w:hAnsi="Arial"/>
                  <w:sz w:val="18"/>
                  <w:szCs w:val="18"/>
                  <w:color w:val="0000FF"/>
                </w:rPr>
                <w:t>†10.20</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Form of Restricted Stock Unit Award Agreement for Section 16 Officers under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Omnibus Incentive Plan, as amended, filed as Exhibit 10.10 to the Registrant’s Current Report on Form 8-K (Reg. No. 001-33913),</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as filed with the Securities and Exchange Commission on April 29, 2014, and incorporated herein by reference.</w:t>
              </w:r>
            </w:hyperlink>
          </w:p>
        </w:tc>
        <w:tc>
          <w:tcPr>
            <w:tcW w:w="1440" w:type="dxa"/>
            <w:vAlign w:val="bottom"/>
            <w:gridSpan w:val="5"/>
          </w:tcPr>
          <w:p>
            <w:pPr>
              <w:spacing w:after="0"/>
              <w:rPr>
                <w:sz w:val="17"/>
                <w:szCs w:val="17"/>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3">
              <w:r>
                <w:rPr>
                  <w:rFonts w:ascii="Arial" w:cs="Arial" w:eastAsia="Arial" w:hAnsi="Arial"/>
                  <w:sz w:val="18"/>
                  <w:szCs w:val="18"/>
                  <w:color w:val="0000FF"/>
                </w:rPr>
                <w:t>†10.21</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Restricted Stock Unit Award Agreement for Key Leaders under the Quanex Building Products Corporation 2008 Omnibus</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Incentive Plan, as amended, filed as Exhibit 10.11 to the Registrant’s Current Report on Form 8-K (Reg. No. 001-33913), as filed</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with the Securities and Exchange Commission on April 29, 2014, and incorporated herein by reference.</w:t>
              </w:r>
            </w:hyperlink>
          </w:p>
        </w:tc>
        <w:tc>
          <w:tcPr>
            <w:tcW w:w="20" w:type="dxa"/>
            <w:vAlign w:val="bottom"/>
          </w:tcPr>
          <w:p>
            <w:pPr>
              <w:spacing w:after="0"/>
              <w:rPr>
                <w:sz w:val="17"/>
                <w:szCs w:val="17"/>
                <w:color w:val="auto"/>
              </w:rPr>
            </w:pPr>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60" w:type="dxa"/>
            <w:vAlign w:val="bottom"/>
            <w:gridSpan w:val="4"/>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4">
              <w:r>
                <w:rPr>
                  <w:rFonts w:ascii="Arial" w:cs="Arial" w:eastAsia="Arial" w:hAnsi="Arial"/>
                  <w:sz w:val="18"/>
                  <w:szCs w:val="18"/>
                  <w:color w:val="0000FF"/>
                </w:rPr>
                <w:t>†10.22</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Form of Restricted Stock Unit Award Agreement for Non-Employee Directors under the Quanex Building Products Corporation</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8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2008 Omnibus Incentive Plan, as amended, filed as Exhibit 10.12 to the Registrant’s Current Report on Form 8-K (Reg. No. 001-</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33913)</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as filed with the Securities and Exchange Commission on April 29, 2014, and incorporated herein by reference.</w:t>
              </w:r>
            </w:hyperlink>
          </w:p>
        </w:tc>
        <w:tc>
          <w:tcPr>
            <w:tcW w:w="8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5">
              <w:r>
                <w:rPr>
                  <w:rFonts w:ascii="Arial" w:cs="Arial" w:eastAsia="Arial" w:hAnsi="Arial"/>
                  <w:sz w:val="18"/>
                  <w:szCs w:val="18"/>
                  <w:color w:val="0000FF"/>
                </w:rPr>
                <w:t>†10.23</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Amended Form of Performance Share Award Agreement for Employees under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Omnibus Incentive Plan, as amended, filed as Exhibit 10.1 to the Registrant’s Current Report on Form 8-K (Reg. No. 001-33913),</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as filed with the Securities and Exchange Commission on December 7, 2015,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0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6">
              <w:r>
                <w:rPr>
                  <w:rFonts w:ascii="Arial" w:cs="Arial" w:eastAsia="Arial" w:hAnsi="Arial"/>
                  <w:sz w:val="18"/>
                  <w:szCs w:val="18"/>
                  <w:color w:val="0000FF"/>
                </w:rPr>
                <w:t>†10.24</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Amended Form of Performance Share Award Agreement for Section 16 Officers under the Quanex Building Products Corporation</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80" w:type="dxa"/>
            <w:vAlign w:val="bottom"/>
            <w:gridSpan w:val="7"/>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2008 Omnibus Incentive Plan, as amended, filed as Exhibit 10.2 to the Registrant’s Current Report on Form 8-K (Reg. No. 001-</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33913)</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 xml:space="preserve"> as filed with the Securities and Exchange Commission on December 7, 2015,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00" w:type="dxa"/>
            <w:vAlign w:val="bottom"/>
            <w:gridSpan w:val="8"/>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7">
              <w:r>
                <w:rPr>
                  <w:rFonts w:ascii="Arial" w:cs="Arial" w:eastAsia="Arial" w:hAnsi="Arial"/>
                  <w:sz w:val="18"/>
                  <w:szCs w:val="18"/>
                  <w:color w:val="0000FF"/>
                </w:rPr>
                <w:t>†10.25</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Amended Form of Performance Share Award Agreement for Key Leaders under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Omnibus Incentive Plan, as amended, filed as Exhibit 10.3 to the Registrant’s Current Report on Form 8-K (Reg. No. 001-33913),</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as filed with the Securities and Exchange Commission on December 7, 2015,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00" w:type="dxa"/>
            <w:vAlign w:val="bottom"/>
            <w:gridSpan w:val="6"/>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8">
              <w:r>
                <w:rPr>
                  <w:rFonts w:ascii="Arial" w:cs="Arial" w:eastAsia="Arial" w:hAnsi="Arial"/>
                  <w:sz w:val="18"/>
                  <w:szCs w:val="18"/>
                  <w:color w:val="0000FF"/>
                </w:rPr>
                <w:t>†10.26</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Form of Performance Share Award Agreement for Non-Employee Directors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Omnibus Incentive Plan, as amended, filed as Exhibit 10.16 to the Registrant’s Current Report on Form 8-K (Reg. No. 001-33913),</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as filed with the Securities and Exchange Commission on April 29, 2014, and incorporated herein by reference.</w:t>
              </w:r>
            </w:hyperlink>
          </w:p>
        </w:tc>
        <w:tc>
          <w:tcPr>
            <w:tcW w:w="1440" w:type="dxa"/>
            <w:vAlign w:val="bottom"/>
            <w:gridSpan w:val="5"/>
          </w:tcPr>
          <w:p>
            <w:pPr>
              <w:spacing w:after="0"/>
              <w:rPr>
                <w:sz w:val="17"/>
                <w:szCs w:val="17"/>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69">
              <w:r>
                <w:rPr>
                  <w:rFonts w:ascii="Arial" w:cs="Arial" w:eastAsia="Arial" w:hAnsi="Arial"/>
                  <w:sz w:val="18"/>
                  <w:szCs w:val="18"/>
                  <w:color w:val="0000FF"/>
                </w:rPr>
                <w:t>†10.27</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Amended Form of Performance Unit Award Agreement for Employees under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Omnibus Incentive Plan, as amended, filed as Exhibit 10.4 to the Registrant’s Current Report on Form 8-K (Reg. No. 001-33913),</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as filed with the Securities and Exchange Commission on December 7, 2015,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00" w:type="dxa"/>
            <w:vAlign w:val="bottom"/>
            <w:gridSpan w:val="6"/>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70">
              <w:r>
                <w:rPr>
                  <w:rFonts w:ascii="Arial" w:cs="Arial" w:eastAsia="Arial" w:hAnsi="Arial"/>
                  <w:sz w:val="18"/>
                  <w:szCs w:val="18"/>
                  <w:color w:val="0000FF"/>
                </w:rPr>
                <w:t>†10.28</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Amended Form of Performance Unit Award Agreement for Section 16 Officers under the Quanex Building Products Corporation</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2008 Omnibus Incentive Plan, as amended, filed as Exhibit 10.5 to the Registrant’s Current Report on Form 8-K (Reg. No. 001-</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33913)</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 xml:space="preserve"> as filed with the Securities and Exchange Commission on December 7, 2015,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00" w:type="dxa"/>
            <w:vAlign w:val="bottom"/>
            <w:gridSpan w:val="8"/>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71">
              <w:r>
                <w:rPr>
                  <w:rFonts w:ascii="Arial" w:cs="Arial" w:eastAsia="Arial" w:hAnsi="Arial"/>
                  <w:sz w:val="18"/>
                  <w:szCs w:val="18"/>
                  <w:color w:val="0000FF"/>
                </w:rPr>
                <w:t>†10.29</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Amended Form of Performance Unit Award Agreement for Key Leaders under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Omnibus Incentive Plan, as amended, filed as Exhibit 10.6 to the Registrant’s Current Report on Form 8-K (Reg. No. 001-33913),</w:t>
              </w:r>
            </w:hyperlink>
          </w:p>
        </w:tc>
        <w:tc>
          <w:tcPr>
            <w:tcW w:w="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as filed with the Securities and Exchange Commission on December 7, 2015,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00" w:type="dxa"/>
            <w:vAlign w:val="bottom"/>
            <w:gridSpan w:val="6"/>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72">
              <w:r>
                <w:rPr>
                  <w:rFonts w:ascii="Arial" w:cs="Arial" w:eastAsia="Arial" w:hAnsi="Arial"/>
                  <w:sz w:val="18"/>
                  <w:szCs w:val="18"/>
                  <w:color w:val="0000FF"/>
                </w:rPr>
                <w:t>†10.30</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Form of Performance Unit Award Agreement for Non-Employee Directors under the Quanex Building Products Corporation 2008</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Omnibus Incentive Plan, as amended, filed as Exhibit 10.20 to the Registrant’s Current Report on Form 8-K (Reg. No. 001-33913),</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as filed with the Securities and Exchange Commission on April 29, 2014, and incorporated herein by reference.</w:t>
              </w:r>
            </w:hyperlink>
          </w:p>
        </w:tc>
        <w:tc>
          <w:tcPr>
            <w:tcW w:w="1440" w:type="dxa"/>
            <w:vAlign w:val="bottom"/>
            <w:gridSpan w:val="5"/>
          </w:tcPr>
          <w:p>
            <w:pPr>
              <w:spacing w:after="0"/>
              <w:rPr>
                <w:sz w:val="17"/>
                <w:szCs w:val="17"/>
                <w:color w:val="auto"/>
              </w:rPr>
            </w:pPr>
          </w:p>
        </w:tc>
      </w:tr>
      <w:tr>
        <w:trPr>
          <w:trHeight w:val="372"/>
        </w:trPr>
        <w:tc>
          <w:tcPr>
            <w:tcW w:w="1460" w:type="dxa"/>
            <w:vAlign w:val="bottom"/>
            <w:gridSpan w:val="3"/>
          </w:tcPr>
          <w:p>
            <w:pPr>
              <w:ind w:left="660"/>
              <w:spacing w:after="0"/>
              <w:rPr>
                <w:rFonts w:ascii="Arial" w:cs="Arial" w:eastAsia="Arial" w:hAnsi="Arial"/>
                <w:sz w:val="18"/>
                <w:szCs w:val="18"/>
                <w:color w:val="0000FF"/>
              </w:rPr>
            </w:pPr>
            <w:hyperlink r:id="rId73">
              <w:r>
                <w:rPr>
                  <w:rFonts w:ascii="Arial" w:cs="Arial" w:eastAsia="Arial" w:hAnsi="Arial"/>
                  <w:sz w:val="18"/>
                  <w:szCs w:val="18"/>
                  <w:color w:val="0000FF"/>
                </w:rPr>
                <w:t>†10.31</w:t>
              </w:r>
            </w:hyperlink>
          </w:p>
        </w:tc>
        <w:tc>
          <w:tcPr>
            <w:tcW w:w="36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Form of Stock Appreciation Right Agreement for Employees under the Quanex Building Products Corporation 2008 Omnibus</w:t>
              </w:r>
            </w:hyperlink>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10"/>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Incentive Plan, as amended, filed as Exhibit 10.21 to the Registrant’s Current Report on Form 8-K (Reg. No. 001-33913), as filed</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with the Securities and Exchange Commission on April 29, 2014, and incorporated herein by reference.</w:t>
              </w:r>
            </w:hyperlink>
          </w:p>
        </w:tc>
        <w:tc>
          <w:tcPr>
            <w:tcW w:w="20" w:type="dxa"/>
            <w:vAlign w:val="bottom"/>
          </w:tcPr>
          <w:p>
            <w:pPr>
              <w:spacing w:after="0"/>
              <w:rPr>
                <w:sz w:val="17"/>
                <w:szCs w:val="17"/>
                <w:color w:val="auto"/>
              </w:rPr>
            </w:pPr>
          </w:p>
        </w:tc>
      </w:tr>
      <w:tr>
        <w:trPr>
          <w:trHeight w:val="601"/>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7440" w:type="dxa"/>
            <w:vAlign w:val="bottom"/>
            <w:tcBorders>
              <w:top w:val="single" w:sz="8" w:color="0000FF"/>
            </w:tcBorders>
            <w:gridSpan w:val="3"/>
          </w:tcPr>
          <w:p>
            <w:pPr>
              <w:jc w:val="right"/>
              <w:ind w:right="348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108" w:right="35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60" w:type="dxa"/>
            <w:vAlign w:val="bottom"/>
            <w:gridSpan w:val="18"/>
          </w:tcPr>
          <w:p>
            <w:pPr>
              <w:ind w:left="660"/>
              <w:spacing w:after="0"/>
              <w:rPr>
                <w:sz w:val="20"/>
                <w:szCs w:val="20"/>
                <w:color w:val="auto"/>
              </w:rPr>
            </w:pPr>
            <w:r>
              <w:rPr>
                <w:rFonts w:ascii="Arial" w:cs="Arial" w:eastAsia="Arial" w:hAnsi="Arial"/>
                <w:sz w:val="18"/>
                <w:szCs w:val="18"/>
                <w:b w:val="1"/>
                <w:bCs w:val="1"/>
                <w:color w:val="auto"/>
              </w:rPr>
              <w:t>EXHIBIT INDEX</w:t>
            </w:r>
          </w:p>
        </w:tc>
      </w:tr>
      <w:tr>
        <w:trPr>
          <w:trHeight w:val="413"/>
        </w:trPr>
        <w:tc>
          <w:tcPr>
            <w:tcW w:w="1460" w:type="dxa"/>
            <w:vAlign w:val="bottom"/>
            <w:gridSpan w:val="3"/>
          </w:tcPr>
          <w:p>
            <w:pPr>
              <w:spacing w:after="0"/>
              <w:rPr>
                <w:sz w:val="20"/>
                <w:szCs w:val="20"/>
                <w:color w:val="auto"/>
              </w:rPr>
            </w:pPr>
            <w:r>
              <w:rPr>
                <w:rFonts w:ascii="Arial" w:cs="Arial" w:eastAsia="Arial" w:hAnsi="Arial"/>
                <w:sz w:val="16"/>
                <w:szCs w:val="16"/>
                <w:b w:val="1"/>
                <w:bCs w:val="1"/>
                <w:color w:val="auto"/>
              </w:rPr>
              <w:t>Exhibit Number</w:t>
            </w:r>
          </w:p>
        </w:tc>
        <w:tc>
          <w:tcPr>
            <w:tcW w:w="9840" w:type="dxa"/>
            <w:vAlign w:val="bottom"/>
            <w:gridSpan w:val="22"/>
          </w:tcPr>
          <w:p>
            <w:pPr>
              <w:ind w:left="320"/>
              <w:spacing w:after="0"/>
              <w:rPr>
                <w:sz w:val="20"/>
                <w:szCs w:val="20"/>
                <w:color w:val="auto"/>
              </w:rPr>
            </w:pPr>
            <w:r>
              <w:rPr>
                <w:rFonts w:ascii="Arial" w:cs="Arial" w:eastAsia="Arial" w:hAnsi="Arial"/>
                <w:sz w:val="16"/>
                <w:szCs w:val="16"/>
                <w:b w:val="1"/>
                <w:bCs w:val="1"/>
                <w:color w:val="auto"/>
              </w:rPr>
              <w:t>Description of Exhibits</w:t>
            </w:r>
          </w:p>
        </w:tc>
      </w:tr>
      <w:tr>
        <w:trPr>
          <w:trHeight w:val="546"/>
        </w:trPr>
        <w:tc>
          <w:tcPr>
            <w:tcW w:w="1460" w:type="dxa"/>
            <w:vAlign w:val="bottom"/>
            <w:gridSpan w:val="3"/>
          </w:tcPr>
          <w:p>
            <w:pPr>
              <w:jc w:val="center"/>
              <w:ind w:left="251"/>
              <w:spacing w:after="0"/>
              <w:rPr>
                <w:rFonts w:ascii="Arial" w:cs="Arial" w:eastAsia="Arial" w:hAnsi="Arial"/>
                <w:sz w:val="18"/>
                <w:szCs w:val="18"/>
                <w:color w:val="0000FF"/>
                <w:w w:val="87"/>
              </w:rPr>
            </w:pPr>
            <w:hyperlink r:id="rId74">
              <w:r>
                <w:rPr>
                  <w:rFonts w:ascii="Arial" w:cs="Arial" w:eastAsia="Arial" w:hAnsi="Arial"/>
                  <w:sz w:val="18"/>
                  <w:szCs w:val="18"/>
                  <w:color w:val="0000FF"/>
                  <w:w w:val="87"/>
                </w:rPr>
                <w:t>†10.32</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Form of Stock Appreciation Right Agreement for Section 16 Officers under the Quanex Building Products Corporation 2008</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Omnibus Incentive Plan, as amended, filed as Exhibit 10.22 to the Registrant’s Current Report on Form 8-K (Reg. No. 001-33913),</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as filed with the Securities and Exchange Commission on April 29, 2014, and incorporated herein by reference.</w:t>
              </w:r>
            </w:hyperlink>
          </w:p>
        </w:tc>
        <w:tc>
          <w:tcPr>
            <w:tcW w:w="1440" w:type="dxa"/>
            <w:vAlign w:val="bottom"/>
            <w:gridSpan w:val="6"/>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75">
              <w:r>
                <w:rPr>
                  <w:rFonts w:ascii="Arial" w:cs="Arial" w:eastAsia="Arial" w:hAnsi="Arial"/>
                  <w:sz w:val="18"/>
                  <w:szCs w:val="18"/>
                  <w:color w:val="0000FF"/>
                  <w:w w:val="87"/>
                </w:rPr>
                <w:t>†10.33</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4"/>
              </w:rPr>
            </w:pPr>
            <w:hyperlink r:id="rId75">
              <w:r>
                <w:rPr>
                  <w:rFonts w:ascii="Arial" w:cs="Arial" w:eastAsia="Arial" w:hAnsi="Arial"/>
                  <w:sz w:val="18"/>
                  <w:szCs w:val="18"/>
                  <w:color w:val="0000FF"/>
                  <w:w w:val="94"/>
                </w:rPr>
                <w:t>Form of Stock Appreciation Right Agreement for Key Leaders under the Quanex Building Products Corporation 2008 Omnibus</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Incentive Plan, as amended, filed as Exhibit 10.23 to the Registrant’s Current Report on Form 8-K (Reg. No. 001-33913), as filed</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with the Securities and Exchange Commission on April 29, 2014,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76">
              <w:r>
                <w:rPr>
                  <w:rFonts w:ascii="Arial" w:cs="Arial" w:eastAsia="Arial" w:hAnsi="Arial"/>
                  <w:sz w:val="18"/>
                  <w:szCs w:val="18"/>
                  <w:color w:val="0000FF"/>
                  <w:w w:val="87"/>
                </w:rPr>
                <w:t>†10.34</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Form of Stock Appreciation Right Agreement for Non-Employee Directors under the Quanex Building Products Corporation 2008</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Omnibus Incentive Plan, as amended, filed as Exhibit 10.24 to the Registrant’s Current Report on Form 8-K (Reg. No. 001-33913),</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as filed with the Securities and Exchange Commission on April 29, 2014, and incorporated herein by reference.</w:t>
              </w:r>
            </w:hyperlink>
          </w:p>
        </w:tc>
        <w:tc>
          <w:tcPr>
            <w:tcW w:w="1440" w:type="dxa"/>
            <w:vAlign w:val="bottom"/>
            <w:gridSpan w:val="6"/>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77">
              <w:r>
                <w:rPr>
                  <w:rFonts w:ascii="Arial" w:cs="Arial" w:eastAsia="Arial" w:hAnsi="Arial"/>
                  <w:sz w:val="18"/>
                  <w:szCs w:val="18"/>
                  <w:color w:val="0000FF"/>
                  <w:w w:val="87"/>
                </w:rPr>
                <w:t>†10.35</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Other Stock Based Award Agreement under the Quanex Building Products Corporation 2008 Omnibus Incentive Plan, as</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amended, filed as Exhibit 10.25 to the Registrant’s Current Report on Form 8-K (Reg. No. 001-33913), as filed with the Securities</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and Exchange Commission on April 29, 2014, and incorporated herein by reference.</w:t>
              </w:r>
            </w:hyperlink>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78">
              <w:r>
                <w:rPr>
                  <w:rFonts w:ascii="Arial" w:cs="Arial" w:eastAsia="Arial" w:hAnsi="Arial"/>
                  <w:sz w:val="18"/>
                  <w:szCs w:val="18"/>
                  <w:color w:val="0000FF"/>
                  <w:w w:val="87"/>
                </w:rPr>
                <w:t>†10.36</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Amended Form of Annual Incentive Award Agreement under the Quanex Building Products Corporation 2008 Omnibus Incentive</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21"/>
          </w:tcPr>
          <w:p>
            <w:pPr>
              <w:spacing w:after="0" w:line="196" w:lineRule="exact"/>
              <w:rPr>
                <w:rFonts w:ascii="Arial" w:cs="Arial" w:eastAsia="Arial" w:hAnsi="Arial"/>
                <w:sz w:val="18"/>
                <w:szCs w:val="18"/>
                <w:color w:val="0000FF"/>
                <w:w w:val="94"/>
              </w:rPr>
            </w:pPr>
            <w:hyperlink r:id="rId78">
              <w:r>
                <w:rPr>
                  <w:rFonts w:ascii="Arial" w:cs="Arial" w:eastAsia="Arial" w:hAnsi="Arial"/>
                  <w:sz w:val="18"/>
                  <w:szCs w:val="18"/>
                  <w:color w:val="0000FF"/>
                  <w:w w:val="94"/>
                </w:rPr>
                <w:t>Plan, as amended, filed as Exhibit 10.7 to the Registrant’s Current Report on Form 8-K (Reg. No. 001-33913), as filed with the</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Securities and Exchange Commission on December 7, 2015,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79">
              <w:r>
                <w:rPr>
                  <w:rFonts w:ascii="Arial" w:cs="Arial" w:eastAsia="Arial" w:hAnsi="Arial"/>
                  <w:sz w:val="18"/>
                  <w:szCs w:val="18"/>
                  <w:color w:val="0000FF"/>
                  <w:w w:val="87"/>
                </w:rPr>
                <w:t>†10.37</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Agreement between Quanex Building Products Corporation and Scott Zuehlke, effective November 1, 2019, filed as Exhibit 10.1</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to the Registrant’s Current Report on Form 8-K (Reg. No. 001-33913), as filed with the Securities and Exchange Commission on</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November 1, 2019, and incorporated herein by reference.</w:t>
              </w:r>
            </w:hyperlink>
          </w:p>
        </w:tc>
        <w:tc>
          <w:tcPr>
            <w:tcW w:w="5180" w:type="dxa"/>
            <w:vAlign w:val="bottom"/>
            <w:tcBorders>
              <w:top w:val="single" w:sz="8" w:color="0000FF"/>
            </w:tcBorders>
            <w:gridSpan w:val="12"/>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80">
              <w:r>
                <w:rPr>
                  <w:rFonts w:ascii="Arial" w:cs="Arial" w:eastAsia="Arial" w:hAnsi="Arial"/>
                  <w:sz w:val="18"/>
                  <w:szCs w:val="18"/>
                  <w:color w:val="0000FF"/>
                  <w:w w:val="87"/>
                </w:rPr>
                <w:t>†10.38</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Change in Control Agreement between Quanex Building Products Corporation and Scott Zuehlke, effective January 25, 2016, filed</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as Exhibit 10.2 to the Registrant’s Current Report on Form 8-K (Reg. No. 001-33913), as filed with the Securities and Exchange</w:t>
              </w:r>
            </w:hyperlink>
          </w:p>
        </w:tc>
        <w:tc>
          <w:tcPr>
            <w:tcW w:w="220" w:type="dxa"/>
            <w:vAlign w:val="bottom"/>
            <w:gridSpan w:val="4"/>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Commission on January 27, 2016,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80">
              <w:r>
                <w:rPr>
                  <w:rFonts w:ascii="Arial" w:cs="Arial" w:eastAsia="Arial" w:hAnsi="Arial"/>
                  <w:sz w:val="18"/>
                  <w:szCs w:val="18"/>
                  <w:color w:val="0000FF"/>
                  <w:w w:val="87"/>
                </w:rPr>
                <w:t>†10.39</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Indemnity Agreement between Quanex Building Products Corporation and Scott Zuehlke, effective January 25, 2016, the form of</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which is filed as Exhibit 10.2 of the Registrant's Current Report on Form 8-K (Reg. No. 001-33913), as filed with the Securities</w:t>
              </w:r>
            </w:hyperlink>
          </w:p>
        </w:tc>
        <w:tc>
          <w:tcPr>
            <w:tcW w:w="260" w:type="dxa"/>
            <w:vAlign w:val="bottom"/>
            <w:gridSpan w:val="5"/>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and Exchange Commission on August 29, 2008, and incorporated herein by reference.</w:t>
              </w:r>
            </w:hyperlink>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2"/>
          </w:tcPr>
          <w:p>
            <w:pPr>
              <w:jc w:val="center"/>
              <w:ind w:left="611"/>
              <w:spacing w:after="0"/>
              <w:rPr>
                <w:rFonts w:ascii="Arial" w:cs="Arial" w:eastAsia="Arial" w:hAnsi="Arial"/>
                <w:sz w:val="18"/>
                <w:szCs w:val="18"/>
                <w:color w:val="0000FF"/>
                <w:w w:val="88"/>
              </w:rPr>
            </w:pPr>
            <w:hyperlink r:id="rId8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40</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Lease dated February 9, 2016, between Garner Properties Ltd. and HL Plastics Limited, filed as Exhibit 10.44 to the Registrant's</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Annual Report on Form 10-K (Reg. No. 001-33913) for the year ended October 31, 2016, as filed with the Securities and</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Exchange Commission on December 16, 2016, and incorporated herein by reference.</w:t>
              </w:r>
            </w:hyperlink>
          </w:p>
        </w:tc>
        <w:tc>
          <w:tcPr>
            <w:tcW w:w="332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00" w:type="dxa"/>
            <w:vAlign w:val="bottom"/>
            <w:gridSpan w:val="2"/>
          </w:tcPr>
          <w:p>
            <w:pPr>
              <w:jc w:val="center"/>
              <w:ind w:left="611"/>
              <w:spacing w:after="0"/>
              <w:rPr>
                <w:rFonts w:ascii="Arial" w:cs="Arial" w:eastAsia="Arial" w:hAnsi="Arial"/>
                <w:sz w:val="18"/>
                <w:szCs w:val="18"/>
                <w:color w:val="0000FF"/>
                <w:w w:val="88"/>
              </w:rPr>
            </w:pPr>
            <w:hyperlink r:id="rId8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41</w:t>
              </w:r>
            </w:hyperlink>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5"/>
              </w:rPr>
            </w:pPr>
            <w:hyperlink r:id="rId82">
              <w:r>
                <w:rPr>
                  <w:rFonts w:ascii="Arial" w:cs="Arial" w:eastAsia="Arial" w:hAnsi="Arial"/>
                  <w:sz w:val="18"/>
                  <w:szCs w:val="18"/>
                  <w:color w:val="0000FF"/>
                  <w:w w:val="95"/>
                </w:rPr>
                <w:t>Amended and Completely Restated Lease Agreement dated August 25, 2016, between Lauren Real Estate Holding LLC and</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Quanex IG Systems, Inc., filed as Exhibit 10.1 to the Registrant’s Current Report on Form 8-K (Reg. No. 001-33913), as filed with</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the Securities and Exchange Commission on August 26, 2016,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83">
              <w:r>
                <w:rPr>
                  <w:rFonts w:ascii="Arial" w:cs="Arial" w:eastAsia="Arial" w:hAnsi="Arial"/>
                  <w:sz w:val="18"/>
                  <w:szCs w:val="18"/>
                  <w:color w:val="0000FF"/>
                  <w:w w:val="87"/>
                </w:rPr>
                <w:t>†10.42</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Amended and Restated Employee Stock Purchase Plan, as amended and restated effective April 1, 2017, filed as Annex A to the</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FF"/>
            </w:tcBorders>
            <w:gridSpan w:val="21"/>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Registrant’s Definitive Proxy Statement on Schedule 14A for its 2017 Annual Meeting of Stockholders (Reg. No 001-33919), as</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filed with the Securities and Exchange Commission on January 31, 2017, and incorporated herein by reference.</w:t>
              </w:r>
            </w:hyperlink>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84">
              <w:r>
                <w:rPr>
                  <w:rFonts w:ascii="Arial" w:cs="Arial" w:eastAsia="Arial" w:hAnsi="Arial"/>
                  <w:sz w:val="18"/>
                  <w:szCs w:val="18"/>
                  <w:color w:val="0000FF"/>
                  <w:w w:val="87"/>
                </w:rPr>
                <w:t>†10.43</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Agreement between Quanex Building Products Corporation and George Wilson, effective August 1, 2017, filed as Exhibit 10.1 of</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32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the Registrant’s Current Report on Form 8-K (Reg. No. 001-33919) as filed with the Securities and Exchange Commission on July</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84">
              <w:r>
                <w:rPr>
                  <w:rFonts w:ascii="Arial" w:cs="Arial" w:eastAsia="Arial" w:hAnsi="Arial"/>
                  <w:sz w:val="18"/>
                  <w:szCs w:val="18"/>
                  <w:color w:val="0000FF"/>
                  <w:w w:val="87"/>
                </w:rPr>
                <w:t>27, 2017.</w:t>
              </w:r>
            </w:hyperlink>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85">
              <w:r>
                <w:rPr>
                  <w:rFonts w:ascii="Arial" w:cs="Arial" w:eastAsia="Arial" w:hAnsi="Arial"/>
                  <w:sz w:val="18"/>
                  <w:szCs w:val="18"/>
                  <w:color w:val="0000FF"/>
                  <w:w w:val="87"/>
                </w:rPr>
                <w:t>†10.44</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Change in Control Agreement between Quanex Building Products Corporation and George Wilson, effective August 1, 2017, filed</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32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as Exhibit 10.2 of the Registrant’s Current Report on Form 8-K (Reg. No. 001-33919) as filed with the Securities and Exchange</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Commission on July 27, 2017.</w:t>
              </w:r>
            </w:hyperlink>
          </w:p>
        </w:tc>
        <w:tc>
          <w:tcPr>
            <w:tcW w:w="20" w:type="dxa"/>
            <w:vAlign w:val="bottom"/>
          </w:tcPr>
          <w:p>
            <w:pPr>
              <w:spacing w:after="0"/>
              <w:rPr>
                <w:sz w:val="17"/>
                <w:szCs w:val="17"/>
                <w:color w:val="auto"/>
              </w:rPr>
            </w:pPr>
          </w:p>
        </w:tc>
      </w:tr>
      <w:tr>
        <w:trPr>
          <w:trHeight w:val="20"/>
        </w:trPr>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3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gridSpan w:val="3"/>
          </w:tcPr>
          <w:p>
            <w:pPr>
              <w:jc w:val="center"/>
              <w:ind w:left="251"/>
              <w:spacing w:after="0"/>
              <w:rPr>
                <w:rFonts w:ascii="Arial" w:cs="Arial" w:eastAsia="Arial" w:hAnsi="Arial"/>
                <w:sz w:val="18"/>
                <w:szCs w:val="18"/>
                <w:color w:val="0000FF"/>
                <w:w w:val="87"/>
              </w:rPr>
            </w:pPr>
            <w:hyperlink r:id="rId50">
              <w:r>
                <w:rPr>
                  <w:rFonts w:ascii="Arial" w:cs="Arial" w:eastAsia="Arial" w:hAnsi="Arial"/>
                  <w:sz w:val="18"/>
                  <w:szCs w:val="18"/>
                  <w:color w:val="0000FF"/>
                  <w:w w:val="87"/>
                </w:rPr>
                <w:t>†10.45</w:t>
              </w:r>
            </w:hyperlink>
          </w:p>
        </w:tc>
        <w:tc>
          <w:tcPr>
            <w:tcW w:w="36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Form of Indemnity Agreement between Quanex Building Products Corporation and George Wilson, effective August 1, 2017, in</w:t>
              </w:r>
            </w:hyperlink>
          </w:p>
        </w:tc>
      </w:tr>
      <w:tr>
        <w:trPr>
          <w:trHeight w:val="20"/>
        </w:trPr>
        <w:tc>
          <w:tcPr>
            <w:tcW w:w="7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9"/>
            <w:shd w:val="clear" w:color="auto" w:fill="0000FF"/>
          </w:tcPr>
          <w:p>
            <w:pPr>
              <w:spacing w:after="0" w:line="20" w:lineRule="exact"/>
              <w:rPr>
                <w:sz w:val="1"/>
                <w:szCs w:val="1"/>
                <w:color w:val="auto"/>
              </w:rPr>
            </w:pPr>
          </w:p>
        </w:tc>
        <w:tc>
          <w:tcPr>
            <w:tcW w:w="324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the form filed as Exhibit 10.2 of the Registrant’s Current Report on Form 8-K (Reg. No. 001-33913), as filed with the Securities</w:t>
              </w:r>
            </w:hyperlink>
          </w:p>
        </w:tc>
      </w:tr>
      <w:tr>
        <w:trPr>
          <w:trHeight w:val="19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and Exchange Commission on August 29, 2008, and incorporated herein by reference.</w:t>
              </w:r>
            </w:hyperlink>
          </w:p>
        </w:tc>
        <w:tc>
          <w:tcPr>
            <w:tcW w:w="20" w:type="dxa"/>
            <w:vAlign w:val="bottom"/>
          </w:tcPr>
          <w:p>
            <w:pPr>
              <w:spacing w:after="0"/>
              <w:rPr>
                <w:sz w:val="17"/>
                <w:szCs w:val="17"/>
                <w:color w:val="auto"/>
              </w:rPr>
            </w:pPr>
          </w:p>
        </w:tc>
      </w:tr>
      <w:tr>
        <w:trPr>
          <w:trHeight w:val="601"/>
        </w:trPr>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120" w:type="dxa"/>
            <w:vAlign w:val="bottom"/>
            <w:tcBorders>
              <w:top w:val="single" w:sz="8" w:color="0000FF"/>
            </w:tcBorders>
            <w:gridSpan w:val="5"/>
          </w:tcPr>
          <w:p>
            <w:pPr>
              <w:jc w:val="right"/>
              <w:ind w:right="160"/>
              <w:spacing w:after="0"/>
              <w:rPr>
                <w:sz w:val="20"/>
                <w:szCs w:val="20"/>
                <w:color w:val="auto"/>
              </w:rPr>
            </w:pPr>
            <w:r>
              <w:rPr>
                <w:rFonts w:ascii="Arial" w:cs="Arial" w:eastAsia="Arial" w:hAnsi="Arial"/>
                <w:sz w:val="18"/>
                <w:szCs w:val="18"/>
                <w:color w:val="auto"/>
              </w:rPr>
              <w:t>90</w:t>
            </w:r>
          </w:p>
        </w:tc>
        <w:tc>
          <w:tcPr>
            <w:tcW w:w="10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108" w:right="3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4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40" w:type="dxa"/>
            <w:vAlign w:val="bottom"/>
            <w:gridSpan w:val="20"/>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413"/>
        </w:trPr>
        <w:tc>
          <w:tcPr>
            <w:tcW w:w="1540" w:type="dxa"/>
            <w:vAlign w:val="bottom"/>
            <w:gridSpan w:val="6"/>
          </w:tcPr>
          <w:p>
            <w:pPr>
              <w:spacing w:after="0"/>
              <w:rPr>
                <w:sz w:val="20"/>
                <w:szCs w:val="20"/>
                <w:color w:val="auto"/>
              </w:rPr>
            </w:pPr>
            <w:r>
              <w:rPr>
                <w:rFonts w:ascii="Arial" w:cs="Arial" w:eastAsia="Arial" w:hAnsi="Arial"/>
                <w:sz w:val="16"/>
                <w:szCs w:val="16"/>
                <w:b w:val="1"/>
                <w:bCs w:val="1"/>
                <w:color w:val="auto"/>
              </w:rPr>
              <w:t>Exhibit Number</w:t>
            </w:r>
          </w:p>
        </w:tc>
        <w:tc>
          <w:tcPr>
            <w:tcW w:w="9760" w:type="dxa"/>
            <w:vAlign w:val="bottom"/>
            <w:gridSpan w:val="22"/>
          </w:tcPr>
          <w:p>
            <w:pPr>
              <w:ind w:left="240"/>
              <w:spacing w:after="0"/>
              <w:rPr>
                <w:sz w:val="20"/>
                <w:szCs w:val="20"/>
                <w:color w:val="auto"/>
              </w:rPr>
            </w:pPr>
            <w:r>
              <w:rPr>
                <w:rFonts w:ascii="Arial" w:cs="Arial" w:eastAsia="Arial" w:hAnsi="Arial"/>
                <w:sz w:val="16"/>
                <w:szCs w:val="16"/>
                <w:b w:val="1"/>
                <w:bCs w:val="1"/>
                <w:color w:val="auto"/>
              </w:rPr>
              <w:t>Description of Exhibits</w:t>
            </w:r>
          </w:p>
        </w:tc>
      </w:tr>
      <w:tr>
        <w:trPr>
          <w:trHeight w:val="546"/>
        </w:trPr>
        <w:tc>
          <w:tcPr>
            <w:tcW w:w="600" w:type="dxa"/>
            <w:vAlign w:val="bottom"/>
          </w:tcPr>
          <w:p>
            <w:pPr>
              <w:spacing w:after="0"/>
              <w:rPr>
                <w:sz w:val="24"/>
                <w:szCs w:val="24"/>
                <w:color w:val="auto"/>
              </w:rPr>
            </w:pPr>
          </w:p>
        </w:tc>
        <w:tc>
          <w:tcPr>
            <w:tcW w:w="940" w:type="dxa"/>
            <w:vAlign w:val="bottom"/>
            <w:gridSpan w:val="5"/>
          </w:tcPr>
          <w:p>
            <w:pPr>
              <w:jc w:val="center"/>
              <w:ind w:right="340"/>
              <w:spacing w:after="0"/>
              <w:rPr>
                <w:rFonts w:ascii="Arial" w:cs="Arial" w:eastAsia="Arial" w:hAnsi="Arial"/>
                <w:sz w:val="18"/>
                <w:szCs w:val="18"/>
                <w:color w:val="0000FF"/>
                <w:w w:val="87"/>
              </w:rPr>
            </w:pPr>
            <w:hyperlink r:id="rId86">
              <w:r>
                <w:rPr>
                  <w:rFonts w:ascii="Arial" w:cs="Arial" w:eastAsia="Arial" w:hAnsi="Arial"/>
                  <w:sz w:val="18"/>
                  <w:szCs w:val="18"/>
                  <w:color w:val="0000FF"/>
                  <w:w w:val="87"/>
                </w:rPr>
                <w:t>†10.46</w:t>
              </w:r>
            </w:hyperlink>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Form of Key Leader Stock Settled Performance Restricted Stock Units Award Agreement filed as Exhibit 10.50 to the Registrant's</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tcBorders>
              <w:top w:val="single" w:sz="8" w:color="0000FF"/>
            </w:tcBorders>
            <w:gridSpan w:val="21"/>
          </w:tcPr>
          <w:p>
            <w:pPr>
              <w:spacing w:after="0" w:line="196"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Annual Report on Form 10-K (Reg. No. 001-33913) for the year ended October 31, 2017, as filed with the Securities and</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Exchange Commission on December 12, 2017, and incorporated herein by reference.</w:t>
              </w:r>
            </w:hyperlink>
          </w:p>
        </w:tc>
        <w:tc>
          <w:tcPr>
            <w:tcW w:w="332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00" w:type="dxa"/>
            <w:vAlign w:val="bottom"/>
          </w:tcPr>
          <w:p>
            <w:pPr>
              <w:spacing w:after="0"/>
              <w:rPr>
                <w:sz w:val="24"/>
                <w:szCs w:val="24"/>
                <w:color w:val="auto"/>
              </w:rPr>
            </w:pPr>
          </w:p>
        </w:tc>
        <w:tc>
          <w:tcPr>
            <w:tcW w:w="940" w:type="dxa"/>
            <w:vAlign w:val="bottom"/>
            <w:gridSpan w:val="5"/>
          </w:tcPr>
          <w:p>
            <w:pPr>
              <w:jc w:val="center"/>
              <w:ind w:right="340"/>
              <w:spacing w:after="0"/>
              <w:rPr>
                <w:rFonts w:ascii="Arial" w:cs="Arial" w:eastAsia="Arial" w:hAnsi="Arial"/>
                <w:sz w:val="18"/>
                <w:szCs w:val="18"/>
                <w:color w:val="0000FF"/>
                <w:w w:val="87"/>
              </w:rPr>
            </w:pPr>
            <w:hyperlink r:id="rId87">
              <w:r>
                <w:rPr>
                  <w:rFonts w:ascii="Arial" w:cs="Arial" w:eastAsia="Arial" w:hAnsi="Arial"/>
                  <w:sz w:val="18"/>
                  <w:szCs w:val="18"/>
                  <w:color w:val="0000FF"/>
                  <w:w w:val="87"/>
                </w:rPr>
                <w:t>†10.47</w:t>
              </w:r>
            </w:hyperlink>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Form of Section 16 Officer Stock Settled Performance Restricted Stock Units Award Agreement filed as Exhibit 10.51 to the</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Registrant's Annual Report on Form 10-K (Reg. No. 001-33913) for the year ended October 31, 2017, as filed with the Securities</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and Exchange Commission on December 12, 2017, and incorporated herein by reference.</w:t>
              </w:r>
            </w:hyperlink>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3"/>
          </w:tcPr>
          <w:p>
            <w:pPr>
              <w:jc w:val="center"/>
              <w:ind w:left="551"/>
              <w:spacing w:after="0"/>
              <w:rPr>
                <w:rFonts w:ascii="Arial" w:cs="Arial" w:eastAsia="Arial" w:hAnsi="Arial"/>
                <w:sz w:val="18"/>
                <w:szCs w:val="18"/>
                <w:color w:val="0000FF"/>
                <w:w w:val="88"/>
              </w:rPr>
            </w:pPr>
            <w:hyperlink r:id="rId8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48</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4"/>
              </w:rPr>
            </w:pPr>
            <w:hyperlink r:id="rId88">
              <w:r>
                <w:rPr>
                  <w:rFonts w:ascii="Arial" w:cs="Arial" w:eastAsia="Arial" w:hAnsi="Arial"/>
                  <w:sz w:val="18"/>
                  <w:szCs w:val="18"/>
                  <w:color w:val="0000FF"/>
                  <w:w w:val="94"/>
                </w:rPr>
                <w:t>Share Repurchase Agreement by and among Praesidium Investment Management Company LLC, Quanex Building Products</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tcBorders>
              <w:top w:val="single" w:sz="8" w:color="0000FF"/>
            </w:tcBorders>
            <w:gridSpan w:val="21"/>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Corporation, Kevin Oram and Peter Uddo, effective October 9, 2018, filed as Exhibit 10.1 of the Registrant’s Current Report on</w:t>
              </w:r>
            </w:hyperlink>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Form 8-K (Reg. No. 001-33913) as filed with the Securities and Exchange Commission on October 12, 2018, and incorporated</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88">
              <w:r>
                <w:rPr>
                  <w:rFonts w:ascii="Arial" w:cs="Arial" w:eastAsia="Arial" w:hAnsi="Arial"/>
                  <w:sz w:val="18"/>
                  <w:szCs w:val="18"/>
                  <w:color w:val="0000FF"/>
                  <w:w w:val="87"/>
                </w:rPr>
                <w:t>herein by reference.</w:t>
              </w:r>
            </w:hyperlink>
          </w:p>
        </w:tc>
        <w:tc>
          <w:tcPr>
            <w:tcW w:w="802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00" w:type="dxa"/>
            <w:vAlign w:val="bottom"/>
          </w:tcPr>
          <w:p>
            <w:pPr>
              <w:spacing w:after="0"/>
              <w:rPr>
                <w:sz w:val="24"/>
                <w:szCs w:val="24"/>
                <w:color w:val="auto"/>
              </w:rPr>
            </w:pPr>
          </w:p>
        </w:tc>
        <w:tc>
          <w:tcPr>
            <w:tcW w:w="600" w:type="dxa"/>
            <w:vAlign w:val="bottom"/>
            <w:gridSpan w:val="4"/>
          </w:tcPr>
          <w:p>
            <w:pPr>
              <w:jc w:val="center"/>
              <w:spacing w:after="0"/>
              <w:rPr>
                <w:rFonts w:ascii="Arial" w:cs="Arial" w:eastAsia="Arial" w:hAnsi="Arial"/>
                <w:sz w:val="18"/>
                <w:szCs w:val="18"/>
                <w:color w:val="0000FF"/>
                <w:w w:val="96"/>
              </w:rPr>
            </w:pPr>
            <w:hyperlink w:anchor="page93">
              <w:r>
                <w:rPr>
                  <w:rFonts w:ascii="Arial" w:cs="Arial" w:eastAsia="Arial" w:hAnsi="Arial"/>
                  <w:sz w:val="18"/>
                  <w:szCs w:val="18"/>
                  <w:color w:val="0000FF"/>
                  <w:w w:val="96"/>
                </w:rPr>
                <w:t>*†10.49</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Agreement between Quanex Building Products Corporation and Mark A. Livingston, effective January 30, 2019.</w:t>
              </w:r>
            </w:hyperlink>
          </w:p>
        </w:tc>
      </w:tr>
      <w:tr>
        <w:trPr>
          <w:trHeight w:val="20"/>
        </w:trPr>
        <w:tc>
          <w:tcPr>
            <w:tcW w:w="6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600" w:type="dxa"/>
            <w:vAlign w:val="bottom"/>
            <w:gridSpan w:val="4"/>
          </w:tcPr>
          <w:p>
            <w:pPr>
              <w:jc w:val="center"/>
              <w:spacing w:after="0"/>
              <w:rPr>
                <w:rFonts w:ascii="Arial" w:cs="Arial" w:eastAsia="Arial" w:hAnsi="Arial"/>
                <w:sz w:val="18"/>
                <w:szCs w:val="18"/>
                <w:color w:val="0000FF"/>
                <w:w w:val="87"/>
              </w:rPr>
            </w:pPr>
            <w:hyperlink r:id="rId89">
              <w:r>
                <w:rPr>
                  <w:rFonts w:ascii="Arial" w:cs="Arial" w:eastAsia="Arial" w:hAnsi="Arial"/>
                  <w:sz w:val="18"/>
                  <w:szCs w:val="18"/>
                  <w:color w:val="0000FF"/>
                  <w:w w:val="87"/>
                </w:rPr>
                <w:t>†10.50</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Agreement between Quanex Building Products Corporation and Mark Livingston, effective November 1, 2019, filed as Exhibit</w:t>
              </w:r>
            </w:hyperlink>
          </w:p>
        </w:tc>
      </w:tr>
      <w:tr>
        <w:trPr>
          <w:trHeight w:val="20"/>
        </w:trPr>
        <w:tc>
          <w:tcPr>
            <w:tcW w:w="6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Registrant’s Current Report on Form 8-K (Reg. No. 001-33913), as filed with the Securities and Exchange Commission</w:t>
              </w:r>
            </w:hyperlink>
          </w:p>
        </w:tc>
        <w:tc>
          <w:tcPr>
            <w:tcW w:w="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on November 1, 2019, and incorporated herein by reference.</w:t>
              </w:r>
            </w:hyperlink>
          </w:p>
        </w:tc>
        <w:tc>
          <w:tcPr>
            <w:tcW w:w="5120" w:type="dxa"/>
            <w:vAlign w:val="bottom"/>
            <w:gridSpan w:val="15"/>
          </w:tcPr>
          <w:p>
            <w:pPr>
              <w:spacing w:after="0"/>
              <w:rPr>
                <w:sz w:val="17"/>
                <w:szCs w:val="17"/>
                <w:color w:val="auto"/>
              </w:rPr>
            </w:pPr>
          </w:p>
        </w:tc>
      </w:tr>
      <w:tr>
        <w:trPr>
          <w:trHeight w:val="412"/>
        </w:trPr>
        <w:tc>
          <w:tcPr>
            <w:tcW w:w="600" w:type="dxa"/>
            <w:vAlign w:val="bottom"/>
          </w:tcPr>
          <w:p>
            <w:pPr>
              <w:spacing w:after="0"/>
              <w:rPr>
                <w:sz w:val="24"/>
                <w:szCs w:val="24"/>
                <w:color w:val="auto"/>
              </w:rPr>
            </w:pPr>
          </w:p>
        </w:tc>
        <w:tc>
          <w:tcPr>
            <w:tcW w:w="940" w:type="dxa"/>
            <w:vAlign w:val="bottom"/>
            <w:gridSpan w:val="5"/>
          </w:tcPr>
          <w:p>
            <w:pPr>
              <w:jc w:val="center"/>
              <w:ind w:right="340"/>
              <w:spacing w:after="0"/>
              <w:rPr>
                <w:rFonts w:ascii="Arial" w:cs="Arial" w:eastAsia="Arial" w:hAnsi="Arial"/>
                <w:sz w:val="18"/>
                <w:szCs w:val="18"/>
                <w:color w:val="0000FF"/>
                <w:w w:val="87"/>
              </w:rPr>
            </w:pPr>
            <w:hyperlink r:id="rId80">
              <w:r>
                <w:rPr>
                  <w:rFonts w:ascii="Arial" w:cs="Arial" w:eastAsia="Arial" w:hAnsi="Arial"/>
                  <w:sz w:val="18"/>
                  <w:szCs w:val="18"/>
                  <w:color w:val="0000FF"/>
                  <w:w w:val="87"/>
                </w:rPr>
                <w:t>†10.51</w:t>
              </w:r>
            </w:hyperlink>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5"/>
              </w:rPr>
            </w:pPr>
            <w:hyperlink r:id="rId80">
              <w:r>
                <w:rPr>
                  <w:rFonts w:ascii="Arial" w:cs="Arial" w:eastAsia="Arial" w:hAnsi="Arial"/>
                  <w:sz w:val="18"/>
                  <w:szCs w:val="18"/>
                  <w:color w:val="0000FF"/>
                  <w:w w:val="95"/>
                </w:rPr>
                <w:t>Indemnity Agreement between Quanex Building Products Corporation and Mark Livingston, effective November 1, 2019, the</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80" w:type="dxa"/>
            <w:vAlign w:val="bottom"/>
            <w:tcBorders>
              <w:top w:val="single" w:sz="8" w:color="0000FF"/>
            </w:tcBorders>
            <w:gridSpan w:val="15"/>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form of which is filed as Exhibit 10.2 of the Registrant's Current Report on Form 8-K (Reg. No. 001-33913), as filed with the</w:t>
              </w:r>
            </w:hyperlink>
          </w:p>
        </w:tc>
        <w:tc>
          <w:tcPr>
            <w:tcW w:w="400" w:type="dxa"/>
            <w:vAlign w:val="bottom"/>
            <w:gridSpan w:val="6"/>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Securities and Exchange Commission on August 29, 2008, and incorporated herein by reference.</w:t>
              </w:r>
            </w:hyperlink>
          </w:p>
        </w:tc>
        <w:tc>
          <w:tcPr>
            <w:tcW w:w="2060" w:type="dxa"/>
            <w:vAlign w:val="bottom"/>
            <w:tcBorders>
              <w:top w:val="single" w:sz="8" w:color="0000FF"/>
            </w:tcBorders>
            <w:gridSpan w:val="2"/>
          </w:tcPr>
          <w:p>
            <w:pPr>
              <w:spacing w:after="0"/>
              <w:rPr>
                <w:sz w:val="17"/>
                <w:szCs w:val="17"/>
                <w:color w:val="auto"/>
              </w:rPr>
            </w:pPr>
          </w:p>
        </w:tc>
        <w:tc>
          <w:tcPr>
            <w:tcW w:w="440" w:type="dxa"/>
            <w:vAlign w:val="bottom"/>
            <w:gridSpan w:val="7"/>
          </w:tcPr>
          <w:p>
            <w:pPr>
              <w:spacing w:after="0"/>
              <w:rPr>
                <w:sz w:val="17"/>
                <w:szCs w:val="17"/>
                <w:color w:val="auto"/>
              </w:rPr>
            </w:pPr>
          </w:p>
        </w:tc>
      </w:tr>
      <w:tr>
        <w:trPr>
          <w:trHeight w:val="412"/>
        </w:trPr>
        <w:tc>
          <w:tcPr>
            <w:tcW w:w="600" w:type="dxa"/>
            <w:vAlign w:val="bottom"/>
          </w:tcPr>
          <w:p>
            <w:pPr>
              <w:spacing w:after="0"/>
              <w:rPr>
                <w:sz w:val="24"/>
                <w:szCs w:val="24"/>
                <w:color w:val="auto"/>
              </w:rPr>
            </w:pPr>
          </w:p>
        </w:tc>
        <w:tc>
          <w:tcPr>
            <w:tcW w:w="940" w:type="dxa"/>
            <w:vAlign w:val="bottom"/>
            <w:gridSpan w:val="5"/>
          </w:tcPr>
          <w:p>
            <w:pPr>
              <w:jc w:val="center"/>
              <w:ind w:right="340"/>
              <w:spacing w:after="0"/>
              <w:rPr>
                <w:rFonts w:ascii="Arial" w:cs="Arial" w:eastAsia="Arial" w:hAnsi="Arial"/>
                <w:sz w:val="18"/>
                <w:szCs w:val="18"/>
                <w:color w:val="0000FF"/>
                <w:w w:val="87"/>
              </w:rPr>
            </w:pPr>
            <w:hyperlink r:id="rId90">
              <w:r>
                <w:rPr>
                  <w:rFonts w:ascii="Arial" w:cs="Arial" w:eastAsia="Arial" w:hAnsi="Arial"/>
                  <w:sz w:val="18"/>
                  <w:szCs w:val="18"/>
                  <w:color w:val="0000FF"/>
                  <w:w w:val="87"/>
                </w:rPr>
                <w:t>†10.52</w:t>
              </w:r>
            </w:hyperlink>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Agreement between Quanex Building Products Corporation and Paul Cornett, effective November 1, 2019, filed as Exhibit 10.4 to</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the Registrant’s Current Report on Form 8-K (Reg. No. 001-33913), as filed with the Securities and Exchange Commission on</w:t>
              </w:r>
            </w:hyperlink>
          </w:p>
        </w:tc>
        <w:tc>
          <w:tcPr>
            <w:tcW w:w="240" w:type="dxa"/>
            <w:vAlign w:val="bottom"/>
            <w:tcBorders>
              <w:top w:val="single" w:sz="8" w:color="0000FF"/>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90">
              <w:r>
                <w:rPr>
                  <w:rFonts w:ascii="Arial" w:cs="Arial" w:eastAsia="Arial" w:hAnsi="Arial"/>
                  <w:sz w:val="18"/>
                  <w:szCs w:val="18"/>
                  <w:color w:val="0000FF"/>
                  <w:w w:val="89"/>
                </w:rPr>
                <w:t>November 1, 2019, and incorporated herein by reference.</w:t>
              </w:r>
            </w:hyperlink>
          </w:p>
        </w:tc>
        <w:tc>
          <w:tcPr>
            <w:tcW w:w="5340" w:type="dxa"/>
            <w:vAlign w:val="bottom"/>
            <w:gridSpan w:val="16"/>
          </w:tcPr>
          <w:p>
            <w:pPr>
              <w:spacing w:after="0"/>
              <w:rPr>
                <w:sz w:val="17"/>
                <w:szCs w:val="17"/>
                <w:color w:val="auto"/>
              </w:rPr>
            </w:pPr>
          </w:p>
        </w:tc>
      </w:tr>
      <w:tr>
        <w:trPr>
          <w:trHeight w:val="412"/>
        </w:trPr>
        <w:tc>
          <w:tcPr>
            <w:tcW w:w="600" w:type="dxa"/>
            <w:vAlign w:val="bottom"/>
          </w:tcPr>
          <w:p>
            <w:pPr>
              <w:spacing w:after="0"/>
              <w:rPr>
                <w:sz w:val="24"/>
                <w:szCs w:val="24"/>
                <w:color w:val="auto"/>
              </w:rPr>
            </w:pPr>
          </w:p>
        </w:tc>
        <w:tc>
          <w:tcPr>
            <w:tcW w:w="940" w:type="dxa"/>
            <w:vAlign w:val="bottom"/>
            <w:gridSpan w:val="5"/>
          </w:tcPr>
          <w:p>
            <w:pPr>
              <w:jc w:val="center"/>
              <w:ind w:right="340"/>
              <w:spacing w:after="0"/>
              <w:rPr>
                <w:rFonts w:ascii="Arial" w:cs="Arial" w:eastAsia="Arial" w:hAnsi="Arial"/>
                <w:sz w:val="18"/>
                <w:szCs w:val="18"/>
                <w:color w:val="0000FF"/>
                <w:w w:val="87"/>
              </w:rPr>
            </w:pPr>
            <w:hyperlink r:id="rId80">
              <w:r>
                <w:rPr>
                  <w:rFonts w:ascii="Arial" w:cs="Arial" w:eastAsia="Arial" w:hAnsi="Arial"/>
                  <w:sz w:val="18"/>
                  <w:szCs w:val="18"/>
                  <w:color w:val="0000FF"/>
                  <w:w w:val="87"/>
                </w:rPr>
                <w:t>†10.53</w:t>
              </w:r>
            </w:hyperlink>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Indemnity Agreement between Quanex Building Products Corporation and Paul Cornett, effective November 1, 2019, the form of</w:t>
              </w:r>
            </w:hyperlink>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which is filed as Exhibit 10.2 of the Registrant's Current Report on Form 8-K (Reg. No. 001-33913), as filed with the Securities</w:t>
              </w:r>
            </w:hyperlink>
          </w:p>
        </w:tc>
        <w:tc>
          <w:tcPr>
            <w:tcW w:w="140" w:type="dxa"/>
            <w:vAlign w:val="bottom"/>
            <w:tcBorders>
              <w:top w:val="single" w:sz="8" w:color="0000FF"/>
            </w:tcBorders>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gridSpan w:val="2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and Exchange Commission on August 29, 2008, and incorporated herein by reference.</w:t>
              </w:r>
            </w:hyperlink>
          </w:p>
        </w:tc>
      </w:tr>
      <w:tr>
        <w:trPr>
          <w:trHeight w:val="412"/>
        </w:trPr>
        <w:tc>
          <w:tcPr>
            <w:tcW w:w="1040" w:type="dxa"/>
            <w:vAlign w:val="bottom"/>
            <w:gridSpan w:val="3"/>
          </w:tcPr>
          <w:p>
            <w:pPr>
              <w:jc w:val="center"/>
              <w:ind w:left="551"/>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*21.</w:t>
              </w:r>
              <w:r>
                <w:rPr>
                  <w:rFonts w:ascii="Arial" w:cs="Arial" w:eastAsia="Arial" w:hAnsi="Arial"/>
                  <w:sz w:val="18"/>
                  <w:szCs w:val="18"/>
                  <w:u w:val="single" w:color="auto"/>
                  <w:color w:val="0000FF"/>
                  <w:w w:val="95"/>
                </w:rPr>
                <w:t>1</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tcBorders>
              <w:top w:val="single" w:sz="8" w:color="0000FF"/>
            </w:tcBorders>
            <w:gridSpan w:val="10"/>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Subsidiaries of the Registrant.</w:t>
              </w:r>
            </w:hyperlink>
          </w:p>
        </w:tc>
        <w:tc>
          <w:tcPr>
            <w:tcW w:w="3260" w:type="dxa"/>
            <w:vAlign w:val="bottom"/>
            <w:gridSpan w:val="11"/>
          </w:tcPr>
          <w:p>
            <w:pPr>
              <w:spacing w:after="0"/>
              <w:rPr>
                <w:sz w:val="24"/>
                <w:szCs w:val="24"/>
                <w:color w:val="auto"/>
              </w:rPr>
            </w:pPr>
          </w:p>
        </w:tc>
      </w:tr>
      <w:tr>
        <w:trPr>
          <w:trHeight w:val="20"/>
        </w:trPr>
        <w:tc>
          <w:tcPr>
            <w:tcW w:w="76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13"/>
          </w:tcPr>
          <w:p>
            <w:pPr>
              <w:spacing w:after="0" w:line="20" w:lineRule="exact"/>
              <w:rPr>
                <w:sz w:val="1"/>
                <w:szCs w:val="1"/>
                <w:color w:val="auto"/>
              </w:rPr>
            </w:pPr>
          </w:p>
        </w:tc>
      </w:tr>
      <w:tr>
        <w:trPr>
          <w:trHeight w:val="372"/>
        </w:trPr>
        <w:tc>
          <w:tcPr>
            <w:tcW w:w="1040" w:type="dxa"/>
            <w:vAlign w:val="bottom"/>
            <w:gridSpan w:val="3"/>
          </w:tcPr>
          <w:p>
            <w:pPr>
              <w:jc w:val="center"/>
              <w:ind w:left="551"/>
              <w:spacing w:after="0"/>
              <w:rPr>
                <w:rFonts w:ascii="Arial" w:cs="Arial" w:eastAsia="Arial" w:hAnsi="Arial"/>
                <w:sz w:val="18"/>
                <w:szCs w:val="18"/>
                <w:color w:val="0000FF"/>
                <w:w w:val="95"/>
              </w:rPr>
            </w:pPr>
            <w:hyperlink w:anchor="page96">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Consent of Grant Thornton LLP.</w:t>
              </w:r>
            </w:hyperlink>
          </w:p>
        </w:tc>
      </w:tr>
      <w:tr>
        <w:trPr>
          <w:trHeight w:val="20"/>
        </w:trPr>
        <w:tc>
          <w:tcPr>
            <w:tcW w:w="76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13"/>
          </w:tcPr>
          <w:p>
            <w:pPr>
              <w:spacing w:after="0" w:line="20" w:lineRule="exact"/>
              <w:rPr>
                <w:sz w:val="1"/>
                <w:szCs w:val="1"/>
                <w:color w:val="auto"/>
              </w:rPr>
            </w:pPr>
          </w:p>
        </w:tc>
      </w:tr>
      <w:tr>
        <w:trPr>
          <w:trHeight w:val="372"/>
        </w:trPr>
        <w:tc>
          <w:tcPr>
            <w:tcW w:w="1040" w:type="dxa"/>
            <w:vAlign w:val="bottom"/>
            <w:gridSpan w:val="3"/>
          </w:tcPr>
          <w:p>
            <w:pPr>
              <w:jc w:val="center"/>
              <w:ind w:left="551"/>
              <w:spacing w:after="0"/>
              <w:rPr>
                <w:rFonts w:ascii="Arial" w:cs="Arial" w:eastAsia="Arial" w:hAnsi="Arial"/>
                <w:sz w:val="18"/>
                <w:szCs w:val="18"/>
                <w:color w:val="0000FF"/>
                <w:w w:val="95"/>
              </w:rPr>
            </w:pPr>
            <w:hyperlink w:anchor="page97">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Certification by chief executive officer pursuant to Rule 13a-14(a)/15d-14(a).</w:t>
              </w:r>
            </w:hyperlink>
          </w:p>
        </w:tc>
      </w:tr>
      <w:tr>
        <w:trPr>
          <w:trHeight w:val="20"/>
        </w:trPr>
        <w:tc>
          <w:tcPr>
            <w:tcW w:w="76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13"/>
          </w:tcPr>
          <w:p>
            <w:pPr>
              <w:spacing w:after="0" w:line="20" w:lineRule="exact"/>
              <w:rPr>
                <w:sz w:val="1"/>
                <w:szCs w:val="1"/>
                <w:color w:val="auto"/>
              </w:rPr>
            </w:pPr>
          </w:p>
        </w:tc>
      </w:tr>
      <w:tr>
        <w:trPr>
          <w:trHeight w:val="372"/>
        </w:trPr>
        <w:tc>
          <w:tcPr>
            <w:tcW w:w="1040" w:type="dxa"/>
            <w:vAlign w:val="bottom"/>
            <w:gridSpan w:val="3"/>
          </w:tcPr>
          <w:p>
            <w:pPr>
              <w:jc w:val="center"/>
              <w:ind w:left="551"/>
              <w:spacing w:after="0"/>
              <w:rPr>
                <w:rFonts w:ascii="Arial" w:cs="Arial" w:eastAsia="Arial" w:hAnsi="Arial"/>
                <w:sz w:val="18"/>
                <w:szCs w:val="18"/>
                <w:color w:val="0000FF"/>
                <w:w w:val="95"/>
              </w:rPr>
            </w:pPr>
            <w:hyperlink w:anchor="page98">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Certification by chief financial officer pursuant to Rule 13a-14(a)/15d-14(a).</w:t>
              </w:r>
            </w:hyperlink>
          </w:p>
        </w:tc>
      </w:tr>
      <w:tr>
        <w:trPr>
          <w:trHeight w:val="372"/>
        </w:trPr>
        <w:tc>
          <w:tcPr>
            <w:tcW w:w="760" w:type="dxa"/>
            <w:vAlign w:val="bottom"/>
            <w:gridSpan w:val="2"/>
          </w:tcPr>
          <w:p>
            <w:pPr>
              <w:spacing w:after="0"/>
              <w:rPr>
                <w:sz w:val="24"/>
                <w:szCs w:val="24"/>
                <w:color w:val="auto"/>
              </w:rPr>
            </w:pPr>
          </w:p>
        </w:tc>
        <w:tc>
          <w:tcPr>
            <w:tcW w:w="280" w:type="dxa"/>
            <w:vAlign w:val="bottom"/>
            <w:tcBorders>
              <w:top w:val="single" w:sz="8" w:color="0000FF"/>
            </w:tcBorders>
          </w:tcPr>
          <w:p>
            <w:pPr>
              <w:jc w:val="center"/>
              <w:spacing w:after="0"/>
              <w:rPr>
                <w:rFonts w:ascii="Arial" w:cs="Arial" w:eastAsia="Arial" w:hAnsi="Arial"/>
                <w:sz w:val="18"/>
                <w:szCs w:val="18"/>
                <w:color w:val="0000FF"/>
              </w:rPr>
            </w:pPr>
            <w:hyperlink w:anchor="page99">
              <w:r>
                <w:rPr>
                  <w:rFonts w:ascii="Arial" w:cs="Arial" w:eastAsia="Arial" w:hAnsi="Arial"/>
                  <w:sz w:val="18"/>
                  <w:szCs w:val="18"/>
                  <w:color w:val="0000FF"/>
                </w:rPr>
                <w:t>*32</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Borders>
              <w:top w:val="single" w:sz="8" w:color="0000FF"/>
            </w:tcBorders>
            <w:gridSpan w:val="8"/>
          </w:tcPr>
          <w:p>
            <w:pPr>
              <w:spacing w:after="0"/>
              <w:rPr>
                <w:rFonts w:ascii="Arial" w:cs="Arial" w:eastAsia="Arial" w:hAnsi="Arial"/>
                <w:sz w:val="18"/>
                <w:szCs w:val="18"/>
                <w:color w:val="0000FF"/>
                <w:w w:val="96"/>
              </w:rPr>
            </w:pPr>
            <w:hyperlink w:anchor="page99">
              <w:r>
                <w:rPr>
                  <w:rFonts w:ascii="Arial" w:cs="Arial" w:eastAsia="Arial" w:hAnsi="Arial"/>
                  <w:sz w:val="18"/>
                  <w:szCs w:val="18"/>
                  <w:color w:val="0000FF"/>
                  <w:w w:val="96"/>
                </w:rPr>
                <w:t>Certification pursuant to Section 906 of the Sarbanes-Oxley Act of 2002.</w:t>
              </w:r>
            </w:hyperlink>
          </w:p>
        </w:tc>
        <w:tc>
          <w:tcPr>
            <w:tcW w:w="3900" w:type="dxa"/>
            <w:vAlign w:val="bottom"/>
            <w:gridSpan w:val="13"/>
          </w:tcPr>
          <w:p>
            <w:pPr>
              <w:spacing w:after="0"/>
              <w:rPr>
                <w:sz w:val="24"/>
                <w:szCs w:val="24"/>
                <w:color w:val="auto"/>
              </w:rPr>
            </w:pPr>
          </w:p>
        </w:tc>
      </w:tr>
      <w:tr>
        <w:trPr>
          <w:trHeight w:val="20"/>
        </w:trPr>
        <w:tc>
          <w:tcPr>
            <w:tcW w:w="76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4220" w:type="dxa"/>
            <w:vAlign w:val="bottom"/>
            <w:gridSpan w:val="14"/>
          </w:tcPr>
          <w:p>
            <w:pPr>
              <w:spacing w:after="0" w:line="20" w:lineRule="exact"/>
              <w:rPr>
                <w:sz w:val="1"/>
                <w:szCs w:val="1"/>
                <w:color w:val="auto"/>
              </w:rPr>
            </w:pPr>
          </w:p>
        </w:tc>
      </w:tr>
      <w:tr>
        <w:trPr>
          <w:trHeight w:val="398"/>
        </w:trPr>
        <w:tc>
          <w:tcPr>
            <w:tcW w:w="1540" w:type="dxa"/>
            <w:vAlign w:val="bottom"/>
            <w:gridSpan w:val="6"/>
          </w:tcPr>
          <w:p>
            <w:pPr>
              <w:jc w:val="center"/>
              <w:ind w:left="171"/>
              <w:spacing w:after="0"/>
              <w:rPr>
                <w:sz w:val="20"/>
                <w:szCs w:val="20"/>
                <w:color w:val="auto"/>
              </w:rPr>
            </w:pPr>
            <w:r>
              <w:rPr>
                <w:rFonts w:ascii="Arial" w:cs="Arial" w:eastAsia="Arial" w:hAnsi="Arial"/>
                <w:sz w:val="18"/>
                <w:szCs w:val="18"/>
                <w:color w:val="auto"/>
                <w:w w:val="94"/>
              </w:rPr>
              <w:t>*101.INS</w:t>
            </w:r>
          </w:p>
        </w:tc>
        <w:tc>
          <w:tcPr>
            <w:tcW w:w="280" w:type="dxa"/>
            <w:vAlign w:val="bottom"/>
          </w:tcPr>
          <w:p>
            <w:pPr>
              <w:spacing w:after="0"/>
              <w:rPr>
                <w:sz w:val="24"/>
                <w:szCs w:val="24"/>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1540" w:type="dxa"/>
            <w:vAlign w:val="bottom"/>
            <w:gridSpan w:val="6"/>
          </w:tcPr>
          <w:p>
            <w:pPr>
              <w:jc w:val="center"/>
              <w:ind w:left="171"/>
              <w:spacing w:after="0"/>
              <w:rPr>
                <w:sz w:val="20"/>
                <w:szCs w:val="20"/>
                <w:color w:val="auto"/>
              </w:rPr>
            </w:pPr>
            <w:r>
              <w:rPr>
                <w:rFonts w:ascii="Arial" w:cs="Arial" w:eastAsia="Arial" w:hAnsi="Arial"/>
                <w:sz w:val="18"/>
                <w:szCs w:val="18"/>
                <w:color w:val="auto"/>
                <w:w w:val="94"/>
              </w:rPr>
              <w:t>*101.SCH</w:t>
            </w:r>
          </w:p>
        </w:tc>
        <w:tc>
          <w:tcPr>
            <w:tcW w:w="280" w:type="dxa"/>
            <w:vAlign w:val="bottom"/>
          </w:tcPr>
          <w:p>
            <w:pPr>
              <w:spacing w:after="0"/>
              <w:rPr>
                <w:sz w:val="24"/>
                <w:szCs w:val="24"/>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40" w:type="dxa"/>
            <w:vAlign w:val="bottom"/>
            <w:gridSpan w:val="6"/>
          </w:tcPr>
          <w:p>
            <w:pPr>
              <w:jc w:val="center"/>
              <w:ind w:left="171"/>
              <w:spacing w:after="0"/>
              <w:rPr>
                <w:sz w:val="20"/>
                <w:szCs w:val="20"/>
                <w:color w:val="auto"/>
              </w:rPr>
            </w:pPr>
            <w:r>
              <w:rPr>
                <w:rFonts w:ascii="Arial" w:cs="Arial" w:eastAsia="Arial" w:hAnsi="Arial"/>
                <w:sz w:val="18"/>
                <w:szCs w:val="18"/>
                <w:color w:val="auto"/>
                <w:w w:val="98"/>
              </w:rPr>
              <w:t>*101.CAL</w:t>
            </w:r>
          </w:p>
        </w:tc>
        <w:tc>
          <w:tcPr>
            <w:tcW w:w="280" w:type="dxa"/>
            <w:vAlign w:val="bottom"/>
          </w:tcPr>
          <w:p>
            <w:pPr>
              <w:spacing w:after="0"/>
              <w:rPr>
                <w:sz w:val="24"/>
                <w:szCs w:val="24"/>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40" w:type="dxa"/>
            <w:vAlign w:val="bottom"/>
            <w:gridSpan w:val="6"/>
          </w:tcPr>
          <w:p>
            <w:pPr>
              <w:jc w:val="center"/>
              <w:ind w:left="171"/>
              <w:spacing w:after="0"/>
              <w:rPr>
                <w:sz w:val="20"/>
                <w:szCs w:val="20"/>
                <w:color w:val="auto"/>
              </w:rPr>
            </w:pPr>
            <w:r>
              <w:rPr>
                <w:rFonts w:ascii="Arial" w:cs="Arial" w:eastAsia="Arial" w:hAnsi="Arial"/>
                <w:sz w:val="18"/>
                <w:szCs w:val="18"/>
                <w:color w:val="auto"/>
                <w:w w:val="97"/>
              </w:rPr>
              <w:t>*101.DEF</w:t>
            </w:r>
          </w:p>
        </w:tc>
        <w:tc>
          <w:tcPr>
            <w:tcW w:w="280" w:type="dxa"/>
            <w:vAlign w:val="bottom"/>
          </w:tcPr>
          <w:p>
            <w:pPr>
              <w:spacing w:after="0"/>
              <w:rPr>
                <w:sz w:val="24"/>
                <w:szCs w:val="24"/>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40" w:type="dxa"/>
            <w:vAlign w:val="bottom"/>
            <w:gridSpan w:val="6"/>
          </w:tcPr>
          <w:p>
            <w:pPr>
              <w:jc w:val="center"/>
              <w:ind w:left="171"/>
              <w:spacing w:after="0"/>
              <w:rPr>
                <w:sz w:val="20"/>
                <w:szCs w:val="20"/>
                <w:color w:val="auto"/>
              </w:rPr>
            </w:pPr>
            <w:r>
              <w:rPr>
                <w:rFonts w:ascii="Arial" w:cs="Arial" w:eastAsia="Arial" w:hAnsi="Arial"/>
                <w:sz w:val="18"/>
                <w:szCs w:val="18"/>
                <w:color w:val="auto"/>
                <w:w w:val="99"/>
              </w:rPr>
              <w:t>*101.LAB</w:t>
            </w:r>
          </w:p>
        </w:tc>
        <w:tc>
          <w:tcPr>
            <w:tcW w:w="280" w:type="dxa"/>
            <w:vAlign w:val="bottom"/>
          </w:tcPr>
          <w:p>
            <w:pPr>
              <w:spacing w:after="0"/>
              <w:rPr>
                <w:sz w:val="24"/>
                <w:szCs w:val="24"/>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40" w:type="dxa"/>
            <w:vAlign w:val="bottom"/>
            <w:gridSpan w:val="6"/>
          </w:tcPr>
          <w:p>
            <w:pPr>
              <w:jc w:val="center"/>
              <w:ind w:left="171"/>
              <w:spacing w:after="0"/>
              <w:rPr>
                <w:sz w:val="20"/>
                <w:szCs w:val="20"/>
                <w:color w:val="auto"/>
              </w:rPr>
            </w:pPr>
            <w:r>
              <w:rPr>
                <w:rFonts w:ascii="Arial" w:cs="Arial" w:eastAsia="Arial" w:hAnsi="Arial"/>
                <w:sz w:val="18"/>
                <w:szCs w:val="18"/>
                <w:color w:val="auto"/>
                <w:w w:val="91"/>
              </w:rPr>
              <w:t>*101.PRE</w:t>
            </w:r>
          </w:p>
        </w:tc>
        <w:tc>
          <w:tcPr>
            <w:tcW w:w="280" w:type="dxa"/>
            <w:vAlign w:val="bottom"/>
          </w:tcPr>
          <w:p>
            <w:pPr>
              <w:spacing w:after="0"/>
              <w:rPr>
                <w:sz w:val="24"/>
                <w:szCs w:val="24"/>
                <w:color w:val="auto"/>
              </w:rPr>
            </w:pPr>
          </w:p>
        </w:tc>
        <w:tc>
          <w:tcPr>
            <w:tcW w:w="948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or Incentive Plan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108" w:right="359" w:bottom="1440" w:gutter="0" w:footer="0" w:header="0"/>
        </w:sectPr>
      </w:pPr>
    </w:p>
    <w:bookmarkStart w:id="91" w:name="page92"/>
    <w:bookmarkEnd w:id="91"/>
    <w:p>
      <w:pPr>
        <w:ind w:left="32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EXHIBIT INDEX</w:t>
      </w:r>
    </w:p>
    <w:p>
      <w:pPr>
        <w:spacing w:after="0" w:line="211"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20080" cy="4022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a:extLst>
                        <a:ext uri="{28A0092B-C50C-407E-A947-70E740481C1C}"/>
                      </a:extLst>
                    </a:blip>
                    <a:srcRect/>
                    <a:stretch>
                      <a:fillRect/>
                    </a:stretch>
                  </pic:blipFill>
                  <pic:spPr bwMode="auto">
                    <a:xfrm>
                      <a:off x="0" y="0"/>
                      <a:ext cx="5720080"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30,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Mark Livingston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6702 Woodbend Park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77055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pleased to offer you the position of Controller with Quanex Building Products Corporation (“Company”), effective February 4, 2019, (“Effective Date”) reporting directly to 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offer is contingent upon passing a pre-employment drug test and a satisfactory background check (employment, criminal and credit). The pre-employment drug test must be completed by you within 3 business days of the acceptance date of this offer.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your compensation and benefits you will receive in connection with your employment with the Company:</w:t>
      </w:r>
    </w:p>
    <w:p>
      <w:pPr>
        <w:spacing w:after="0" w:line="140" w:lineRule="exact"/>
        <w:rPr>
          <w:sz w:val="20"/>
          <w:szCs w:val="20"/>
          <w:color w:val="auto"/>
        </w:rPr>
      </w:pPr>
    </w:p>
    <w:p>
      <w:pPr>
        <w:ind w:left="500" w:right="480" w:hanging="492"/>
        <w:spacing w:after="0" w:line="276" w:lineRule="auto"/>
        <w:tabs>
          <w:tab w:leader="none" w:pos="338" w:val="left"/>
        </w:tabs>
        <w:numPr>
          <w:ilvl w:val="0"/>
          <w:numId w:val="22"/>
        </w:numPr>
        <w:rPr>
          <w:rFonts w:ascii="Arial" w:cs="Arial" w:eastAsia="Arial" w:hAnsi="Arial"/>
          <w:sz w:val="22"/>
          <w:szCs w:val="22"/>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annual base salary will be $225,000, less applicable withholdings. It will be paid biweekly at a rate of $8,653.85, less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w:t>
      </w:r>
    </w:p>
    <w:p>
      <w:pPr>
        <w:spacing w:after="0" w:line="92" w:lineRule="exact"/>
        <w:rPr>
          <w:rFonts w:ascii="Arial" w:cs="Arial" w:eastAsia="Arial" w:hAnsi="Arial"/>
          <w:sz w:val="22"/>
          <w:szCs w:val="22"/>
          <w:color w:val="auto"/>
        </w:rPr>
      </w:pPr>
    </w:p>
    <w:p>
      <w:pPr>
        <w:ind w:left="500" w:hanging="492"/>
        <w:spacing w:after="0" w:line="336" w:lineRule="auto"/>
        <w:tabs>
          <w:tab w:leader="none" w:pos="338" w:val="left"/>
        </w:tabs>
        <w:numPr>
          <w:ilvl w:val="0"/>
          <w:numId w:val="22"/>
        </w:numPr>
        <w:rPr>
          <w:rFonts w:ascii="Arial" w:cs="Arial" w:eastAsia="Arial" w:hAnsi="Arial"/>
          <w:sz w:val="19"/>
          <w:szCs w:val="19"/>
          <w:color w:val="auto"/>
        </w:rPr>
      </w:pPr>
      <w:r>
        <w:rPr>
          <w:rFonts w:ascii="Arial" w:cs="Arial" w:eastAsia="Arial" w:hAnsi="Arial"/>
          <w:sz w:val="16"/>
          <w:szCs w:val="16"/>
          <w:b w:val="1"/>
          <w:bCs w:val="1"/>
          <w:color w:val="auto"/>
        </w:rPr>
        <w:t>Management Incentive Program</w:t>
      </w:r>
      <w:r>
        <w:rPr>
          <w:rFonts w:ascii="Arial" w:cs="Arial" w:eastAsia="Arial" w:hAnsi="Arial"/>
          <w:sz w:val="16"/>
          <w:szCs w:val="16"/>
          <w:color w:val="auto"/>
        </w:rPr>
        <w:t>. You will be eligible to participate in the Quanex Building Products Management Incentive Program (MIP).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are made per the MIP policy. The award amounts are based upon your eligible wages and the Company’s financial/operational results for the fiscal year. The current MIP target award level for your position is 50% of your base salary with a max of 100%, and subject to periodic review.</w:t>
      </w:r>
    </w:p>
    <w:p>
      <w:pPr>
        <w:spacing w:after="0" w:line="56" w:lineRule="exact"/>
        <w:rPr>
          <w:rFonts w:ascii="Arial" w:cs="Arial" w:eastAsia="Arial" w:hAnsi="Arial"/>
          <w:sz w:val="19"/>
          <w:szCs w:val="19"/>
          <w:color w:val="auto"/>
        </w:rPr>
      </w:pPr>
    </w:p>
    <w:p>
      <w:pPr>
        <w:ind w:left="500" w:hanging="492"/>
        <w:spacing w:after="0" w:line="282" w:lineRule="auto"/>
        <w:tabs>
          <w:tab w:leader="none" w:pos="338" w:val="left"/>
        </w:tabs>
        <w:numPr>
          <w:ilvl w:val="0"/>
          <w:numId w:val="22"/>
        </w:numPr>
        <w:rPr>
          <w:rFonts w:ascii="Arial" w:cs="Arial" w:eastAsia="Arial" w:hAnsi="Arial"/>
          <w:sz w:val="22"/>
          <w:szCs w:val="22"/>
          <w:color w:val="auto"/>
        </w:rPr>
      </w:pPr>
      <w:r>
        <w:rPr>
          <w:rFonts w:ascii="Arial" w:cs="Arial" w:eastAsia="Arial" w:hAnsi="Arial"/>
          <w:sz w:val="18"/>
          <w:szCs w:val="18"/>
          <w:b w:val="1"/>
          <w:bCs w:val="1"/>
          <w:color w:val="auto"/>
        </w:rPr>
        <w:t xml:space="preserve">Initial Restricted Stock Grant. </w:t>
      </w:r>
      <w:r>
        <w:rPr>
          <w:rFonts w:ascii="Arial" w:cs="Arial" w:eastAsia="Arial" w:hAnsi="Arial"/>
          <w:sz w:val="18"/>
          <w:szCs w:val="18"/>
          <w:color w:val="auto"/>
        </w:rPr>
        <w:t>You will receive 4,500 shares of Restricted Stock on the Effective Date of your employment. This stock will cliff vest on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4, 2021. However in the event of a change in control, as defined in the 2008 Quanex Building Products Omnibus Incentive Plan, you will become fully vested in your restricted stock award.</w:t>
      </w:r>
    </w:p>
    <w:p>
      <w:pPr>
        <w:spacing w:after="0" w:line="94" w:lineRule="exact"/>
        <w:rPr>
          <w:rFonts w:ascii="Arial" w:cs="Arial" w:eastAsia="Arial" w:hAnsi="Arial"/>
          <w:sz w:val="22"/>
          <w:szCs w:val="22"/>
          <w:color w:val="auto"/>
        </w:rPr>
      </w:pPr>
    </w:p>
    <w:p>
      <w:pPr>
        <w:ind w:left="500" w:hanging="492"/>
        <w:spacing w:after="0" w:line="336" w:lineRule="auto"/>
        <w:tabs>
          <w:tab w:leader="none" w:pos="338" w:val="left"/>
        </w:tabs>
        <w:numPr>
          <w:ilvl w:val="0"/>
          <w:numId w:val="22"/>
        </w:numPr>
        <w:rPr>
          <w:rFonts w:ascii="Arial" w:cs="Arial" w:eastAsia="Arial" w:hAnsi="Arial"/>
          <w:sz w:val="19"/>
          <w:szCs w:val="19"/>
          <w:color w:val="auto"/>
        </w:rPr>
      </w:pPr>
      <w:r>
        <w:rPr>
          <w:rFonts w:ascii="Arial" w:cs="Arial" w:eastAsia="Arial" w:hAnsi="Arial"/>
          <w:sz w:val="16"/>
          <w:szCs w:val="16"/>
          <w:b w:val="1"/>
          <w:bCs w:val="1"/>
          <w:color w:val="auto"/>
        </w:rPr>
        <w:t xml:space="preserve">Long Term Incentive Awards. </w:t>
      </w:r>
      <w:r>
        <w:rPr>
          <w:rFonts w:ascii="Arial" w:cs="Arial" w:eastAsia="Arial" w:hAnsi="Arial"/>
          <w:sz w:val="16"/>
          <w:szCs w:val="16"/>
          <w:color w:val="auto"/>
        </w:rPr>
        <w:t>You will also be eligible to receive an annual Long Term Incentive Award based upon approval of the Compensation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Development Committee typically at the Company’s Q4 Board meeting. The current target award level for your position is $70,000 in restricted stock (3 year cliff vest), subject to periodic review by the Compensation and Management Development Committee.</w:t>
      </w:r>
    </w:p>
    <w:p>
      <w:pPr>
        <w:spacing w:after="0" w:line="56" w:lineRule="exact"/>
        <w:rPr>
          <w:rFonts w:ascii="Arial" w:cs="Arial" w:eastAsia="Arial" w:hAnsi="Arial"/>
          <w:sz w:val="19"/>
          <w:szCs w:val="19"/>
          <w:color w:val="auto"/>
        </w:rPr>
      </w:pPr>
    </w:p>
    <w:p>
      <w:pPr>
        <w:ind w:left="500" w:right="20" w:hanging="492"/>
        <w:spacing w:after="0" w:line="276" w:lineRule="auto"/>
        <w:tabs>
          <w:tab w:leader="none" w:pos="338" w:val="left"/>
        </w:tabs>
        <w:numPr>
          <w:ilvl w:val="0"/>
          <w:numId w:val="22"/>
        </w:numPr>
        <w:rPr>
          <w:rFonts w:ascii="Arial" w:cs="Arial" w:eastAsia="Arial" w:hAnsi="Arial"/>
          <w:sz w:val="22"/>
          <w:szCs w:val="22"/>
          <w:color w:val="auto"/>
        </w:rPr>
      </w:pPr>
      <w:r>
        <w:rPr>
          <w:rFonts w:ascii="Arial" w:cs="Arial" w:eastAsia="Arial" w:hAnsi="Arial"/>
          <w:sz w:val="18"/>
          <w:szCs w:val="18"/>
          <w:b w:val="1"/>
          <w:bCs w:val="1"/>
          <w:color w:val="auto"/>
        </w:rPr>
        <w:t xml:space="preserve">Vacation. </w:t>
      </w:r>
      <w:r>
        <w:rPr>
          <w:rFonts w:ascii="Arial" w:cs="Arial" w:eastAsia="Arial" w:hAnsi="Arial"/>
          <w:sz w:val="18"/>
          <w:szCs w:val="18"/>
          <w:color w:val="auto"/>
        </w:rPr>
        <w:t>You will receive four weeks of vacation, which will be prorated based on your start date for the remainder of 2019, and the full 4 week</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starts in calendar year 2020. Vacation is to be used in accordance with the Company’s Vacation Policy.</w:t>
      </w:r>
    </w:p>
    <w:p>
      <w:pPr>
        <w:spacing w:after="0" w:line="92" w:lineRule="exact"/>
        <w:rPr>
          <w:rFonts w:ascii="Arial" w:cs="Arial" w:eastAsia="Arial" w:hAnsi="Arial"/>
          <w:sz w:val="22"/>
          <w:szCs w:val="22"/>
          <w:color w:val="auto"/>
        </w:rPr>
      </w:pPr>
    </w:p>
    <w:p>
      <w:pPr>
        <w:ind w:left="500" w:hanging="492"/>
        <w:spacing w:after="0" w:line="286" w:lineRule="auto"/>
        <w:tabs>
          <w:tab w:leader="none" w:pos="338" w:val="left"/>
        </w:tabs>
        <w:numPr>
          <w:ilvl w:val="0"/>
          <w:numId w:val="22"/>
        </w:numPr>
        <w:rPr>
          <w:rFonts w:ascii="Arial" w:cs="Arial" w:eastAsia="Arial" w:hAnsi="Arial"/>
          <w:sz w:val="22"/>
          <w:szCs w:val="22"/>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will be eligible to participate in the Quanex Building Products Group Benefits Plan beginning on the first day of the month following 30</w:t>
      </w:r>
      <w:r>
        <w:rPr>
          <w:rFonts w:ascii="Arial" w:cs="Arial" w:eastAsia="Arial" w:hAnsi="Arial"/>
          <w:sz w:val="18"/>
          <w:szCs w:val="18"/>
          <w:b w:val="1"/>
          <w:bCs w:val="1"/>
          <w:color w:val="auto"/>
        </w:rPr>
        <w:t xml:space="preserve"> </w:t>
      </w:r>
      <w:r>
        <w:rPr>
          <w:rFonts w:ascii="Arial" w:cs="Arial" w:eastAsia="Arial" w:hAnsi="Arial"/>
          <w:sz w:val="18"/>
          <w:szCs w:val="18"/>
          <w:color w:val="auto"/>
        </w:rPr>
        <w:t>days of employment. It is a flexible cafeteria plan that offers a variety of benefit choices from which you can select that will best meet the needs of you and your family. Additionally, the Company provides certain benefits that are employer-paid (i.e. short-term disability, long-term disability, basic life insurance, and AD&amp;D benefits).</w:t>
      </w:r>
    </w:p>
    <w:p>
      <w:pPr>
        <w:sectPr>
          <w:pgSz w:w="11900" w:h="16838" w:orient="portrait"/>
          <w:cols w:equalWidth="0" w:num="1">
            <w:col w:w="11420"/>
          </w:cols>
          <w:pgMar w:left="240" w:top="1440" w:right="239" w:bottom="0" w:gutter="0" w:footer="0" w:header="0"/>
        </w:sectPr>
      </w:pPr>
    </w:p>
    <w:bookmarkStart w:id="93" w:name="page94"/>
    <w:bookmarkEnd w:id="93"/>
    <w:p>
      <w:pPr>
        <w:ind w:left="500" w:hanging="492"/>
        <w:spacing w:after="0" w:line="306" w:lineRule="auto"/>
        <w:tabs>
          <w:tab w:leader="none" w:pos="338" w:val="left"/>
        </w:tabs>
        <w:numPr>
          <w:ilvl w:val="0"/>
          <w:numId w:val="23"/>
        </w:numPr>
        <w:rPr>
          <w:rFonts w:ascii="Arial" w:cs="Arial" w:eastAsia="Arial" w:hAnsi="Arial"/>
          <w:sz w:val="21"/>
          <w:szCs w:val="21"/>
          <w:color w:val="auto"/>
        </w:rPr>
      </w:pPr>
      <w:r>
        <w:rPr>
          <w:rFonts w:ascii="Arial" w:cs="Arial" w:eastAsia="Arial" w:hAnsi="Arial"/>
          <w:sz w:val="17"/>
          <w:szCs w:val="17"/>
          <w:b w:val="1"/>
          <w:bCs w:val="1"/>
          <w:color w:val="auto"/>
        </w:rPr>
        <w:t xml:space="preserve">401(k) Plan. </w:t>
      </w:r>
      <w:r>
        <w:rPr>
          <w:rFonts w:ascii="Arial" w:cs="Arial" w:eastAsia="Arial" w:hAnsi="Arial"/>
          <w:sz w:val="17"/>
          <w:szCs w:val="17"/>
          <w:color w:val="auto"/>
        </w:rPr>
        <w:t>You will be eligible to participate in the Quanex Building Products Salaried and Nonunion Employee 401(k) Plan beginning the first day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You may contribute up to a maximum of 50% of your eligible compensation up to the government mandated maximum. Currently, Quanex will match $0.50 for each dollar you contribute up to a maximum of 5% of your eligible compensation. There is a five year vesting schedule on the Company match. In addition, you may elect to save on a before-tax or after-tax basis, or a combination of the two.</w:t>
      </w:r>
    </w:p>
    <w:p>
      <w:pPr>
        <w:spacing w:after="0" w:line="78" w:lineRule="exact"/>
        <w:rPr>
          <w:rFonts w:ascii="Arial" w:cs="Arial" w:eastAsia="Arial" w:hAnsi="Arial"/>
          <w:sz w:val="21"/>
          <w:szCs w:val="21"/>
          <w:color w:val="auto"/>
        </w:rPr>
      </w:pPr>
    </w:p>
    <w:p>
      <w:pPr>
        <w:ind w:left="500" w:hanging="492"/>
        <w:spacing w:after="0" w:line="289" w:lineRule="auto"/>
        <w:tabs>
          <w:tab w:leader="none" w:pos="338" w:val="left"/>
        </w:tabs>
        <w:numPr>
          <w:ilvl w:val="0"/>
          <w:numId w:val="23"/>
        </w:numPr>
        <w:rPr>
          <w:rFonts w:ascii="Arial" w:cs="Arial" w:eastAsia="Arial" w:hAnsi="Arial"/>
          <w:sz w:val="22"/>
          <w:szCs w:val="22"/>
          <w:color w:val="auto"/>
        </w:rPr>
      </w:pPr>
      <w:r>
        <w:rPr>
          <w:rFonts w:ascii="Arial" w:cs="Arial" w:eastAsia="Arial" w:hAnsi="Arial"/>
          <w:sz w:val="18"/>
          <w:szCs w:val="18"/>
          <w:b w:val="1"/>
          <w:bCs w:val="1"/>
          <w:color w:val="auto"/>
        </w:rPr>
        <w:t xml:space="preserve">Pension. </w:t>
      </w:r>
      <w:r>
        <w:rPr>
          <w:rFonts w:ascii="Arial" w:cs="Arial" w:eastAsia="Arial" w:hAnsi="Arial"/>
          <w:sz w:val="18"/>
          <w:szCs w:val="18"/>
          <w:color w:val="auto"/>
        </w:rPr>
        <w:t>You will be eligible for pension benefits under the Quanex Building Products Salaried and Nonunion Employee Pension Plan, (the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provided you meet the vesting requirements of the Plan. The Pension plan consists of a notional account balance in your name. Currently, the account will receive annual benefit credit of 4% based on your base pay plus bonus paid during the year, in addition to annual interest credits based on the 30 year Treasury (rate is established each August for the next year). The benefit is portable once you are vested (100% after three years of vesting service), you can take it with you if you leave Quanex.</w:t>
      </w:r>
    </w:p>
    <w:p>
      <w:pPr>
        <w:spacing w:after="0" w:line="89" w:lineRule="exact"/>
        <w:rPr>
          <w:rFonts w:ascii="Arial" w:cs="Arial" w:eastAsia="Arial" w:hAnsi="Arial"/>
          <w:sz w:val="22"/>
          <w:szCs w:val="22"/>
          <w:color w:val="auto"/>
        </w:rPr>
      </w:pPr>
    </w:p>
    <w:p>
      <w:pPr>
        <w:ind w:left="500" w:hanging="492"/>
        <w:spacing w:after="0" w:line="286" w:lineRule="auto"/>
        <w:tabs>
          <w:tab w:leader="none" w:pos="338" w:val="left"/>
        </w:tabs>
        <w:numPr>
          <w:ilvl w:val="0"/>
          <w:numId w:val="23"/>
        </w:numPr>
        <w:rPr>
          <w:rFonts w:ascii="Arial" w:cs="Arial" w:eastAsia="Arial" w:hAnsi="Arial"/>
          <w:sz w:val="22"/>
          <w:szCs w:val="22"/>
          <w:color w:val="auto"/>
        </w:rPr>
      </w:pPr>
      <w:r>
        <w:rPr>
          <w:rFonts w:ascii="Arial" w:cs="Arial" w:eastAsia="Arial" w:hAnsi="Arial"/>
          <w:sz w:val="18"/>
          <w:szCs w:val="18"/>
          <w:b w:val="1"/>
          <w:bCs w:val="1"/>
          <w:color w:val="auto"/>
        </w:rPr>
        <w:t xml:space="preserve">Executive Severance Provision. </w:t>
      </w:r>
      <w:r>
        <w:rPr>
          <w:rFonts w:ascii="Arial" w:cs="Arial" w:eastAsia="Arial" w:hAnsi="Arial"/>
          <w:sz w:val="18"/>
          <w:szCs w:val="18"/>
          <w:color w:val="1D1D1D"/>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this prov</w:t>
      </w:r>
      <w:r>
        <w:rPr>
          <w:rFonts w:ascii="Arial" w:cs="Arial" w:eastAsia="Arial" w:hAnsi="Arial"/>
          <w:sz w:val="18"/>
          <w:szCs w:val="18"/>
          <w:color w:val="484848"/>
        </w:rPr>
        <w:t>i</w:t>
      </w:r>
      <w:r>
        <w:rPr>
          <w:rFonts w:ascii="Arial" w:cs="Arial" w:eastAsia="Arial" w:hAnsi="Arial"/>
          <w:sz w:val="18"/>
          <w:szCs w:val="18"/>
          <w:color w:val="auto"/>
        </w:rPr>
        <w:t>sion</w:t>
      </w:r>
      <w:r>
        <w:rPr>
          <w:rFonts w:ascii="Arial" w:cs="Arial" w:eastAsia="Arial" w:hAnsi="Arial"/>
          <w:sz w:val="18"/>
          <w:szCs w:val="18"/>
          <w:b w:val="1"/>
          <w:bCs w:val="1"/>
          <w:color w:val="auto"/>
        </w:rPr>
        <w:t xml:space="preserve"> </w:t>
      </w:r>
      <w:r>
        <w:rPr>
          <w:rFonts w:ascii="Arial" w:cs="Arial" w:eastAsia="Arial" w:hAnsi="Arial"/>
          <w:sz w:val="18"/>
          <w:szCs w:val="18"/>
          <w:color w:val="484848"/>
        </w:rPr>
        <w:t>i</w:t>
      </w:r>
      <w:r>
        <w:rPr>
          <w:rFonts w:ascii="Arial" w:cs="Arial" w:eastAsia="Arial" w:hAnsi="Arial"/>
          <w:sz w:val="18"/>
          <w:szCs w:val="18"/>
          <w:color w:val="auto"/>
        </w:rPr>
        <w:t>s to estab</w:t>
      </w:r>
      <w:r>
        <w:rPr>
          <w:rFonts w:ascii="Arial" w:cs="Arial" w:eastAsia="Arial" w:hAnsi="Arial"/>
          <w:sz w:val="18"/>
          <w:szCs w:val="18"/>
          <w:color w:val="484848"/>
        </w:rPr>
        <w:t>l</w:t>
      </w:r>
      <w:r>
        <w:rPr>
          <w:rFonts w:ascii="Arial" w:cs="Arial" w:eastAsia="Arial" w:hAnsi="Arial"/>
          <w:sz w:val="18"/>
          <w:szCs w:val="18"/>
          <w:color w:val="auto"/>
        </w:rPr>
        <w:t>ish a severa</w:t>
      </w:r>
      <w:r>
        <w:rPr>
          <w:rFonts w:ascii="Arial" w:cs="Arial" w:eastAsia="Arial" w:hAnsi="Arial"/>
          <w:sz w:val="18"/>
          <w:szCs w:val="18"/>
          <w:color w:val="484848"/>
        </w:rPr>
        <w:t>n</w:t>
      </w:r>
      <w:r>
        <w:rPr>
          <w:rFonts w:ascii="Arial" w:cs="Arial" w:eastAsia="Arial" w:hAnsi="Arial"/>
          <w:sz w:val="18"/>
          <w:szCs w:val="18"/>
          <w:color w:val="auto"/>
        </w:rPr>
        <w:t>ce prov</w:t>
      </w:r>
      <w:r>
        <w:rPr>
          <w:rFonts w:ascii="Arial" w:cs="Arial" w:eastAsia="Arial" w:hAnsi="Arial"/>
          <w:sz w:val="18"/>
          <w:szCs w:val="18"/>
          <w:color w:val="484848"/>
        </w:rPr>
        <w:t>i</w:t>
      </w:r>
      <w:r>
        <w:rPr>
          <w:rFonts w:ascii="Arial" w:cs="Arial" w:eastAsia="Arial" w:hAnsi="Arial"/>
          <w:sz w:val="18"/>
          <w:szCs w:val="18"/>
          <w:color w:val="auto"/>
        </w:rPr>
        <w:t>s</w:t>
      </w:r>
      <w:r>
        <w:rPr>
          <w:rFonts w:ascii="Arial" w:cs="Arial" w:eastAsia="Arial" w:hAnsi="Arial"/>
          <w:sz w:val="18"/>
          <w:szCs w:val="18"/>
          <w:color w:val="484848"/>
        </w:rPr>
        <w:t>i</w:t>
      </w:r>
      <w:r>
        <w:rPr>
          <w:rFonts w:ascii="Arial" w:cs="Arial" w:eastAsia="Arial" w:hAnsi="Arial"/>
          <w:sz w:val="18"/>
          <w:szCs w:val="18"/>
          <w:color w:val="auto"/>
        </w:rPr>
        <w:t>on for you that</w:t>
      </w:r>
      <w:r>
        <w:rPr>
          <w:rFonts w:ascii="Arial" w:cs="Arial" w:eastAsia="Arial" w:hAnsi="Arial"/>
          <w:sz w:val="18"/>
          <w:szCs w:val="18"/>
          <w:b w:val="1"/>
          <w:bCs w:val="1"/>
          <w:color w:val="auto"/>
        </w:rPr>
        <w:t xml:space="preserve"> </w:t>
      </w:r>
      <w:r>
        <w:rPr>
          <w:rFonts w:ascii="Arial" w:cs="Arial" w:eastAsia="Arial" w:hAnsi="Arial"/>
          <w:sz w:val="18"/>
          <w:szCs w:val="18"/>
          <w:color w:val="1D1D1D"/>
        </w:rPr>
        <w:t>recognizes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relatively more difficult</w:t>
      </w:r>
      <w:r>
        <w:rPr>
          <w:rFonts w:ascii="Arial" w:cs="Arial" w:eastAsia="Arial" w:hAnsi="Arial"/>
          <w:sz w:val="18"/>
          <w:szCs w:val="18"/>
          <w:b w:val="1"/>
          <w:bCs w:val="1"/>
          <w:color w:val="auto"/>
        </w:rPr>
        <w:t xml:space="preserve"> </w:t>
      </w:r>
      <w:r>
        <w:rPr>
          <w:rFonts w:ascii="Arial" w:cs="Arial" w:eastAsia="Arial" w:hAnsi="Arial"/>
          <w:sz w:val="18"/>
          <w:szCs w:val="18"/>
          <w:color w:val="auto"/>
        </w:rPr>
        <w:t>emp</w:t>
      </w:r>
      <w:r>
        <w:rPr>
          <w:rFonts w:ascii="Arial" w:cs="Arial" w:eastAsia="Arial" w:hAnsi="Arial"/>
          <w:sz w:val="18"/>
          <w:szCs w:val="18"/>
          <w:color w:val="484848"/>
        </w:rPr>
        <w:t>l</w:t>
      </w:r>
      <w:r>
        <w:rPr>
          <w:rFonts w:ascii="Arial" w:cs="Arial" w:eastAsia="Arial" w:hAnsi="Arial"/>
          <w:sz w:val="18"/>
          <w:szCs w:val="18"/>
          <w:color w:val="auto"/>
        </w:rPr>
        <w:t>oyment t</w:t>
      </w:r>
      <w:r>
        <w:rPr>
          <w:rFonts w:ascii="Arial" w:cs="Arial" w:eastAsia="Arial" w:hAnsi="Arial"/>
          <w:sz w:val="18"/>
          <w:szCs w:val="18"/>
          <w:color w:val="484848"/>
        </w:rPr>
        <w:t>r</w:t>
      </w:r>
      <w:r>
        <w:rPr>
          <w:rFonts w:ascii="Arial" w:cs="Arial" w:eastAsia="Arial" w:hAnsi="Arial"/>
          <w:sz w:val="18"/>
          <w:szCs w:val="18"/>
          <w:color w:val="auto"/>
        </w:rPr>
        <w:t>ansit</w:t>
      </w:r>
      <w:r>
        <w:rPr>
          <w:rFonts w:ascii="Arial" w:cs="Arial" w:eastAsia="Arial" w:hAnsi="Arial"/>
          <w:sz w:val="18"/>
          <w:szCs w:val="18"/>
          <w:color w:val="484848"/>
        </w:rPr>
        <w:t>i</w:t>
      </w:r>
      <w:r>
        <w:rPr>
          <w:rFonts w:ascii="Arial" w:cs="Arial" w:eastAsia="Arial" w:hAnsi="Arial"/>
          <w:sz w:val="18"/>
          <w:szCs w:val="18"/>
          <w:color w:val="auto"/>
        </w:rPr>
        <w:t xml:space="preserve">on that occurs upon the </w:t>
      </w:r>
      <w:r>
        <w:rPr>
          <w:rFonts w:ascii="Arial" w:cs="Arial" w:eastAsia="Arial" w:hAnsi="Arial"/>
          <w:sz w:val="18"/>
          <w:szCs w:val="18"/>
          <w:color w:val="1D1D1D"/>
        </w:rPr>
        <w:t>termination</w:t>
      </w:r>
      <w:r>
        <w:rPr>
          <w:rFonts w:ascii="Arial" w:cs="Arial" w:eastAsia="Arial" w:hAnsi="Arial"/>
          <w:sz w:val="18"/>
          <w:szCs w:val="18"/>
          <w:color w:val="auto"/>
        </w:rPr>
        <w:t xml:space="preserve"> of employment of higher pa</w:t>
      </w:r>
      <w:r>
        <w:rPr>
          <w:rFonts w:ascii="Arial" w:cs="Arial" w:eastAsia="Arial" w:hAnsi="Arial"/>
          <w:sz w:val="18"/>
          <w:szCs w:val="18"/>
          <w:color w:val="484848"/>
        </w:rPr>
        <w:t>i</w:t>
      </w:r>
      <w:r>
        <w:rPr>
          <w:rFonts w:ascii="Arial" w:cs="Arial" w:eastAsia="Arial" w:hAnsi="Arial"/>
          <w:sz w:val="18"/>
          <w:szCs w:val="18"/>
          <w:color w:val="auto"/>
        </w:rPr>
        <w:t xml:space="preserve">d </w:t>
      </w:r>
      <w:r>
        <w:rPr>
          <w:rFonts w:ascii="Arial" w:cs="Arial" w:eastAsia="Arial" w:hAnsi="Arial"/>
          <w:sz w:val="18"/>
          <w:szCs w:val="18"/>
          <w:color w:val="484848"/>
        </w:rPr>
        <w:t>i</w:t>
      </w:r>
      <w:r>
        <w:rPr>
          <w:rFonts w:ascii="Arial" w:cs="Arial" w:eastAsia="Arial" w:hAnsi="Arial"/>
          <w:sz w:val="18"/>
          <w:szCs w:val="18"/>
          <w:color w:val="auto"/>
        </w:rPr>
        <w:t>ndividuals</w:t>
      </w:r>
      <w:r>
        <w:rPr>
          <w:rFonts w:ascii="Arial" w:cs="Arial" w:eastAsia="Arial" w:hAnsi="Arial"/>
          <w:sz w:val="18"/>
          <w:szCs w:val="18"/>
          <w:color w:val="484848"/>
        </w:rPr>
        <w:t>.</w:t>
      </w:r>
      <w:r>
        <w:rPr>
          <w:rFonts w:ascii="Arial" w:cs="Arial" w:eastAsia="Arial" w:hAnsi="Arial"/>
          <w:sz w:val="18"/>
          <w:szCs w:val="18"/>
          <w:color w:val="auto"/>
        </w:rPr>
        <w:t xml:space="preserve"> Therefore, in the event that your employment is terminated by </w:t>
      </w:r>
      <w:r>
        <w:rPr>
          <w:rFonts w:ascii="Arial" w:cs="Arial" w:eastAsia="Arial" w:hAnsi="Arial"/>
          <w:sz w:val="18"/>
          <w:szCs w:val="18"/>
          <w:color w:val="1D1D1D"/>
        </w:rPr>
        <w:t>the</w:t>
      </w:r>
      <w:r>
        <w:rPr>
          <w:rFonts w:ascii="Arial" w:cs="Arial" w:eastAsia="Arial" w:hAnsi="Arial"/>
          <w:sz w:val="18"/>
          <w:szCs w:val="18"/>
          <w:color w:val="auto"/>
        </w:rPr>
        <w:t xml:space="preserve"> Company during your first two years of employment for a reason o</w:t>
      </w:r>
      <w:r>
        <w:rPr>
          <w:rFonts w:ascii="Arial" w:cs="Arial" w:eastAsia="Arial" w:hAnsi="Arial"/>
          <w:sz w:val="18"/>
          <w:szCs w:val="18"/>
          <w:color w:val="484848"/>
        </w:rPr>
        <w:t>t</w:t>
      </w:r>
      <w:r>
        <w:rPr>
          <w:rFonts w:ascii="Arial" w:cs="Arial" w:eastAsia="Arial" w:hAnsi="Arial"/>
          <w:sz w:val="18"/>
          <w:szCs w:val="18"/>
          <w:color w:val="auto"/>
        </w:rPr>
        <w:t xml:space="preserve">her than for cause or material violation of the Company’s Code of Business Conduct &amp; Ethics, you </w:t>
      </w:r>
      <w:r>
        <w:rPr>
          <w:rFonts w:ascii="Arial" w:cs="Arial" w:eastAsia="Arial" w:hAnsi="Arial"/>
          <w:sz w:val="18"/>
          <w:szCs w:val="18"/>
          <w:color w:val="1D1D1D"/>
        </w:rPr>
        <w:t>shall</w:t>
      </w:r>
      <w:r>
        <w:rPr>
          <w:rFonts w:ascii="Arial" w:cs="Arial" w:eastAsia="Arial" w:hAnsi="Arial"/>
          <w:sz w:val="18"/>
          <w:szCs w:val="18"/>
          <w:color w:val="auto"/>
        </w:rPr>
        <w:t xml:space="preserve"> be enti</w:t>
      </w:r>
      <w:r>
        <w:rPr>
          <w:rFonts w:ascii="Arial" w:cs="Arial" w:eastAsia="Arial" w:hAnsi="Arial"/>
          <w:sz w:val="18"/>
          <w:szCs w:val="18"/>
          <w:color w:val="484848"/>
        </w:rPr>
        <w:t>t</w:t>
      </w:r>
      <w:r>
        <w:rPr>
          <w:rFonts w:ascii="Arial" w:cs="Arial" w:eastAsia="Arial" w:hAnsi="Arial"/>
          <w:sz w:val="18"/>
          <w:szCs w:val="18"/>
          <w:color w:val="auto"/>
        </w:rPr>
        <w:t>led to the following benefits:</w:t>
      </w:r>
    </w:p>
    <w:p>
      <w:pPr>
        <w:spacing w:after="0" w:line="93" w:lineRule="exact"/>
        <w:rPr>
          <w:rFonts w:ascii="Arial" w:cs="Arial" w:eastAsia="Arial" w:hAnsi="Arial"/>
          <w:sz w:val="22"/>
          <w:szCs w:val="22"/>
          <w:color w:val="auto"/>
        </w:rPr>
      </w:pPr>
    </w:p>
    <w:p>
      <w:pPr>
        <w:ind w:left="1460" w:right="20" w:hanging="318"/>
        <w:spacing w:after="0" w:line="276" w:lineRule="auto"/>
        <w:tabs>
          <w:tab w:leader="none" w:pos="1460" w:val="left"/>
        </w:tabs>
        <w:numPr>
          <w:ilvl w:val="1"/>
          <w:numId w:val="23"/>
        </w:numPr>
        <w:rPr>
          <w:rFonts w:ascii="Arial" w:cs="Arial" w:eastAsia="Arial" w:hAnsi="Arial"/>
          <w:sz w:val="22"/>
          <w:szCs w:val="22"/>
          <w:color w:val="auto"/>
        </w:rPr>
      </w:pPr>
      <w:r>
        <w:rPr>
          <w:rFonts w:ascii="Arial" w:cs="Arial" w:eastAsia="Arial" w:hAnsi="Arial"/>
          <w:sz w:val="18"/>
          <w:szCs w:val="18"/>
          <w:b w:val="1"/>
          <w:bCs w:val="1"/>
          <w:color w:val="auto"/>
        </w:rPr>
        <w:t xml:space="preserve">Base Salary for One Year. </w:t>
      </w:r>
      <w:r>
        <w:rPr>
          <w:rFonts w:ascii="Arial" w:cs="Arial" w:eastAsia="Arial" w:hAnsi="Arial"/>
          <w:sz w:val="18"/>
          <w:szCs w:val="18"/>
          <w:color w:val="auto"/>
        </w:rPr>
        <w:t>Annualized base salary as in effect immediately before the date of termination of employment, paid bi-weekly for a period of 12 months starting on the date of termination of employment.</w:t>
      </w:r>
    </w:p>
    <w:p>
      <w:pPr>
        <w:spacing w:after="0" w:line="92" w:lineRule="exact"/>
        <w:rPr>
          <w:rFonts w:ascii="Arial" w:cs="Arial" w:eastAsia="Arial" w:hAnsi="Arial"/>
          <w:sz w:val="22"/>
          <w:szCs w:val="22"/>
          <w:color w:val="auto"/>
        </w:rPr>
      </w:pPr>
    </w:p>
    <w:p>
      <w:pPr>
        <w:ind w:left="1460" w:right="20" w:hanging="318"/>
        <w:spacing w:after="0" w:line="316" w:lineRule="auto"/>
        <w:tabs>
          <w:tab w:leader="none" w:pos="1460" w:val="left"/>
        </w:tabs>
        <w:numPr>
          <w:ilvl w:val="1"/>
          <w:numId w:val="23"/>
        </w:numPr>
        <w:rPr>
          <w:rFonts w:ascii="Arial" w:cs="Arial" w:eastAsia="Arial" w:hAnsi="Arial"/>
          <w:sz w:val="19"/>
          <w:szCs w:val="19"/>
          <w:color w:val="auto"/>
        </w:rPr>
      </w:pPr>
      <w:r>
        <w:rPr>
          <w:rFonts w:ascii="Arial" w:cs="Arial" w:eastAsia="Arial" w:hAnsi="Arial"/>
          <w:sz w:val="16"/>
          <w:szCs w:val="16"/>
          <w:b w:val="1"/>
          <w:bCs w:val="1"/>
          <w:color w:val="auto"/>
        </w:rPr>
        <w:t xml:space="preserve">Continuation of Welfare Benefits. </w:t>
      </w:r>
      <w:r>
        <w:rPr>
          <w:rFonts w:ascii="Arial" w:cs="Arial" w:eastAsia="Arial" w:hAnsi="Arial"/>
          <w:sz w:val="16"/>
          <w:szCs w:val="16"/>
          <w:color w:val="auto"/>
        </w:rPr>
        <w:t>The Company, at its expense, will pay COBRA (Consolidated Omnibus Reconciliation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premiums for the Company’s group health plan coverage (i.e. medical, dental, vision, life, disability and any other company welfare plans in which you participate) for up to 12 months following the termination of your employment. However, if during the 12 month period you</w:t>
      </w:r>
    </w:p>
    <w:p>
      <w:pPr>
        <w:spacing w:after="0" w:line="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become gainfully employed, the COBRA benefits shall cease and be terminated.</w:t>
      </w:r>
    </w:p>
    <w:p>
      <w:pPr>
        <w:spacing w:after="0" w:line="23" w:lineRule="exact"/>
        <w:rPr>
          <w:sz w:val="20"/>
          <w:szCs w:val="20"/>
          <w:color w:val="auto"/>
        </w:rPr>
      </w:pPr>
    </w:p>
    <w:p>
      <w:pPr>
        <w:jc w:val="both"/>
        <w:ind w:left="980" w:right="20"/>
        <w:spacing w:after="0" w:line="276" w:lineRule="auto"/>
        <w:rPr>
          <w:sz w:val="20"/>
          <w:szCs w:val="20"/>
          <w:color w:val="auto"/>
        </w:rPr>
      </w:pPr>
      <w:r>
        <w:rPr>
          <w:rFonts w:ascii="Arial" w:cs="Arial" w:eastAsia="Arial" w:hAnsi="Arial"/>
          <w:sz w:val="18"/>
          <w:szCs w:val="18"/>
          <w:color w:val="auto"/>
        </w:rPr>
        <w:t>In the event your termination is for cause or for a material violation of the Company’s Code of Business Conduct and Ethics, you will not be entitled to the severance terms as set forth above.</w:t>
      </w:r>
    </w:p>
    <w:p>
      <w:pPr>
        <w:spacing w:after="0" w:line="63"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the event your termination occurs after your second anniversary with the Company, you will receive the then-standard severance provision of the Company.</w:t>
      </w:r>
    </w:p>
    <w:p>
      <w:pPr>
        <w:spacing w:after="0" w:line="62"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Notwithstanding any provision herein to the contrary, payment or provision of your benefits under this paragraph shall commence provided that you have delivered to the Company an executed and irrevocable full and complete Release of Claims against the Company, its affiliates, officers and directors in such form as is satisfactory to the Company (“Release of Claims”). You shall forfeit any and all of the payments, reimbursement and benefits payable under this agreement if you do not provide the Company a Release of Claims.</w:t>
      </w:r>
    </w:p>
    <w:p>
      <w:pPr>
        <w:spacing w:after="0" w:line="194" w:lineRule="exact"/>
        <w:rPr>
          <w:sz w:val="20"/>
          <w:szCs w:val="20"/>
          <w:color w:val="auto"/>
        </w:rPr>
      </w:pPr>
    </w:p>
    <w:p>
      <w:pPr>
        <w:ind w:left="500" w:hanging="492"/>
        <w:spacing w:after="0" w:line="276" w:lineRule="auto"/>
        <w:tabs>
          <w:tab w:leader="none" w:pos="338" w:val="left"/>
        </w:tabs>
        <w:numPr>
          <w:ilvl w:val="0"/>
          <w:numId w:val="24"/>
        </w:numPr>
        <w:rPr>
          <w:rFonts w:ascii="Arial" w:cs="Arial" w:eastAsia="Arial" w:hAnsi="Arial"/>
          <w:sz w:val="22"/>
          <w:szCs w:val="22"/>
          <w:color w:val="auto"/>
        </w:rPr>
      </w:pPr>
      <w:r>
        <w:rPr>
          <w:rFonts w:ascii="Arial" w:cs="Arial" w:eastAsia="Arial" w:hAnsi="Arial"/>
          <w:sz w:val="18"/>
          <w:szCs w:val="18"/>
          <w:b w:val="1"/>
          <w:bCs w:val="1"/>
          <w:color w:val="auto"/>
        </w:rPr>
        <w:t xml:space="preserve">Principal Office. </w:t>
      </w:r>
      <w:r>
        <w:rPr>
          <w:rFonts w:ascii="Arial" w:cs="Arial" w:eastAsia="Arial" w:hAnsi="Arial"/>
          <w:sz w:val="18"/>
          <w:szCs w:val="18"/>
          <w:color w:val="auto"/>
        </w:rPr>
        <w:t>The Quanex Building Products Corporation offices located at 1800 West Loop South, Suite 1500 in Houston, TX will be your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Your entitlement to any of the benefits outlined herein is contingent on your continued employment at the time. The above benefit(s) and/or compensation information is subject to change without notice per the terms, policies and/or practices of the Company.</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Your acceptance below is acknowledgment and agreement on your part to the offer of employment by the Company. Your acceptance of this offer does not modify the at-will employment relationship you enjoy with the Company, meaning either you or the Company may terminate the employment relationship at any time, with or without notice.</w:t>
      </w:r>
    </w:p>
    <w:p>
      <w:pPr>
        <w:spacing w:after="0" w:line="181" w:lineRule="exact"/>
        <w:rPr>
          <w:sz w:val="20"/>
          <w:szCs w:val="20"/>
          <w:color w:val="auto"/>
        </w:rPr>
      </w:pPr>
    </w:p>
    <w:p>
      <w:pPr>
        <w:ind w:right="5700"/>
        <w:spacing w:after="0" w:line="277" w:lineRule="auto"/>
        <w:rPr>
          <w:sz w:val="20"/>
          <w:szCs w:val="20"/>
          <w:color w:val="auto"/>
        </w:rPr>
      </w:pPr>
      <w:r>
        <w:rPr>
          <w:rFonts w:ascii="Arial" w:cs="Arial" w:eastAsia="Arial" w:hAnsi="Arial"/>
          <w:sz w:val="18"/>
          <w:szCs w:val="18"/>
          <w:color w:val="auto"/>
        </w:rPr>
        <w:t>Please sign your acceptance in the space below and return it to me no later than Thursday, January 31,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Feel free to call me at any time.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Brent Korb</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Brent Korb</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OFFER</w:t>
      </w:r>
    </w:p>
    <w:p>
      <w:pPr>
        <w:spacing w:after="0" w:line="200" w:lineRule="exact"/>
        <w:rPr>
          <w:sz w:val="20"/>
          <w:szCs w:val="20"/>
          <w:color w:val="auto"/>
        </w:rPr>
      </w:pPr>
    </w:p>
    <w:p>
      <w:pPr>
        <w:spacing w:after="0" w:line="24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/s/ Mark Livingston</w:t>
      </w:r>
      <w:r>
        <w:rPr>
          <w:sz w:val="20"/>
          <w:szCs w:val="20"/>
          <w:color w:val="auto"/>
        </w:rPr>
        <w:tab/>
      </w:r>
      <w:r>
        <w:rPr>
          <w:rFonts w:ascii="Arial" w:cs="Arial" w:eastAsia="Arial" w:hAnsi="Arial"/>
          <w:sz w:val="16"/>
          <w:szCs w:val="16"/>
          <w:color w:val="auto"/>
        </w:rPr>
        <w:t>January 31, 2019</w:t>
      </w:r>
    </w:p>
    <w:p>
      <w:pPr>
        <w:spacing w:after="0" w:line="23"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___________________________________</w:t>
      </w:r>
      <w:r>
        <w:rPr>
          <w:sz w:val="20"/>
          <w:szCs w:val="20"/>
          <w:color w:val="auto"/>
        </w:rPr>
        <w:tab/>
      </w:r>
      <w:r>
        <w:rPr>
          <w:rFonts w:ascii="Arial" w:cs="Arial" w:eastAsia="Arial" w:hAnsi="Arial"/>
          <w:sz w:val="18"/>
          <w:szCs w:val="18"/>
          <w:color w:val="auto"/>
        </w:rPr>
        <w:t>________________________</w:t>
      </w:r>
    </w:p>
    <w:p>
      <w:pPr>
        <w:spacing w:after="0" w:line="35"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Mark Livingston</w:t>
      </w:r>
      <w:r>
        <w:rPr>
          <w:sz w:val="20"/>
          <w:szCs w:val="20"/>
          <w:color w:val="auto"/>
        </w:rPr>
        <w:tab/>
      </w:r>
      <w:r>
        <w:rPr>
          <w:rFonts w:ascii="Arial" w:cs="Arial" w:eastAsia="Arial" w:hAnsi="Arial"/>
          <w:sz w:val="16"/>
          <w:szCs w:val="16"/>
          <w:color w:val="auto"/>
        </w:rPr>
        <w:t>Date</w:t>
      </w:r>
    </w:p>
    <w:p>
      <w:pPr>
        <w:sectPr>
          <w:pgSz w:w="11900" w:h="16838" w:orient="portrait"/>
          <w:cols w:equalWidth="0" w:num="1">
            <w:col w:w="11420"/>
          </w:cols>
          <w:pgMar w:left="240" w:top="14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387C2B"/>
        </w:rPr>
        <w:t>www.quanex.com</w:t>
      </w:r>
    </w:p>
    <w:p>
      <w:pPr>
        <w:sectPr>
          <w:pgSz w:w="11900" w:h="16838" w:orient="portrait"/>
          <w:cols w:equalWidth="0" w:num="1">
            <w:col w:w="11420"/>
          </w:cols>
          <w:pgMar w:left="240" w:top="148" w:right="239" w:bottom="0" w:gutter="0" w:footer="0" w:header="0"/>
          <w:type w:val="continuous"/>
        </w:sectPr>
      </w:pPr>
    </w:p>
    <w:bookmarkStart w:id="94" w:name="page95"/>
    <w:bookmarkEnd w:id="94"/>
    <w:p>
      <w:pPr>
        <w:ind w:left="10240"/>
        <w:spacing w:after="0"/>
        <w:rPr>
          <w:sz w:val="20"/>
          <w:szCs w:val="20"/>
          <w:color w:val="auto"/>
        </w:rPr>
      </w:pPr>
      <w:r>
        <w:rPr>
          <w:rFonts w:ascii="Arial" w:cs="Arial" w:eastAsia="Arial" w:hAnsi="Arial"/>
          <w:sz w:val="18"/>
          <w:szCs w:val="18"/>
          <w:b w:val="1"/>
          <w:bCs w:val="1"/>
          <w:color w:val="auto"/>
        </w:rPr>
        <w:t>EXHIBIT 21.1</w:t>
      </w:r>
    </w:p>
    <w:p>
      <w:pPr>
        <w:sectPr>
          <w:pgSz w:w="11900" w:h="16838" w:orient="portrait"/>
          <w:cols w:equalWidth="0" w:num="1">
            <w:col w:w="11380"/>
          </w:cols>
          <w:pgMar w:left="28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 OF INCORPORATION</w:t>
      </w:r>
    </w:p>
    <w:p>
      <w:pPr>
        <w:spacing w:after="0" w:line="50" w:lineRule="exact"/>
        <w:rPr>
          <w:sz w:val="20"/>
          <w:szCs w:val="20"/>
          <w:color w:val="auto"/>
        </w:rPr>
      </w:pPr>
    </w:p>
    <w:p>
      <w:pPr>
        <w:sectPr>
          <w:pgSz w:w="11900" w:h="16838" w:orient="portrait"/>
          <w:cols w:equalWidth="0" w:num="2">
            <w:col w:w="7280" w:space="720"/>
            <w:col w:w="3380"/>
          </w:cols>
          <w:pgMar w:left="280" w:top="553" w:right="239" w:bottom="1440" w:gutter="0" w:footer="0" w:header="0"/>
          <w:type w:val="continuous"/>
        </w:sectPr>
      </w:pPr>
    </w:p>
    <w:p>
      <w:pPr>
        <w:spacing w:after="0"/>
        <w:rPr>
          <w:sz w:val="20"/>
          <w:szCs w:val="20"/>
          <w:color w:val="auto"/>
        </w:rPr>
      </w:pPr>
      <w:r>
        <w:rPr>
          <w:rFonts w:ascii="Arial" w:cs="Arial" w:eastAsia="Arial" w:hAnsi="Arial"/>
          <w:sz w:val="18"/>
          <w:szCs w:val="18"/>
          <w:color w:val="auto"/>
        </w:rPr>
        <w:t>Quanex North American Fenestration,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Quanex North American Cabinet Components,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Quanex Homeshield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Mikron Industries,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Mikron Washington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Quanex IG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Edgetech Europe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Quanex Screens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Edgetech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Flamstead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HL Plastics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Woodcraft Industries,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Brentwood Acquisition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Primewood,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Wales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North Dakota</w:t>
      </w:r>
    </w:p>
    <w:p>
      <w:pPr>
        <w:sectPr>
          <w:pgSz w:w="11900" w:h="16838" w:orient="portrait"/>
          <w:cols w:equalWidth="0" w:num="2">
            <w:col w:w="7280" w:space="720"/>
            <w:col w:w="3380"/>
          </w:cols>
          <w:pgMar w:left="280" w:top="553"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December 12, 2019, with respect to the consolidated financial statements and internal control over financial reporting included in the Annual Report of Quanex Building Products Corporation on Form 10-K for the year ended October 31, 2019. We hereby consent to the incorporation by reference of said reports in the Registration Statements of Quanex Building Products Corporation on Forms S-8 (File No. 333-150392, File No. 333-173245, File No. 333-194812 and File No. 333-217118).</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ectPr>
          <w:pgSz w:w="11900" w:h="16838" w:orient="portrait"/>
          <w:cols w:equalWidth="0" w:num="1">
            <w:col w:w="11420"/>
          </w:cols>
          <w:pgMar w:left="240" w:top="17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William C. Griffiths, certify that:</w:t>
      </w:r>
    </w:p>
    <w:p>
      <w:pPr>
        <w:spacing w:after="0" w:line="117"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Quanex Building Products Corporation (the Registrant);</w:t>
      </w:r>
    </w:p>
    <w:p>
      <w:pPr>
        <w:spacing w:after="0" w:line="117"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80" w:hanging="648"/>
        <w:spacing w:after="0" w:line="291"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620" w:hanging="640"/>
        <w:spacing w:after="0" w:line="34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620" w:hanging="640"/>
        <w:spacing w:after="0" w:line="308" w:lineRule="auto"/>
        <w:tabs>
          <w:tab w:leader="none" w:pos="1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620" w:hanging="640"/>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WILLIAM C.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9485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GRIFFITHS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17" w:lineRule="exact"/>
        <w:rPr>
          <w:sz w:val="20"/>
          <w:szCs w:val="20"/>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Quanex Building Products Corporation (the Registrant);</w:t>
      </w:r>
    </w:p>
    <w:p>
      <w:pPr>
        <w:spacing w:after="0" w:line="117"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80" w:hanging="648"/>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620" w:hanging="640"/>
        <w:spacing w:after="0" w:line="34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620" w:hanging="640"/>
        <w:spacing w:after="0" w:line="308" w:lineRule="auto"/>
        <w:tabs>
          <w:tab w:leader="none" w:pos="1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620" w:hanging="640"/>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82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spacing w:after="0" w:line="23" w:lineRule="exact"/>
        <w:rPr>
          <w:sz w:val="20"/>
          <w:szCs w:val="20"/>
          <w:color w:val="auto"/>
        </w:rPr>
      </w:pPr>
    </w:p>
    <w:p>
      <w:pPr>
        <w:ind w:left="40" w:right="5500"/>
        <w:spacing w:after="0" w:line="261" w:lineRule="auto"/>
        <w:rPr>
          <w:sz w:val="20"/>
          <w:szCs w:val="20"/>
          <w:color w:val="auto"/>
        </w:rPr>
      </w:pPr>
      <w:r>
        <w:rPr>
          <w:rFonts w:ascii="Arial" w:cs="Arial" w:eastAsia="Arial" w:hAnsi="Arial"/>
          <w:sz w:val="18"/>
          <w:szCs w:val="18"/>
          <w:color w:val="auto"/>
        </w:rPr>
        <w:t>Senior Vice President - Chief Financial Officer and Treasurer (Principal Financial Officer)</w:t>
      </w:r>
    </w:p>
    <w:p>
      <w:pPr>
        <w:sectPr>
          <w:pgSz w:w="11900" w:h="16838" w:orient="portrait"/>
          <w:cols w:equalWidth="0" w:num="1">
            <w:col w:w="11420"/>
          </w:cols>
          <w:pgMar w:left="240" w:top="553"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Act), William C. Griffiths,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11" w:lineRule="exact"/>
        <w:rPr>
          <w:sz w:val="20"/>
          <w:szCs w:val="20"/>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October 31, 2019 as filed with the Securities and Exchange Commission on the date hereof (the Report), fully complies with the requirements of Section 13(a) or 15(d), as applicable, of the Securities Exchange Act of 1934, as amended;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December 12, 2019</w:t>
            </w:r>
          </w:p>
        </w:tc>
        <w:tc>
          <w:tcPr>
            <w:tcW w:w="5600" w:type="dxa"/>
            <w:vAlign w:val="bottom"/>
          </w:tcPr>
          <w:p>
            <w:pPr>
              <w:spacing w:after="0"/>
              <w:rPr>
                <w:sz w:val="20"/>
                <w:szCs w:val="20"/>
                <w:color w:val="auto"/>
              </w:rPr>
            </w:pPr>
          </w:p>
        </w:tc>
      </w:tr>
      <w:tr>
        <w:trPr>
          <w:trHeight w:val="567"/>
        </w:trPr>
        <w:tc>
          <w:tcPr>
            <w:tcW w:w="58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/S/ WILLIAM C. GRIFFITHS</w:t>
            </w:r>
          </w:p>
        </w:tc>
        <w:tc>
          <w:tcPr>
            <w:tcW w:w="5600" w:type="dxa"/>
            <w:vAlign w:val="bottom"/>
          </w:tcPr>
          <w:p>
            <w:pPr>
              <w:jc w:val="center"/>
              <w:spacing w:after="0"/>
              <w:rPr>
                <w:sz w:val="20"/>
                <w:szCs w:val="20"/>
                <w:color w:val="auto"/>
              </w:rPr>
            </w:pPr>
            <w:r>
              <w:rPr>
                <w:rFonts w:ascii="Arial" w:cs="Arial" w:eastAsia="Arial" w:hAnsi="Arial"/>
                <w:sz w:val="18"/>
                <w:szCs w:val="18"/>
                <w:color w:val="auto"/>
                <w:w w:val="96"/>
              </w:rPr>
              <w:t>/S/ SCOTT M. ZUEHLKE</w:t>
            </w: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5820" w:type="dxa"/>
            <w:vAlign w:val="bottom"/>
            <w:gridSpan w:val="2"/>
          </w:tcPr>
          <w:p>
            <w:pPr>
              <w:jc w:val="center"/>
              <w:ind w:right="320"/>
              <w:spacing w:after="0"/>
              <w:rPr>
                <w:sz w:val="20"/>
                <w:szCs w:val="20"/>
                <w:color w:val="auto"/>
              </w:rPr>
            </w:pPr>
            <w:r>
              <w:rPr>
                <w:rFonts w:ascii="Arial" w:cs="Arial" w:eastAsia="Arial" w:hAnsi="Arial"/>
                <w:sz w:val="16"/>
                <w:szCs w:val="16"/>
                <w:color w:val="auto"/>
              </w:rPr>
              <w:t>WILLIAM C. GRIFFITHS</w:t>
            </w:r>
          </w:p>
        </w:tc>
        <w:tc>
          <w:tcPr>
            <w:tcW w:w="5600" w:type="dxa"/>
            <w:vAlign w:val="bottom"/>
          </w:tcPr>
          <w:p>
            <w:pPr>
              <w:jc w:val="center"/>
              <w:spacing w:after="0"/>
              <w:rPr>
                <w:sz w:val="20"/>
                <w:szCs w:val="20"/>
                <w:color w:val="auto"/>
              </w:rPr>
            </w:pPr>
            <w:r>
              <w:rPr>
                <w:rFonts w:ascii="Arial" w:cs="Arial" w:eastAsia="Arial" w:hAnsi="Arial"/>
                <w:sz w:val="16"/>
                <w:szCs w:val="16"/>
                <w:color w:val="auto"/>
                <w:w w:val="98"/>
              </w:rPr>
              <w:t>SCOTT M. ZUEHLKE</w:t>
            </w:r>
          </w:p>
        </w:tc>
      </w:tr>
      <w:tr>
        <w:trPr>
          <w:trHeight w:val="262"/>
        </w:trPr>
        <w:tc>
          <w:tcPr>
            <w:tcW w:w="582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0"/>
              </w:rPr>
              <w:t>Chairman of the Board, President and</w:t>
            </w:r>
          </w:p>
        </w:tc>
        <w:tc>
          <w:tcPr>
            <w:tcW w:w="5600" w:type="dxa"/>
            <w:vAlign w:val="bottom"/>
          </w:tcPr>
          <w:p>
            <w:pPr>
              <w:spacing w:after="0"/>
              <w:rPr>
                <w:sz w:val="22"/>
                <w:szCs w:val="22"/>
                <w:color w:val="auto"/>
              </w:rPr>
            </w:pPr>
          </w:p>
        </w:tc>
      </w:tr>
      <w:tr>
        <w:trPr>
          <w:trHeight w:val="230"/>
        </w:trPr>
        <w:tc>
          <w:tcPr>
            <w:tcW w:w="582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2"/>
              </w:rPr>
              <w:t>Chief Executive Officer</w:t>
            </w:r>
          </w:p>
        </w:tc>
        <w:tc>
          <w:tcPr>
            <w:tcW w:w="5600" w:type="dxa"/>
            <w:vAlign w:val="bottom"/>
          </w:tcPr>
          <w:p>
            <w:pPr>
              <w:jc w:val="center"/>
              <w:spacing w:after="0"/>
              <w:rPr>
                <w:sz w:val="20"/>
                <w:szCs w:val="20"/>
                <w:color w:val="auto"/>
              </w:rPr>
            </w:pPr>
            <w:r>
              <w:rPr>
                <w:rFonts w:ascii="Arial" w:cs="Arial" w:eastAsia="Arial" w:hAnsi="Arial"/>
                <w:sz w:val="18"/>
                <w:szCs w:val="18"/>
                <w:i w:val="1"/>
                <w:iCs w:val="1"/>
                <w:color w:val="auto"/>
                <w:w w:val="91"/>
              </w:rPr>
              <w:t>Senior Vice President—Chief Financial Officer and Treasurer</w:t>
            </w:r>
          </w:p>
        </w:tc>
      </w:tr>
    </w:tbl>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lvl w:ilvl="1">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7"/>
    </w:lvl>
    <w:lvl w:ilvl="1">
      <w:lvlJc w:val="left"/>
      <w:lvlText w:val="%2."/>
      <w:numFmt w:val="lowerLetter"/>
      <w:start w:val="1"/>
    </w:lvl>
  </w:abstractNum>
  <w:abstractNum w:abstractNumId="23">
    <w:nsid w:val="4353D0CD"/>
    <w:multiLevelType w:val="hybridMultilevel"/>
    <w:lvl w:ilvl="0">
      <w:lvlJc w:val="left"/>
      <w:lvlText w:val="%1."/>
      <w:numFmt w:val="decimal"/>
      <w:start w:val="10"/>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91" Type="http://schemas.openxmlformats.org/officeDocument/2006/relationships/image" Target="media/image28.png"/><Relationship Id="rId92" Type="http://schemas.openxmlformats.org/officeDocument/2006/relationships/image" Target="media/image29.png"/><Relationship Id="rId93" Type="http://schemas.openxmlformats.org/officeDocument/2006/relationships/image" Target="media/image30.png"/><Relationship Id="rId35" Type="http://schemas.openxmlformats.org/officeDocument/2006/relationships/hyperlink" Target="http://www.sec.gov/Archives/edgar/data/1423221/000095012311008220/c11749exv2w1.htm" TargetMode="External"/><Relationship Id="rId36" Type="http://schemas.openxmlformats.org/officeDocument/2006/relationships/hyperlink" Target="http://www.sec.gov/Archives/edgar/data/1423221/000119312514042001/d673720dex21.htm" TargetMode="External"/><Relationship Id="rId37" Type="http://schemas.openxmlformats.org/officeDocument/2006/relationships/hyperlink" Target="http://www.sec.gov/Archives/edgar/data/1423221/000119312514133069/d705907dex101.htm" TargetMode="External"/><Relationship Id="rId38" Type="http://schemas.openxmlformats.org/officeDocument/2006/relationships/hyperlink" Target="http://www.sec.gov/Archives/edgar/data/1423221/000119312515223912/d942344dex21.htm" TargetMode="External"/><Relationship Id="rId39" Type="http://schemas.openxmlformats.org/officeDocument/2006/relationships/hyperlink" Target="http://www.sec.gov/Archives/edgar/data/1423221/000119312515307548/d61044dex21.htm" TargetMode="External"/><Relationship Id="rId40" Type="http://schemas.openxmlformats.org/officeDocument/2006/relationships/hyperlink" Target="http://www.sec.gov/Archives/edgar/data/1423221/000119312516495257/d156158dex31.htm" TargetMode="External"/><Relationship Id="rId41" Type="http://schemas.openxmlformats.org/officeDocument/2006/relationships/hyperlink" Target="http://www.sec.gov/Archives/edgar/data/1423221/000142322116000023/nx07312016ex32.htm" TargetMode="External"/><Relationship Id="rId42" Type="http://schemas.openxmlformats.org/officeDocument/2006/relationships/hyperlink" Target="http://www.sec.gov/Archives/edgar/data/1423221/000095012908000988/h52992a1exv4w1.htm" TargetMode="External"/><Relationship Id="rId43" Type="http://schemas.openxmlformats.org/officeDocument/2006/relationships/hyperlink" Target="http://www.sec.gov/Archives/edgar/data/1423221/000119312518302063/d637291dex101.htm" TargetMode="External"/><Relationship Id="rId44" Type="http://schemas.openxmlformats.org/officeDocument/2006/relationships/hyperlink" Target="http://www.sec.gov/Archives/edgar/data/1423221/000119312514077357/d687962d8k.htm" TargetMode="External"/><Relationship Id="rId45" Type="http://schemas.openxmlformats.org/officeDocument/2006/relationships/hyperlink" Target="http://www.sec.gov/Archives/edgar/data/1423221/000142322114000003/a102qbpdeferredcompplan.htm" TargetMode="External"/><Relationship Id="rId46" Type="http://schemas.openxmlformats.org/officeDocument/2006/relationships/hyperlink" Target="http://www.sec.gov/Archives/edgar/data/1423221/000095013408004851/h52992a4exv10w8.htm" TargetMode="External"/><Relationship Id="rId47" Type="http://schemas.openxmlformats.org/officeDocument/2006/relationships/hyperlink" Target="http://www.sec.gov/Archives/edgar/data/1423221/000095013408004851/h52992a4exv10w9.htm" TargetMode="External"/><Relationship Id="rId48" Type="http://schemas.openxmlformats.org/officeDocument/2006/relationships/hyperlink" Target="http://www.sec.gov/Archives/edgar/data/1423221/000095012908000988/h52992a1exv10w5.htm" TargetMode="External"/><Relationship Id="rId49" Type="http://schemas.openxmlformats.org/officeDocument/2006/relationships/hyperlink" Target="http://www.sec.gov/Archives/edgar/data/1423221/000136231008004916/c75000exv10w1.htm" TargetMode="External"/><Relationship Id="rId50" Type="http://schemas.openxmlformats.org/officeDocument/2006/relationships/hyperlink" Target="http://www.sec.gov/Archives/edgar/data/1423221/000136231008004916/c75000exv10w2.htm" TargetMode="External"/><Relationship Id="rId51" Type="http://schemas.openxmlformats.org/officeDocument/2006/relationships/hyperlink" Target="http://www.sec.gov/Archives/edgar/data/1423221/000119312513285928/d566041dex101.htm" TargetMode="External"/><Relationship Id="rId52" Type="http://schemas.openxmlformats.org/officeDocument/2006/relationships/hyperlink" Target="http://www.sec.gov/Archives/edgar/data/1423221/000119312513285928/d566041dex102.htm" TargetMode="External"/><Relationship Id="rId53" Type="http://schemas.openxmlformats.org/officeDocument/2006/relationships/hyperlink" Target="http://www.sec.gov/Archives/edgar/data/1423221/000119312514167680/d716408dex101.htm" TargetMode="External"/><Relationship Id="rId54" Type="http://schemas.openxmlformats.org/officeDocument/2006/relationships/hyperlink" Target="http://www.sec.gov/Archives/edgar/data/1423221/000119312514167680/d716408dex102.htm" TargetMode="External"/><Relationship Id="rId55" Type="http://schemas.openxmlformats.org/officeDocument/2006/relationships/hyperlink" Target="http://www.sec.gov/Archives/edgar/data/1423221/000119312514167680/d716408dex103.htm" TargetMode="External"/><Relationship Id="rId56" Type="http://schemas.openxmlformats.org/officeDocument/2006/relationships/hyperlink" Target="http://www.sec.gov/Archives/edgar/data/1423221/000119312514167680/d716408dex104.htm" TargetMode="External"/><Relationship Id="rId57" Type="http://schemas.openxmlformats.org/officeDocument/2006/relationships/hyperlink" Target="http://www.sec.gov/Archives/edgar/data/1423221/000119312514167680/d716408dex105.htm" TargetMode="External"/><Relationship Id="rId58" Type="http://schemas.openxmlformats.org/officeDocument/2006/relationships/hyperlink" Target="http://www.sec.gov/Archives/edgar/data/1423221/000119312514167680/d716408dex106.htm" TargetMode="External"/><Relationship Id="rId59" Type="http://schemas.openxmlformats.org/officeDocument/2006/relationships/hyperlink" Target="http://www.sec.gov/Archives/edgar/data/1423221/000119312514167680/d716408dex107.htm" TargetMode="External"/><Relationship Id="rId60" Type="http://schemas.openxmlformats.org/officeDocument/2006/relationships/hyperlink" Target="http://www.sec.gov/Archives/edgar/data/1423221/000119312514167680/d716408dex108.htm" TargetMode="External"/><Relationship Id="rId61" Type="http://schemas.openxmlformats.org/officeDocument/2006/relationships/hyperlink" Target="http://www.sec.gov/Archives/edgar/data/1423221/000119312514167680/d716408dex109.htm" TargetMode="External"/><Relationship Id="rId62" Type="http://schemas.openxmlformats.org/officeDocument/2006/relationships/hyperlink" Target="http://www.sec.gov/Archives/edgar/data/1423221/000119312514167680/d716408dex1010.htm" TargetMode="External"/><Relationship Id="rId63" Type="http://schemas.openxmlformats.org/officeDocument/2006/relationships/hyperlink" Target="http://www.sec.gov/Archives/edgar/data/1423221/000119312514167680/d716408dex1011.htm" TargetMode="External"/><Relationship Id="rId64" Type="http://schemas.openxmlformats.org/officeDocument/2006/relationships/hyperlink" Target="http://www.sec.gov/Archives/edgar/data/1423221/000119312514167680/d716408dex1012.htm" TargetMode="External"/><Relationship Id="rId65" Type="http://schemas.openxmlformats.org/officeDocument/2006/relationships/hyperlink" Target="http://www.sec.gov/Archives/edgar/data/1423221/000119312515396048/d40657dex101.htm" TargetMode="External"/><Relationship Id="rId66" Type="http://schemas.openxmlformats.org/officeDocument/2006/relationships/hyperlink" Target="http://www.sec.gov/Archives/edgar/data/1423221/000119312515396048/d40657dex102.htm" TargetMode="External"/><Relationship Id="rId67" Type="http://schemas.openxmlformats.org/officeDocument/2006/relationships/hyperlink" Target="http://www.sec.gov/Archives/edgar/data/1423221/000119312515396048/d40657dex103.htm" TargetMode="External"/><Relationship Id="rId68" Type="http://schemas.openxmlformats.org/officeDocument/2006/relationships/hyperlink" Target="http://www.sec.gov/Archives/edgar/data/1423221/000119312514167680/d716408dex1016.htm" TargetMode="External"/><Relationship Id="rId69" Type="http://schemas.openxmlformats.org/officeDocument/2006/relationships/hyperlink" Target="http://www.sec.gov/Archives/edgar/data/1423221/000119312515396048/d40657dex104.htm" TargetMode="External"/><Relationship Id="rId70" Type="http://schemas.openxmlformats.org/officeDocument/2006/relationships/hyperlink" Target="http://www.sec.gov/Archives/edgar/data/1423221/000119312515396048/d40657dex105.htm" TargetMode="External"/><Relationship Id="rId71" Type="http://schemas.openxmlformats.org/officeDocument/2006/relationships/hyperlink" Target="http://www.sec.gov/Archives/edgar/data/1423221/000119312515396048/d40657dex106.htm" TargetMode="External"/><Relationship Id="rId72" Type="http://schemas.openxmlformats.org/officeDocument/2006/relationships/hyperlink" Target="http://www.sec.gov/Archives/edgar/data/1423221/000119312514167680/d716408dex1020.htm" TargetMode="External"/><Relationship Id="rId73" Type="http://schemas.openxmlformats.org/officeDocument/2006/relationships/hyperlink" Target="http://www.sec.gov/Archives/edgar/data/1423221/000119312514167680/d716408dex1021.htm" TargetMode="External"/><Relationship Id="rId74" Type="http://schemas.openxmlformats.org/officeDocument/2006/relationships/hyperlink" Target="http://www.sec.gov/Archives/edgar/data/1423221/000119312514167680/d716408dex1022.htm" TargetMode="External"/><Relationship Id="rId75" Type="http://schemas.openxmlformats.org/officeDocument/2006/relationships/hyperlink" Target="http://www.sec.gov/Archives/edgar/data/1423221/000119312514167680/d716408dex1023.htm" TargetMode="External"/><Relationship Id="rId76" Type="http://schemas.openxmlformats.org/officeDocument/2006/relationships/hyperlink" Target="http://www.sec.gov/Archives/edgar/data/1423221/000119312514167680/d716408dex1024.htm" TargetMode="External"/><Relationship Id="rId77" Type="http://schemas.openxmlformats.org/officeDocument/2006/relationships/hyperlink" Target="http://www.sec.gov/Archives/edgar/data/1423221/000119312514167680/d716408dex1025.htm" TargetMode="External"/><Relationship Id="rId78" Type="http://schemas.openxmlformats.org/officeDocument/2006/relationships/hyperlink" Target="http://www.sec.gov/Archives/edgar/data/1423221/000119312515396048/d40657dex107.htm" TargetMode="External"/><Relationship Id="rId79" Type="http://schemas.openxmlformats.org/officeDocument/2006/relationships/hyperlink" Target="http://www.sec.gov/Archives/edgar/data/1423221/000110465919059039/tm1921707d1_ex10-1.htm" TargetMode="External"/><Relationship Id="rId80" Type="http://schemas.openxmlformats.org/officeDocument/2006/relationships/hyperlink" Target="http://www.sec.gov/Archives/edgar/data/1423221/000119312516439286/d39383dex102.htm" TargetMode="External"/><Relationship Id="rId81" Type="http://schemas.openxmlformats.org/officeDocument/2006/relationships/hyperlink" Target="http://www.sec.gov/Archives/edgar/data/1423221/000142322116000026/nxexhibit1044.htm" TargetMode="External"/><Relationship Id="rId82" Type="http://schemas.openxmlformats.org/officeDocument/2006/relationships/hyperlink" Target="http://www.sec.gov/Archives/edgar/data/1423221/000119312516693844/d233962dex101.htm" TargetMode="External"/><Relationship Id="rId83" Type="http://schemas.openxmlformats.org/officeDocument/2006/relationships/hyperlink" Target="http://www.sec.gov/Archives/edgar/data/1423221/000119312517024657/d333747ddef14a.htm" TargetMode="External"/><Relationship Id="rId84" Type="http://schemas.openxmlformats.org/officeDocument/2006/relationships/hyperlink" Target="http://www.sec.gov/Archives/edgar/data/1423221/000119312517238506/d417234dex101.htm" TargetMode="External"/><Relationship Id="rId85" Type="http://schemas.openxmlformats.org/officeDocument/2006/relationships/hyperlink" Target="http://www.sec.gov/Archives/edgar/data/1423221/000119312517238506/d417234dex102.htm" TargetMode="External"/><Relationship Id="rId86" Type="http://schemas.openxmlformats.org/officeDocument/2006/relationships/hyperlink" Target="http://www.sec.gov/Archives/edgar/data/1423221/000142322117000018/nx-exhibit1050201710xk.htm" TargetMode="External"/><Relationship Id="rId87" Type="http://schemas.openxmlformats.org/officeDocument/2006/relationships/hyperlink" Target="http://www.sec.gov/Archives/edgar/data/1423221/000142322117000018/nx-exhibit1051201710xk.htm" TargetMode="External"/><Relationship Id="rId88" Type="http://schemas.openxmlformats.org/officeDocument/2006/relationships/hyperlink" Target="http://www.sec.gov/Archives/edgar/data/1423221/000119312518297766/d635579dex101.htm" TargetMode="External"/><Relationship Id="rId89" Type="http://schemas.openxmlformats.org/officeDocument/2006/relationships/hyperlink" Target="http://www.sec.gov/Archives/edgar/data/1423221/000110465919059039/tm1921707d1_ex10-2.htm" TargetMode="External"/><Relationship Id="rId90" Type="http://schemas.openxmlformats.org/officeDocument/2006/relationships/hyperlink" Target="http://www.sec.gov/Archives/edgar/data/1423221/000110465919059039/tm1921707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2019-12-28T01:01:58Z</dcterms:created>
  <dcterms:modified xsi:type="dcterms:W3CDTF">2019-12-28T01:01:58Z</dcterms:modified>
</cp:coreProperties>
</file>