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414655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5"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40" w:lineRule="exact"/>
        <w:rPr>
          <w:sz w:val="24"/>
          <w:szCs w:val="24"/>
          <w:color w:val="auto"/>
        </w:rPr>
      </w:pPr>
    </w:p>
    <w:p>
      <w:pPr>
        <w:ind w:left="680" w:hanging="449"/>
        <w:spacing w:after="0"/>
        <w:tabs>
          <w:tab w:leader="none" w:pos="68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July 31, 2024</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4" w:lineRule="exact"/>
        <w:rPr>
          <w:sz w:val="24"/>
          <w:szCs w:val="24"/>
          <w:color w:val="auto"/>
        </w:rPr>
      </w:pPr>
    </w:p>
    <w:p>
      <w:pPr>
        <w:ind w:left="680" w:hanging="429"/>
        <w:spacing w:after="0"/>
        <w:tabs>
          <w:tab w:leader="none" w:pos="68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23" w:lineRule="exact"/>
        <w:rPr>
          <w:sz w:val="24"/>
          <w:szCs w:val="24"/>
          <w:color w:val="auto"/>
        </w:rPr>
      </w:pPr>
    </w:p>
    <w:p>
      <w:pPr>
        <w:ind w:left="384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1-33913</w:t>
      </w:r>
    </w:p>
    <w:p>
      <w:pPr>
        <w:spacing w:after="0" w:line="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2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QUANEX BUILDING PRODUCTS CORPORATION</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115" w:lineRule="exact"/>
        <w:rPr>
          <w:sz w:val="24"/>
          <w:szCs w:val="24"/>
          <w:color w:val="auto"/>
        </w:rPr>
      </w:pPr>
    </w:p>
    <w:tbl>
      <w:tblPr>
        <w:tblLayout w:type="fixed"/>
        <w:tblInd w:w="1860" w:type="dxa"/>
        <w:tblCellMar>
          <w:top w:w="0" w:type="dxa"/>
          <w:left w:w="0" w:type="dxa"/>
          <w:bottom w:w="0" w:type="dxa"/>
          <w:right w:w="0" w:type="dxa"/>
        </w:tblCellMar>
      </w:tblPr>
      <w:tr>
        <w:trPr>
          <w:trHeight w:val="207"/>
        </w:trPr>
        <w:tc>
          <w:tcPr>
            <w:tcW w:w="3940" w:type="dxa"/>
            <w:vAlign w:val="bottom"/>
          </w:tcPr>
          <w:p>
            <w:pPr>
              <w:jc w:val="center"/>
              <w:ind w:right="200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200" w:type="dxa"/>
            <w:vAlign w:val="bottom"/>
          </w:tcPr>
          <w:p>
            <w:pPr>
              <w:jc w:val="center"/>
              <w:ind w:left="2025"/>
              <w:spacing w:after="0"/>
              <w:rPr>
                <w:sz w:val="20"/>
                <w:szCs w:val="20"/>
                <w:color w:val="auto"/>
              </w:rPr>
            </w:pPr>
            <w:r>
              <w:rPr>
                <w:rFonts w:ascii="Times New Roman" w:cs="Times New Roman" w:eastAsia="Times New Roman" w:hAnsi="Times New Roman"/>
                <w:sz w:val="16"/>
                <w:szCs w:val="16"/>
                <w:b w:val="1"/>
                <w:bCs w:val="1"/>
                <w:color w:val="auto"/>
              </w:rPr>
              <w:t>26-1561397</w:t>
            </w:r>
          </w:p>
        </w:tc>
      </w:tr>
      <w:tr>
        <w:trPr>
          <w:trHeight w:val="149"/>
        </w:trPr>
        <w:tc>
          <w:tcPr>
            <w:tcW w:w="3940" w:type="dxa"/>
            <w:vAlign w:val="bottom"/>
          </w:tcPr>
          <w:p>
            <w:pPr>
              <w:jc w:val="center"/>
              <w:ind w:right="200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00" w:type="dxa"/>
            <w:vAlign w:val="bottom"/>
          </w:tcPr>
          <w:p>
            <w:pPr>
              <w:jc w:val="center"/>
              <w:ind w:left="200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40" w:type="dxa"/>
            <w:vAlign w:val="bottom"/>
          </w:tcPr>
          <w:p>
            <w:pPr>
              <w:jc w:val="center"/>
              <w:ind w:right="200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00" w:type="dxa"/>
            <w:vAlign w:val="bottom"/>
          </w:tcPr>
          <w:p>
            <w:pPr>
              <w:jc w:val="center"/>
              <w:ind w:left="2005"/>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945 Bunker Hill Road, Suite 900, Houston, Texas 77024</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 961-4600</w:t>
      </w:r>
    </w:p>
    <w:p>
      <w:pPr>
        <w:spacing w:after="0" w:line="1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5" w:lineRule="exact"/>
        <w:rPr>
          <w:sz w:val="24"/>
          <w:szCs w:val="24"/>
          <w:color w:val="auto"/>
        </w:rPr>
      </w:pPr>
    </w:p>
    <w:tbl>
      <w:tblPr>
        <w:tblLayout w:type="fixed"/>
        <w:tblInd w:w="560" w:type="dxa"/>
        <w:tblCellMar>
          <w:top w:w="0" w:type="dxa"/>
          <w:left w:w="0" w:type="dxa"/>
          <w:bottom w:w="0" w:type="dxa"/>
          <w:right w:w="0" w:type="dxa"/>
        </w:tblCellMar>
      </w:tblPr>
      <w:tr>
        <w:trPr>
          <w:trHeight w:val="161"/>
        </w:trPr>
        <w:tc>
          <w:tcPr>
            <w:tcW w:w="9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780" w:type="dxa"/>
            <w:vAlign w:val="bottom"/>
            <w:gridSpan w:val="2"/>
          </w:tcPr>
          <w:p>
            <w:pPr>
              <w:jc w:val="center"/>
              <w:ind w:right="16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64"/>
        </w:trPr>
        <w:tc>
          <w:tcPr>
            <w:tcW w:w="388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860" w:type="dxa"/>
            <w:vAlign w:val="bottom"/>
          </w:tcPr>
          <w:p>
            <w:pPr>
              <w:spacing w:after="0"/>
              <w:rPr>
                <w:sz w:val="22"/>
                <w:szCs w:val="22"/>
                <w:color w:val="auto"/>
              </w:rPr>
            </w:pPr>
          </w:p>
        </w:tc>
        <w:tc>
          <w:tcPr>
            <w:tcW w:w="2780" w:type="dxa"/>
            <w:vAlign w:val="bottom"/>
            <w:gridSpan w:val="2"/>
          </w:tcPr>
          <w:p>
            <w:pPr>
              <w:jc w:val="center"/>
              <w:ind w:right="1640"/>
              <w:spacing w:after="0"/>
              <w:rPr>
                <w:sz w:val="20"/>
                <w:szCs w:val="20"/>
                <w:color w:val="auto"/>
              </w:rPr>
            </w:pPr>
            <w:r>
              <w:rPr>
                <w:rFonts w:ascii="Times New Roman" w:cs="Times New Roman" w:eastAsia="Times New Roman" w:hAnsi="Times New Roman"/>
                <w:sz w:val="18"/>
                <w:szCs w:val="18"/>
                <w:color w:val="auto"/>
                <w:w w:val="99"/>
              </w:rPr>
              <w:t>NX</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3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81" w:right="339" w:bottom="1440" w:gutter="0" w:footer="0" w:header="0"/>
        </w:sectPr>
      </w:pPr>
    </w:p>
    <w:p>
      <w:pPr>
        <w:spacing w:after="0" w:line="54" w:lineRule="exact"/>
        <w:rPr>
          <w:sz w:val="24"/>
          <w:szCs w:val="24"/>
          <w:color w:val="auto"/>
        </w:rPr>
      </w:pPr>
    </w:p>
    <w:p>
      <w:pPr>
        <w:ind w:left="40"/>
        <w:spacing w:after="0" w:line="207" w:lineRule="exact"/>
        <w:tabs>
          <w:tab w:leader="none" w:pos="2660" w:val="left"/>
          <w:tab w:leader="none" w:pos="820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Accelerated filer</w:t>
      </w:r>
    </w:p>
    <w:p>
      <w:pPr>
        <w:spacing w:after="0" w:line="77" w:lineRule="exact"/>
        <w:rPr>
          <w:sz w:val="24"/>
          <w:szCs w:val="24"/>
          <w:color w:val="auto"/>
        </w:rPr>
      </w:pPr>
    </w:p>
    <w:p>
      <w:pPr>
        <w:ind w:left="40"/>
        <w:spacing w:after="0" w:line="207" w:lineRule="exact"/>
        <w:tabs>
          <w:tab w:leader="none" w:pos="2660" w:val="left"/>
          <w:tab w:leader="none" w:pos="8200" w:val="left"/>
        </w:tabs>
        <w:rPr>
          <w:sz w:val="20"/>
          <w:szCs w:val="20"/>
          <w:color w:val="auto"/>
        </w:rPr>
      </w:pPr>
      <w:r>
        <w:rPr>
          <w:rFonts w:ascii="Times New Roman" w:cs="Times New Roman" w:eastAsia="Times New Roman" w:hAnsi="Times New Roman"/>
          <w:sz w:val="18"/>
          <w:szCs w:val="18"/>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(Do not check if a smaller reporting company)</w:t>
      </w:r>
      <w:r>
        <w:rPr>
          <w:sz w:val="20"/>
          <w:szCs w:val="20"/>
          <w:color w:val="auto"/>
        </w:rPr>
        <w:tab/>
      </w:r>
      <w:r>
        <w:rPr>
          <w:rFonts w:ascii="Times New Roman" w:cs="Times New Roman" w:eastAsia="Times New Roman" w:hAnsi="Times New Roman"/>
          <w:sz w:val="17"/>
          <w:szCs w:val="17"/>
          <w:color w:val="auto"/>
        </w:rPr>
        <w:t>Smaller reporting company</w:t>
      </w:r>
    </w:p>
    <w:p>
      <w:pPr>
        <w:spacing w:after="0" w:line="29" w:lineRule="exact"/>
        <w:rPr>
          <w:sz w:val="24"/>
          <w:szCs w:val="24"/>
          <w:color w:val="auto"/>
        </w:rPr>
      </w:pPr>
    </w:p>
    <w:p>
      <w:pPr>
        <w:ind w:left="822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7" w:lineRule="exact"/>
        <w:rPr>
          <w:sz w:val="24"/>
          <w:szCs w:val="24"/>
          <w:color w:val="auto"/>
        </w:rPr>
      </w:pPr>
    </w:p>
    <w:p>
      <w:pPr>
        <w:ind w:left="40"/>
        <w:spacing w:after="0" w:line="234"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Securities Act.</w:t>
      </w:r>
    </w:p>
    <w:p>
      <w:pPr>
        <w:spacing w:after="0" w:line="50"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highlight w:val="black"/>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636" w:lineRule="exact"/>
        <w:rPr>
          <w:sz w:val="24"/>
          <w:szCs w:val="24"/>
          <w:color w:val="auto"/>
        </w:rPr>
      </w:pPr>
    </w:p>
    <w:p>
      <w:pPr>
        <w:sectPr>
          <w:pgSz w:w="11900" w:h="16838" w:orient="portrait"/>
          <w:cols w:equalWidth="0" w:num="2">
            <w:col w:w="10740" w:space="140"/>
            <w:col w:w="360"/>
          </w:cols>
          <w:pgMar w:left="320" w:top="781" w:right="339" w:bottom="1440" w:gutter="0" w:footer="0" w:header="0"/>
          <w:type w:val="continuous"/>
        </w:sect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16"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as of August 31, 2024 was 47,252,070.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459105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128905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94615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78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9880" w:type="dxa"/>
            <w:vAlign w:val="bottom"/>
            <w:gridSpan w:val="9"/>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QUANEX BUILDING PRODUCTS CORPORATION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300" w:type="dxa"/>
            <w:vAlign w:val="bottom"/>
            <w:gridSpan w:val="8"/>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88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Statements (Unaudited)</w:t>
            </w: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160" w:type="dxa"/>
            <w:vAlign w:val="bottom"/>
            <w:vMerge w:val="continue"/>
          </w:tcPr>
          <w:p>
            <w:pPr>
              <w:spacing w:after="0"/>
              <w:rPr>
                <w:sz w:val="24"/>
                <w:szCs w:val="24"/>
                <w:color w:val="auto"/>
              </w:rPr>
            </w:pPr>
          </w:p>
        </w:tc>
        <w:tc>
          <w:tcPr>
            <w:tcW w:w="9880" w:type="dxa"/>
            <w:vAlign w:val="bottom"/>
            <w:gridSpan w:val="9"/>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5700" w:type="dxa"/>
            <w:vAlign w:val="bottom"/>
            <w:gridSpan w:val="4"/>
          </w:tcPr>
          <w:p>
            <w:pPr>
              <w:spacing w:after="0"/>
              <w:rPr>
                <w:sz w:val="20"/>
                <w:szCs w:val="20"/>
                <w:color w:val="auto"/>
              </w:rPr>
            </w:pPr>
            <w:r>
              <w:rPr>
                <w:rFonts w:ascii="Times New Roman" w:cs="Times New Roman" w:eastAsia="Times New Roman" w:hAnsi="Times New Roman"/>
                <w:sz w:val="18"/>
                <w:szCs w:val="18"/>
                <w:color w:val="0E32E1"/>
                <w:w w:val="99"/>
              </w:rPr>
              <w:t>Condensed Consolidated Balance Sheets – July 31, 2024 and October 31, 2023</w:t>
            </w:r>
          </w:p>
        </w:tc>
        <w:tc>
          <w:tcPr>
            <w:tcW w:w="4180" w:type="dxa"/>
            <w:vAlign w:val="bottom"/>
            <w:gridSpan w:val="5"/>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E32E1"/>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20" w:type="dxa"/>
            <w:vAlign w:val="bottom"/>
            <w:gridSpan w:val="2"/>
            <w:shd w:val="clear" w:color="auto" w:fill="0E32E1"/>
          </w:tcPr>
          <w:p>
            <w:pPr>
              <w:spacing w:after="0" w:line="20" w:lineRule="exact"/>
              <w:rPr>
                <w:sz w:val="1"/>
                <w:szCs w:val="1"/>
                <w:color w:val="auto"/>
              </w:rPr>
            </w:pPr>
          </w:p>
        </w:tc>
        <w:tc>
          <w:tcPr>
            <w:tcW w:w="160" w:type="dxa"/>
            <w:vAlign w:val="bottom"/>
            <w:tcBorders>
              <w:right w:val="single" w:sz="8" w:color="0E32E1"/>
            </w:tcBorders>
            <w:shd w:val="clear" w:color="auto" w:fill="0E32E1"/>
          </w:tcPr>
          <w:p>
            <w:pPr>
              <w:spacing w:after="0" w:line="20" w:lineRule="exact"/>
              <w:rPr>
                <w:sz w:val="1"/>
                <w:szCs w:val="1"/>
                <w:color w:val="auto"/>
              </w:rPr>
            </w:pPr>
          </w:p>
        </w:tc>
        <w:tc>
          <w:tcPr>
            <w:tcW w:w="920" w:type="dxa"/>
            <w:vAlign w:val="bottom"/>
            <w:shd w:val="clear" w:color="auto" w:fill="0E32E1"/>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Borders>
              <w:right w:val="single" w:sz="8" w:color="0E32E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75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 Three and Nine Months Ended July 31, 2024 and 2023</w:t>
            </w:r>
          </w:p>
        </w:tc>
        <w:tc>
          <w:tcPr>
            <w:tcW w:w="2340" w:type="dxa"/>
            <w:vAlign w:val="bottom"/>
            <w:gridSpan w:val="3"/>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 xml:space="preserve">Condensed Consolidated Statements of Comprehensive Income </w:t>
            </w:r>
            <w:r>
              <w:rPr>
                <w:rFonts w:ascii="Times New Roman" w:cs="Times New Roman" w:eastAsia="Times New Roman" w:hAnsi="Times New Roman"/>
                <w:sz w:val="18"/>
                <w:szCs w:val="18"/>
                <w:color w:val="0E32E1"/>
              </w:rPr>
              <w:t>–</w:t>
            </w:r>
            <w:r>
              <w:rPr>
                <w:rFonts w:ascii="Times New Roman" w:cs="Times New Roman" w:eastAsia="Times New Roman" w:hAnsi="Times New Roman"/>
                <w:sz w:val="18"/>
                <w:szCs w:val="18"/>
                <w:color w:val="0000FF"/>
              </w:rPr>
              <w:t xml:space="preserve"> Three and Nine Months Ended July 31, 2024 and 2023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2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E32E1"/>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70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 Nine Months Ended July 31, 2024 and 2023</w:t>
            </w:r>
          </w:p>
        </w:tc>
        <w:tc>
          <w:tcPr>
            <w:tcW w:w="2800" w:type="dxa"/>
            <w:vAlign w:val="bottom"/>
            <w:gridSpan w:val="4"/>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Condensed Consolidated Statement of Stockholders’ Equity – Nine Months Ended July 31, 2024 and 2023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76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2200" w:type="dxa"/>
            <w:vAlign w:val="bottom"/>
            <w:gridSpan w:val="2"/>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80" w:type="dxa"/>
            <w:vAlign w:val="bottom"/>
            <w:tcBorders>
              <w:right w:val="single" w:sz="8" w:color="0000FF"/>
            </w:tcBorders>
            <w:gridSpan w:val="3"/>
            <w:shd w:val="clear" w:color="auto" w:fill="0000FF"/>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 Results of Operations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II.</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Item 1A:</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Risk Factors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2"/>
        </w:trPr>
        <w:tc>
          <w:tcPr>
            <w:tcW w:w="11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300" w:type="dxa"/>
            <w:vAlign w:val="bottom"/>
          </w:tcPr>
          <w:p>
            <w:pPr>
              <w:spacing w:after="0"/>
              <w:rPr>
                <w:sz w:val="13"/>
                <w:szCs w:val="13"/>
                <w:color w:val="auto"/>
              </w:rPr>
            </w:pPr>
          </w:p>
        </w:tc>
        <w:tc>
          <w:tcPr>
            <w:tcW w:w="114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96"/>
        </w:trPr>
        <w:tc>
          <w:tcPr>
            <w:tcW w:w="2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35"/>
        </w:trPr>
        <w:tc>
          <w:tcPr>
            <w:tcW w:w="2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20" w:type="dxa"/>
            <w:vAlign w:val="bottom"/>
            <w:gridSpan w:val="4"/>
          </w:tcPr>
          <w:p>
            <w:pPr>
              <w:jc w:val="right"/>
              <w:ind w:right="591"/>
              <w:spacing w:after="0" w:line="135" w:lineRule="exact"/>
              <w:rPr>
                <w:sz w:val="20"/>
                <w:szCs w:val="20"/>
                <w:color w:val="auto"/>
              </w:rPr>
            </w:pPr>
            <w:r>
              <w:rPr>
                <w:rFonts w:ascii="Times New Roman" w:cs="Times New Roman" w:eastAsia="Times New Roman" w:hAnsi="Times New Roman"/>
                <w:sz w:val="14"/>
                <w:szCs w:val="14"/>
                <w:b w:val="1"/>
                <w:bCs w:val="1"/>
                <w:color w:val="auto"/>
              </w:rPr>
              <w:t>(In thousands, except share</w:t>
            </w:r>
          </w:p>
        </w:tc>
      </w:tr>
      <w:tr>
        <w:trPr>
          <w:trHeight w:val="196"/>
        </w:trPr>
        <w:tc>
          <w:tcPr>
            <w:tcW w:w="2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140" w:type="dxa"/>
            <w:vAlign w:val="bottom"/>
          </w:tcPr>
          <w:p>
            <w:pPr>
              <w:spacing w:after="0"/>
              <w:rPr>
                <w:sz w:val="17"/>
                <w:szCs w:val="17"/>
                <w:color w:val="auto"/>
              </w:rPr>
            </w:pPr>
          </w:p>
        </w:tc>
      </w:tr>
      <w:tr>
        <w:trPr>
          <w:trHeight w:val="236"/>
        </w:trPr>
        <w:tc>
          <w:tcPr>
            <w:tcW w:w="2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60" w:type="dxa"/>
            <w:vAlign w:val="bottom"/>
            <w:gridSpan w:val="6"/>
            <w:shd w:val="clear" w:color="auto" w:fill="CCEEFF"/>
          </w:tcPr>
          <w:p>
            <w:pPr>
              <w:jc w:val="center"/>
              <w:ind w:right="305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822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220" w:type="dxa"/>
            <w:vAlign w:val="bottom"/>
            <w:gridSpan w:val="10"/>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93,966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58,474</w:t>
            </w:r>
          </w:p>
        </w:tc>
      </w:tr>
      <w:tr>
        <w:trPr>
          <w:trHeight w:val="230"/>
        </w:trPr>
        <w:tc>
          <w:tcPr>
            <w:tcW w:w="8220" w:type="dxa"/>
            <w:vAlign w:val="bottom"/>
            <w:gridSpan w:val="10"/>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$183 and $843</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87,554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97,311</w:t>
            </w:r>
          </w:p>
        </w:tc>
      </w:tr>
      <w:tr>
        <w:trPr>
          <w:trHeight w:val="229"/>
        </w:trPr>
        <w:tc>
          <w:tcPr>
            <w:tcW w:w="8220" w:type="dxa"/>
            <w:vAlign w:val="bottom"/>
            <w:gridSpan w:val="10"/>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99,127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97,959</w:t>
            </w:r>
          </w:p>
        </w:tc>
      </w:tr>
      <w:tr>
        <w:trPr>
          <w:trHeight w:val="229"/>
        </w:trPr>
        <w:tc>
          <w:tcPr>
            <w:tcW w:w="8220" w:type="dxa"/>
            <w:vAlign w:val="bottom"/>
            <w:gridSpan w:val="10"/>
          </w:tcPr>
          <w:p>
            <w:pPr>
              <w:ind w:left="360"/>
              <w:spacing w:after="0"/>
              <w:rPr>
                <w:sz w:val="20"/>
                <w:szCs w:val="20"/>
                <w:color w:val="auto"/>
              </w:rPr>
            </w:pPr>
            <w:r>
              <w:rPr>
                <w:rFonts w:ascii="Times New Roman" w:cs="Times New Roman" w:eastAsia="Times New Roman" w:hAnsi="Times New Roman"/>
                <w:sz w:val="18"/>
                <w:szCs w:val="18"/>
                <w:color w:val="auto"/>
              </w:rPr>
              <w:t>Income taxes receivable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8,298</w:t>
            </w:r>
          </w:p>
        </w:tc>
      </w:tr>
      <w:tr>
        <w:trPr>
          <w:trHeight w:val="230"/>
        </w:trPr>
        <w:tc>
          <w:tcPr>
            <w:tcW w:w="8220" w:type="dxa"/>
            <w:vAlign w:val="bottom"/>
            <w:gridSpan w:val="10"/>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19,305</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11,558</w:t>
            </w:r>
          </w:p>
        </w:tc>
      </w:tr>
      <w:tr>
        <w:trPr>
          <w:trHeight w:val="223"/>
        </w:trPr>
        <w:tc>
          <w:tcPr>
            <w:tcW w:w="8220" w:type="dxa"/>
            <w:vAlign w:val="bottom"/>
            <w:gridSpan w:val="10"/>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301,399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273,600</w:t>
            </w:r>
          </w:p>
        </w:tc>
      </w:tr>
      <w:tr>
        <w:trPr>
          <w:trHeight w:val="230"/>
        </w:trPr>
        <w:tc>
          <w:tcPr>
            <w:tcW w:w="48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shd w:val="clear" w:color="auto" w:fill="CCEEFF"/>
              </w:rPr>
              <w:t>$384,809</w:t>
            </w:r>
          </w:p>
        </w:tc>
        <w:tc>
          <w:tcPr>
            <w:tcW w:w="27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and $368,763</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251,890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250,664</w:t>
            </w:r>
          </w:p>
        </w:tc>
      </w:tr>
      <w:tr>
        <w:trPr>
          <w:trHeight w:val="229"/>
        </w:trPr>
        <w:tc>
          <w:tcPr>
            <w:tcW w:w="822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63,642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46,620</w:t>
            </w:r>
          </w:p>
        </w:tc>
      </w:tr>
      <w:tr>
        <w:trPr>
          <w:trHeight w:val="230"/>
        </w:trPr>
        <w:tc>
          <w:tcPr>
            <w:tcW w:w="822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186,195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182,956</w:t>
            </w:r>
          </w:p>
        </w:tc>
      </w:tr>
      <w:tr>
        <w:trPr>
          <w:trHeight w:val="229"/>
        </w:trPr>
        <w:tc>
          <w:tcPr>
            <w:tcW w:w="822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66,606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74,115</w:t>
            </w:r>
          </w:p>
        </w:tc>
      </w:tr>
      <w:tr>
        <w:trPr>
          <w:trHeight w:val="229"/>
        </w:trPr>
        <w:tc>
          <w:tcPr>
            <w:tcW w:w="822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w:t>
            </w:r>
          </w:p>
        </w:tc>
      </w:tr>
      <w:tr>
        <w:trPr>
          <w:trHeight w:val="223"/>
        </w:trPr>
        <w:tc>
          <w:tcPr>
            <w:tcW w:w="8220" w:type="dxa"/>
            <w:vAlign w:val="bottom"/>
            <w:gridSpan w:val="10"/>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872,450</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831,143</w:t>
            </w:r>
          </w:p>
        </w:tc>
      </w:tr>
      <w:tr>
        <w:trPr>
          <w:trHeight w:val="20"/>
        </w:trPr>
        <w:tc>
          <w:tcPr>
            <w:tcW w:w="2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8220" w:type="dxa"/>
            <w:vAlign w:val="bottom"/>
            <w:gridSpan w:val="10"/>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29"/>
        </w:trPr>
        <w:tc>
          <w:tcPr>
            <w:tcW w:w="822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220" w:type="dxa"/>
            <w:vAlign w:val="bottom"/>
            <w:gridSpan w:val="10"/>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74,371</w:t>
            </w:r>
          </w:p>
        </w:tc>
      </w:tr>
      <w:tr>
        <w:trPr>
          <w:trHeight w:val="230"/>
        </w:trPr>
        <w:tc>
          <w:tcPr>
            <w:tcW w:w="8220" w:type="dxa"/>
            <w:vAlign w:val="bottom"/>
            <w:gridSpan w:val="10"/>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54,796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50,319</w:t>
            </w:r>
          </w:p>
        </w:tc>
      </w:tr>
      <w:tr>
        <w:trPr>
          <w:trHeight w:val="229"/>
        </w:trPr>
        <w:tc>
          <w:tcPr>
            <w:tcW w:w="8220" w:type="dxa"/>
            <w:vAlign w:val="bottom"/>
            <w:gridSpan w:val="10"/>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30"/>
        </w:trPr>
        <w:tc>
          <w:tcPr>
            <w:tcW w:w="8220" w:type="dxa"/>
            <w:vAlign w:val="bottom"/>
            <w:gridSpan w:val="10"/>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r>
      <w:tr>
        <w:trPr>
          <w:trHeight w:val="230"/>
        </w:trPr>
        <w:tc>
          <w:tcPr>
            <w:tcW w:w="8220" w:type="dxa"/>
            <w:vAlign w:val="bottom"/>
            <w:gridSpan w:val="10"/>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6,435</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w:t>
            </w:r>
          </w:p>
        </w:tc>
      </w:tr>
      <w:tr>
        <w:trPr>
          <w:trHeight w:val="223"/>
        </w:trPr>
        <w:tc>
          <w:tcPr>
            <w:tcW w:w="8220" w:type="dxa"/>
            <w:vAlign w:val="bottom"/>
            <w:gridSpan w:val="10"/>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127,869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134,663</w:t>
            </w:r>
          </w:p>
        </w:tc>
      </w:tr>
      <w:tr>
        <w:trPr>
          <w:trHeight w:val="230"/>
        </w:trPr>
        <w:tc>
          <w:tcPr>
            <w:tcW w:w="822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66,435</w:t>
            </w:r>
          </w:p>
        </w:tc>
      </w:tr>
      <w:tr>
        <w:trPr>
          <w:trHeight w:val="230"/>
        </w:trPr>
        <w:tc>
          <w:tcPr>
            <w:tcW w:w="822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59,099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40,361</w:t>
            </w:r>
          </w:p>
        </w:tc>
      </w:tr>
      <w:tr>
        <w:trPr>
          <w:trHeight w:val="229"/>
        </w:trPr>
        <w:tc>
          <w:tcPr>
            <w:tcW w:w="822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29,133</w:t>
            </w:r>
          </w:p>
        </w:tc>
      </w:tr>
      <w:tr>
        <w:trPr>
          <w:trHeight w:val="230"/>
        </w:trPr>
        <w:tc>
          <w:tcPr>
            <w:tcW w:w="8220" w:type="dxa"/>
            <w:vAlign w:val="bottom"/>
            <w:tcBorders>
              <w:bottom w:val="single" w:sz="8" w:color="CCEEFF"/>
            </w:tcBorders>
            <w:gridSpan w:val="10"/>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12,502</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14,997</w:t>
            </w:r>
          </w:p>
        </w:tc>
      </w:tr>
      <w:tr>
        <w:trPr>
          <w:trHeight w:val="223"/>
        </w:trPr>
        <w:tc>
          <w:tcPr>
            <w:tcW w:w="8220" w:type="dxa"/>
            <w:vAlign w:val="bottom"/>
            <w:gridSpan w:val="10"/>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278,314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285,589</w:t>
            </w:r>
          </w:p>
        </w:tc>
      </w:tr>
      <w:tr>
        <w:trPr>
          <w:trHeight w:val="230"/>
        </w:trPr>
        <w:tc>
          <w:tcPr>
            <w:tcW w:w="822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22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220" w:type="dxa"/>
            <w:vAlign w:val="bottom"/>
            <w:gridSpan w:val="10"/>
          </w:tcPr>
          <w:p>
            <w:pPr>
              <w:ind w:left="360"/>
              <w:spacing w:after="0"/>
              <w:rPr>
                <w:sz w:val="20"/>
                <w:szCs w:val="20"/>
                <w:color w:val="auto"/>
              </w:rPr>
            </w:pPr>
            <w:r>
              <w:rPr>
                <w:rFonts w:ascii="Times New Roman" w:cs="Times New Roman" w:eastAsia="Times New Roman" w:hAnsi="Times New Roman"/>
                <w:sz w:val="18"/>
                <w:szCs w:val="18"/>
                <w:color w:val="auto"/>
              </w:rPr>
              <w:t>Preferred stock, no par value, shares authorized 1,000,000; issued and outstanding - none</w:t>
            </w:r>
          </w:p>
        </w:tc>
        <w:tc>
          <w:tcPr>
            <w:tcW w:w="3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9"/>
        </w:trPr>
        <w:tc>
          <w:tcPr>
            <w:tcW w:w="5400" w:type="dxa"/>
            <w:vAlign w:val="bottom"/>
            <w:gridSpan w:val="6"/>
            <w:shd w:val="clear" w:color="auto" w:fill="CCEEFF"/>
          </w:tcPr>
          <w:p>
            <w:pPr>
              <w:ind w:left="360"/>
              <w:spacing w:after="0" w:line="189" w:lineRule="exact"/>
              <w:rPr>
                <w:sz w:val="20"/>
                <w:szCs w:val="20"/>
                <w:color w:val="auto"/>
              </w:rPr>
            </w:pPr>
            <w:r>
              <w:rPr>
                <w:rFonts w:ascii="Times New Roman" w:cs="Times New Roman" w:eastAsia="Times New Roman" w:hAnsi="Times New Roman"/>
                <w:sz w:val="18"/>
                <w:szCs w:val="18"/>
                <w:color w:val="auto"/>
                <w:w w:val="97"/>
              </w:rPr>
              <w:t>Common stock, $0.01 par value, shares authorized 125,000,000; issued</w:t>
            </w:r>
          </w:p>
        </w:tc>
        <w:tc>
          <w:tcPr>
            <w:tcW w:w="98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shd w:val="clear" w:color="auto" w:fill="CCEEFF"/>
              </w:rPr>
              <w:t>37,127,024</w:t>
            </w:r>
          </w:p>
        </w:tc>
        <w:tc>
          <w:tcPr>
            <w:tcW w:w="3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and</w:t>
            </w:r>
          </w:p>
        </w:tc>
        <w:tc>
          <w:tcPr>
            <w:tcW w:w="1520" w:type="dxa"/>
            <w:vAlign w:val="bottom"/>
            <w:shd w:val="clear" w:color="auto" w:fill="CCEEFF"/>
          </w:tcPr>
          <w:p>
            <w:pPr>
              <w:jc w:val="right"/>
              <w:ind w:right="630"/>
              <w:spacing w:after="0" w:line="189" w:lineRule="exact"/>
              <w:rPr>
                <w:sz w:val="20"/>
                <w:szCs w:val="20"/>
                <w:color w:val="auto"/>
              </w:rPr>
            </w:pPr>
            <w:r>
              <w:rPr>
                <w:rFonts w:ascii="Times New Roman" w:cs="Times New Roman" w:eastAsia="Times New Roman" w:hAnsi="Times New Roman"/>
                <w:sz w:val="18"/>
                <w:szCs w:val="18"/>
                <w:color w:val="auto"/>
                <w:w w:val="91"/>
                <w:shd w:val="clear" w:color="auto" w:fill="CCEEFF"/>
              </w:rPr>
              <w:t>37,176,958,</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10"/>
        </w:trPr>
        <w:tc>
          <w:tcPr>
            <w:tcW w:w="2200" w:type="dxa"/>
            <w:vAlign w:val="bottom"/>
            <w:tcBorders>
              <w:bottom w:val="single" w:sz="8" w:color="CCEEFF"/>
            </w:tcBorders>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respectively; outstanding</w:t>
            </w:r>
          </w:p>
        </w:tc>
        <w:tc>
          <w:tcPr>
            <w:tcW w:w="80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6"/>
                <w:shd w:val="clear" w:color="auto" w:fill="CCEEFF"/>
              </w:rPr>
              <w:t>33,112,593</w:t>
            </w:r>
          </w:p>
        </w:tc>
        <w:tc>
          <w:tcPr>
            <w:tcW w:w="2400" w:type="dxa"/>
            <w:vAlign w:val="bottom"/>
            <w:tcBorders>
              <w:bottom w:val="single" w:sz="8" w:color="CCEEFF"/>
            </w:tcBorders>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and 33,011,119, respectively</w:t>
            </w:r>
          </w:p>
        </w:tc>
        <w:tc>
          <w:tcPr>
            <w:tcW w:w="980" w:type="dxa"/>
            <w:vAlign w:val="bottom"/>
            <w:tcBorders>
              <w:bottom w:val="single" w:sz="8" w:color="CCEEFF"/>
            </w:tcBorders>
            <w:gridSpan w:val="2"/>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371</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372</w:t>
            </w:r>
          </w:p>
        </w:tc>
      </w:tr>
      <w:tr>
        <w:trPr>
          <w:trHeight w:val="230"/>
        </w:trPr>
        <w:tc>
          <w:tcPr>
            <w:tcW w:w="8220" w:type="dxa"/>
            <w:vAlign w:val="bottom"/>
            <w:gridSpan w:val="10"/>
          </w:tcPr>
          <w:p>
            <w:pPr>
              <w:ind w:left="3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250,297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251,576</w:t>
            </w:r>
          </w:p>
        </w:tc>
      </w:tr>
      <w:tr>
        <w:trPr>
          <w:trHeight w:val="229"/>
        </w:trPr>
        <w:tc>
          <w:tcPr>
            <w:tcW w:w="8220" w:type="dxa"/>
            <w:vAlign w:val="bottom"/>
            <w:gridSpan w:val="10"/>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448,351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409,318</w:t>
            </w:r>
          </w:p>
        </w:tc>
      </w:tr>
      <w:tr>
        <w:trPr>
          <w:trHeight w:val="230"/>
        </w:trPr>
        <w:tc>
          <w:tcPr>
            <w:tcW w:w="8220" w:type="dxa"/>
            <w:vAlign w:val="bottom"/>
            <w:gridSpan w:val="10"/>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(38,141)</w:t>
            </w:r>
          </w:p>
        </w:tc>
      </w:tr>
      <w:tr>
        <w:trPr>
          <w:trHeight w:val="230"/>
        </w:trPr>
        <w:tc>
          <w:tcPr>
            <w:tcW w:w="2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Treasury stock at cost,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shd w:val="clear" w:color="auto" w:fill="CCEEFF"/>
              </w:rPr>
              <w:t>4,014,431</w:t>
            </w:r>
          </w:p>
        </w:tc>
        <w:tc>
          <w:tcPr>
            <w:tcW w:w="5060" w:type="dxa"/>
            <w:vAlign w:val="bottom"/>
            <w:gridSpan w:val="6"/>
            <w:shd w:val="clear" w:color="auto" w:fill="CCEEFF"/>
          </w:tcPr>
          <w:p>
            <w:pPr>
              <w:jc w:val="right"/>
              <w:ind w:right="2450"/>
              <w:spacing w:after="0"/>
              <w:rPr>
                <w:sz w:val="20"/>
                <w:szCs w:val="20"/>
                <w:color w:val="auto"/>
              </w:rPr>
            </w:pPr>
            <w:r>
              <w:rPr>
                <w:rFonts w:ascii="Times New Roman" w:cs="Times New Roman" w:eastAsia="Times New Roman" w:hAnsi="Times New Roman"/>
                <w:sz w:val="18"/>
                <w:szCs w:val="18"/>
                <w:color w:val="auto"/>
              </w:rPr>
              <w:t>and 4,165,839 shares, respectively</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(74,752)</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(77,571)</w:t>
            </w:r>
          </w:p>
        </w:tc>
      </w:tr>
      <w:tr>
        <w:trPr>
          <w:trHeight w:val="223"/>
        </w:trPr>
        <w:tc>
          <w:tcPr>
            <w:tcW w:w="8220" w:type="dxa"/>
            <w:vAlign w:val="bottom"/>
            <w:tcBorders>
              <w:bottom w:val="single" w:sz="8" w:color="CCEEFF"/>
            </w:tcBorders>
            <w:gridSpan w:val="10"/>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594,136</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545,554</w:t>
            </w:r>
          </w:p>
        </w:tc>
      </w:tr>
      <w:tr>
        <w:trPr>
          <w:trHeight w:val="248"/>
        </w:trPr>
        <w:tc>
          <w:tcPr>
            <w:tcW w:w="8220" w:type="dxa"/>
            <w:vAlign w:val="bottom"/>
            <w:tcBorders>
              <w:bottom w:val="single" w:sz="8" w:color="CCEEFF"/>
            </w:tcBorders>
            <w:gridSpan w:val="10"/>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872,450</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831,143</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6"/>
                <w:szCs w:val="16"/>
                <w:color w:val="auto"/>
              </w:rPr>
            </w:pPr>
          </w:p>
        </w:tc>
      </w:tr>
      <w:tr>
        <w:trPr>
          <w:trHeight w:val="203"/>
        </w:trPr>
        <w:tc>
          <w:tcPr>
            <w:tcW w:w="5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860" w:type="dxa"/>
            <w:vAlign w:val="bottom"/>
          </w:tcPr>
          <w:p>
            <w:pPr>
              <w:spacing w:after="0"/>
              <w:rPr>
                <w:sz w:val="17"/>
                <w:szCs w:val="17"/>
                <w:color w:val="auto"/>
              </w:rPr>
            </w:pPr>
          </w:p>
        </w:tc>
      </w:tr>
      <w:tr>
        <w:trPr>
          <w:trHeight w:val="23"/>
        </w:trPr>
        <w:tc>
          <w:tcPr>
            <w:tcW w:w="5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5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6"/>
        </w:trPr>
        <w:tc>
          <w:tcPr>
            <w:tcW w:w="5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280,345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299,640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785,701</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835,091</w:t>
            </w: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and expenses: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209,441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597,127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637,586</w:t>
            </w:r>
          </w:p>
        </w:tc>
      </w:tr>
      <w:tr>
        <w:trPr>
          <w:trHeight w:val="230"/>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103,579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94,631</w:t>
            </w:r>
          </w:p>
        </w:tc>
      </w:tr>
      <w:tr>
        <w:trPr>
          <w:trHeight w:val="22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31,672</w:t>
            </w: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71,202</w:t>
            </w: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(6,571)</w:t>
            </w:r>
          </w:p>
        </w:tc>
      </w:tr>
      <w:tr>
        <w:trPr>
          <w:trHeight w:val="22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65,222</w:t>
            </w: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(10,103)</w:t>
            </w: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25,350</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31,698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46,976</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55,119</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5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70"/>
        </w:trPr>
        <w:tc>
          <w:tcPr>
            <w:tcW w:w="52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70"/>
        </w:trPr>
        <w:tc>
          <w:tcPr>
            <w:tcW w:w="52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2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32,841</w:t>
            </w:r>
          </w:p>
        </w:tc>
      </w:tr>
      <w:tr>
        <w:trPr>
          <w:trHeight w:val="229"/>
        </w:trPr>
        <w:tc>
          <w:tcPr>
            <w:tcW w:w="52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33,031</w:t>
            </w:r>
          </w:p>
        </w:tc>
      </w:tr>
      <w:tr>
        <w:trPr>
          <w:trHeight w:val="270"/>
        </w:trPr>
        <w:tc>
          <w:tcPr>
            <w:tcW w:w="52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34"/>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dividends per share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r>
    </w:tbl>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left="360" w:right="2280"/>
        <w:spacing w:after="0" w:line="278" w:lineRule="auto"/>
        <w:rPr>
          <w:sz w:val="20"/>
          <w:szCs w:val="20"/>
          <w:color w:val="auto"/>
        </w:rPr>
      </w:pPr>
      <w:r>
        <w:rPr>
          <w:rFonts w:ascii="Times New Roman" w:cs="Times New Roman" w:eastAsia="Times New Roman" w:hAnsi="Times New Roman"/>
          <w:sz w:val="18"/>
          <w:szCs w:val="18"/>
          <w:b w:val="1"/>
          <w:bCs w:val="1"/>
          <w:color w:val="auto"/>
        </w:rPr>
        <w:t>QUANEX BUILDING PRODUCTS CORPORATION CONDENSED CONSOLIDATED STATEMENTS OF COMPREHENSIVE INCOME (Unaudited)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360" w:type="dxa"/>
            <w:vAlign w:val="bottom"/>
            <w:gridSpan w:val="4"/>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6"/>
                <w:szCs w:val="16"/>
                <w:color w:val="auto"/>
              </w:rPr>
            </w:pPr>
          </w:p>
        </w:tc>
      </w:tr>
      <w:tr>
        <w:trPr>
          <w:trHeight w:val="203"/>
        </w:trPr>
        <w:tc>
          <w:tcPr>
            <w:tcW w:w="5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20" w:type="dxa"/>
            <w:vAlign w:val="bottom"/>
            <w:gridSpan w:val="3"/>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0" w:type="dxa"/>
            <w:vAlign w:val="bottom"/>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860" w:type="dxa"/>
            <w:vAlign w:val="bottom"/>
          </w:tcPr>
          <w:p>
            <w:pPr>
              <w:spacing w:after="0"/>
              <w:rPr>
                <w:sz w:val="17"/>
                <w:szCs w:val="17"/>
                <w:color w:val="auto"/>
              </w:rPr>
            </w:pPr>
          </w:p>
        </w:tc>
      </w:tr>
      <w:tr>
        <w:trPr>
          <w:trHeight w:val="23"/>
        </w:trPr>
        <w:tc>
          <w:tcPr>
            <w:tcW w:w="5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52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6"/>
        </w:trPr>
        <w:tc>
          <w:tcPr>
            <w:tcW w:w="5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25,350</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31,698</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46,976</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55,119</w:t>
            </w: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comprehensive income:</w:t>
            </w: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gain, net of tax</w:t>
            </w: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17,532</w:t>
            </w:r>
          </w:p>
        </w:tc>
      </w:tr>
      <w:tr>
        <w:trPr>
          <w:trHeight w:val="223"/>
        </w:trPr>
        <w:tc>
          <w:tcPr>
            <w:tcW w:w="5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17,532</w:t>
            </w: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840" w:type="dxa"/>
            <w:vAlign w:val="bottom"/>
            <w:tcBorders>
              <w:bottom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29,850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34,776</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72,651</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20" w:type="dxa"/>
            <w:vAlign w:val="bottom"/>
          </w:tcPr>
          <w:p>
            <w:pPr>
              <w:spacing w:after="0"/>
              <w:rPr>
                <w:sz w:val="16"/>
                <w:szCs w:val="16"/>
                <w:color w:val="auto"/>
              </w:rPr>
            </w:pPr>
          </w:p>
        </w:tc>
      </w:tr>
      <w:tr>
        <w:trPr>
          <w:trHeight w:val="203"/>
        </w:trPr>
        <w:tc>
          <w:tcPr>
            <w:tcW w:w="7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120" w:type="dxa"/>
            <w:vAlign w:val="bottom"/>
          </w:tcPr>
          <w:p>
            <w:pPr>
              <w:spacing w:after="0"/>
              <w:rPr>
                <w:sz w:val="17"/>
                <w:szCs w:val="17"/>
                <w:color w:val="auto"/>
              </w:rPr>
            </w:pPr>
          </w:p>
        </w:tc>
      </w:tr>
      <w:tr>
        <w:trPr>
          <w:trHeight w:val="23"/>
        </w:trPr>
        <w:tc>
          <w:tcPr>
            <w:tcW w:w="76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760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7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7"/>
                <w:szCs w:val="17"/>
                <w:color w:val="auto"/>
              </w:rPr>
            </w:pPr>
          </w:p>
        </w:tc>
      </w:tr>
      <w:tr>
        <w:trPr>
          <w:trHeight w:val="23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46,976</w:t>
            </w:r>
          </w:p>
        </w:tc>
        <w:tc>
          <w:tcPr>
            <w:tcW w:w="12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55,119</w:t>
            </w:r>
          </w:p>
        </w:tc>
      </w:tr>
      <w:tr>
        <w:trPr>
          <w:trHeight w:val="23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cash provided by operating activities: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7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32,999</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31,672</w:t>
            </w:r>
          </w:p>
        </w:tc>
      </w:tr>
      <w:tr>
        <w:trPr>
          <w:trHeight w:val="230"/>
        </w:trPr>
        <w:tc>
          <w:tcPr>
            <w:tcW w:w="7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r>
      <w:tr>
        <w:trPr>
          <w:trHeight w:val="229"/>
        </w:trPr>
        <w:tc>
          <w:tcPr>
            <w:tcW w:w="7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income tax</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338"/>
        </w:trPr>
        <w:tc>
          <w:tcPr>
            <w:tcW w:w="7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Gain on deal contingent foreign exchange forward currency contract</w:t>
            </w:r>
          </w:p>
        </w:tc>
        <w:tc>
          <w:tcPr>
            <w:tcW w:w="10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net</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r>
      <w:tr>
        <w:trPr>
          <w:trHeight w:val="230"/>
        </w:trPr>
        <w:tc>
          <w:tcPr>
            <w:tcW w:w="7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7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Decrease in accounts receivable</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11,114</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9,918</w:t>
            </w:r>
          </w:p>
        </w:tc>
      </w:tr>
      <w:tr>
        <w:trPr>
          <w:trHeight w:val="229"/>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decrease in inventory</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23,864</w:t>
            </w:r>
          </w:p>
        </w:tc>
      </w:tr>
      <w:tr>
        <w:trPr>
          <w:trHeight w:val="230"/>
        </w:trPr>
        <w:tc>
          <w:tcPr>
            <w:tcW w:w="7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Decrease (increase) in other current assets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29"/>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Decrease in accounts payable</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(9,634)</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(15,471)</w:t>
            </w:r>
          </w:p>
        </w:tc>
      </w:tr>
      <w:tr>
        <w:trPr>
          <w:trHeight w:val="230"/>
        </w:trPr>
        <w:tc>
          <w:tcPr>
            <w:tcW w:w="7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Increase (decrease) in accrued liabilities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(5,152)</w:t>
            </w:r>
          </w:p>
        </w:tc>
      </w:tr>
      <w:tr>
        <w:trPr>
          <w:trHeight w:val="229"/>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Decrease (increase) in income taxes receivable</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6,659</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w:t>
            </w:r>
          </w:p>
        </w:tc>
      </w:tr>
      <w:tr>
        <w:trPr>
          <w:trHeight w:val="229"/>
        </w:trPr>
        <w:tc>
          <w:tcPr>
            <w:tcW w:w="7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Increase in deferred pension benefits</w:t>
            </w:r>
          </w:p>
        </w:tc>
        <w:tc>
          <w:tcPr>
            <w:tcW w:w="10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in other long-term liabilities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29"/>
        </w:trPr>
        <w:tc>
          <w:tcPr>
            <w:tcW w:w="7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net</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83,333</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102,559</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Business acquisition</w:t>
            </w:r>
          </w:p>
        </w:tc>
        <w:tc>
          <w:tcPr>
            <w:tcW w:w="10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(91,302)</w:t>
            </w: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(23,435)</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(22,450)</w:t>
            </w: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disposition of capital assets</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for investing activities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(23,320)</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(113,569)</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Borrowings under credit facilities</w:t>
            </w:r>
          </w:p>
        </w:tc>
        <w:tc>
          <w:tcPr>
            <w:tcW w:w="10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102,000</w:t>
            </w: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Repayments of credit facility borrowings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Repayments of other long-term debt</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w:t>
            </w: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dividends paid</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(7,952)</w:t>
            </w: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Payroll tax paid to settle shares forfeited upon vesting of stock</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0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w:t>
            </w:r>
          </w:p>
        </w:tc>
      </w:tr>
      <w:tr>
        <w:trPr>
          <w:trHeight w:val="223"/>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for) provided by financing activities</w:t>
            </w:r>
          </w:p>
        </w:tc>
        <w:tc>
          <w:tcPr>
            <w:tcW w:w="10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(25,456)</w:t>
            </w:r>
          </w:p>
        </w:tc>
        <w:tc>
          <w:tcPr>
            <w:tcW w:w="1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26,687</w:t>
            </w:r>
          </w:p>
        </w:tc>
      </w:tr>
      <w:tr>
        <w:trPr>
          <w:trHeight w:val="229"/>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35,492</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18,159</w:t>
            </w:r>
          </w:p>
        </w:tc>
      </w:tr>
      <w:tr>
        <w:trPr>
          <w:trHeight w:val="229"/>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58,474</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55,093</w:t>
            </w: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93,966</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73,252</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QUANEX BUILDING PRODUCTS CORPORATION CONDENSED CONSOLIDATED STATEMENTS OF STOCKHOLDERS’ EQUITY (Unaudited)</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Nine Months Ended July 31, 2024</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32"/>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4"/>
                <w:szCs w:val="14"/>
                <w:color w:val="auto"/>
              </w:rPr>
            </w:pPr>
          </w:p>
        </w:tc>
        <w:tc>
          <w:tcPr>
            <w:tcW w:w="98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00" w:type="dxa"/>
            <w:vAlign w:val="bottom"/>
            <w:gridSpan w:val="11"/>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 no per share amounts shown except in verbiage)</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251,576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(77,571)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545,554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dividends ($0.08 per share)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Stock-based compensation activity:</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Expense related to stock-based compensation</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Restricted stock awards granted</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Performance restricted stock units vested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31, 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248,715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412,922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555,029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dividends ($0.08 per share)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Stock-based compensation activity:</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Expense related to stock-based compensation</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April 30, 2024</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249,502</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425,650</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(34,631)</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(74,770)</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566,122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dividends ($0.08 per share)</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Stock-based compensation activity:</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Expense related to stock-based compensation</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31,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250,297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Nine Months Ended July 31, 2023</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4"/>
                <w:szCs w:val="14"/>
                <w:color w:val="auto"/>
              </w:rPr>
            </w:pPr>
          </w:p>
        </w:tc>
        <w:tc>
          <w:tcPr>
            <w:tcW w:w="98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4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00" w:type="dxa"/>
            <w:vAlign w:val="bottom"/>
            <w:gridSpan w:val="11"/>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 no per share amounts shown except in verbiage)</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251,947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337,456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dividends ($0.08 per share)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Stock-based compensation activity:</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Expense related to stock-based compensation</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Restricted stock awards granted</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Performance restricted stock units vested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31,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249,730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336,704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(73,068)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dividends ($0.08 per share)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Stock-based compensation activity:</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Expense related to stock-based compensation</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30,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250,427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355,557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(78,661)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dividends ($0.08 per share)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activity:</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Expense related to stock-based compensation</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July 31, 2023</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250,882</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384,623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(31,890)</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(78,032)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525,955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Basis of Presentation</w:t>
      </w:r>
    </w:p>
    <w:p>
      <w:pPr>
        <w:spacing w:after="0" w:line="17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Quanex Building Products Corporation is a global, publicly traded manufacturing company primarily serving original equipment manufacturers (OEMs) in the fenestration, cabinetry, solar, refrigeration and outdoor products markets.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We also manufacture cabinet doors and other components for OEMs in the kitchen and bathroom cabinet industry. In addition, we provide certain other non-fenestration components and products, which include custom mixing, solar panel sealants, trim moldings, vinyl decking, vinyl fencing, customized compounds, water retention barriers, and conservatory roof components. We have organized our business into three reportable business segments. For additional discussion of our reportable business segments, see Note 13, “Segment Information.” We use low-cost, short lead-time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United Kingdom (U.K.), and also serve customers in international markets through our operating plants in the U.K. and Germany, as well as through sales and marketing efforts in other countries.</w:t>
      </w:r>
    </w:p>
    <w:p>
      <w:pPr>
        <w:spacing w:after="0" w:line="136" w:lineRule="exact"/>
        <w:rPr>
          <w:sz w:val="20"/>
          <w:szCs w:val="20"/>
          <w:color w:val="auto"/>
        </w:rPr>
      </w:pPr>
    </w:p>
    <w:p>
      <w:pPr>
        <w:jc w:val="both"/>
        <w:ind w:right="2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5"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include the accounts of Quanex Building Products Corporation. All intercompany accounts and transactions have been eliminated in consolidation. These financial statements have been prepared by us,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(U.S. GAAP) have been condensed or omitted pursuant to such rules and regulations. The condensed consolidated balance sheet as of October 31, 2023 was derived from audited financial information but does not include all disclosures required by U.S. GAAP. The accompanying financial statements should be read in conjunction with the audited consolidated financial statements and the notes thereto, included in our Annual Report on Form 10-K for the fiscal year ended October 31, 2023. In our opinion, the accompanying financial statements contain all adjustments (which consist of normal recurring adjustments, except as disclosed herein) necessary to fairly present our financial position, results of operations and cash flows for the interim periods. The results of operations for the periods presented are not necessarily indicative of the results to be expected for the full year or for any future periods.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preparing financial statements, we make informed judgments and estimates that affect the reported amounts of assets and liabilities as of the date of the financial statements and affect the reported amounts of revenues and expenses during the reporting period. We review our estimates on an on-going basis, including those related to impairment of long-lived assets and goodwill, contingencies and income taxes. Changes in facts and circumstances may result in revised estimates and actual results may differ from these estimates.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7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recognize revenue that reflects the consideration we expect to receive for product sales upon transfer to customers. Revenue for product sales is recognized when control of the promised products is transferred to our customers, and we are entitled to consideration in exchange for such transfer. We account for a contract when a customer provides us with a firm purchase order that identifies the products to be provided, the payment terms for those products, and when collectability of the consideration due is probable.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73"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 performance obligation is a promise to provide the customer with a good or service. Our performance obligations include product sales, with each product included in a customer contract being recognized as a separate performance obligation.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contracts with multiple performance obligations, the standalone selling price of each product is generally readily observable.</w:t>
      </w:r>
    </w:p>
    <w:p>
      <w:pPr>
        <w:spacing w:after="0" w:line="17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Revenue from product sales is recognized at a point in time when the product is transferred to the customer, in accordance with the shipping terms, which is generally upon shipment. We estimate a provision for sales returns and warranty allowances to account for product returns related to general returns and product nonconformance.</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generally expense incremental costs of obtaining a contract when incurred because the amortization period would be less than one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we do not disclose the value of unsatisfied performance obligations for contracts with an original expected length of one year or less.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Pricing and sales incentives</w:t>
      </w:r>
    </w:p>
    <w:p>
      <w:pPr>
        <w:spacing w:after="0" w:line="173"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Pricing is established at or prior to the time of sale with our customers and we record sales at the agreed-upon net selling price, reflective of current and prospective discounts.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 costs</w:t>
      </w:r>
    </w:p>
    <w:p>
      <w:pPr>
        <w:spacing w:after="0" w:line="17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account for shipping and handling services as fulfillment services; accordingly, freight revenue is combined with the product deliverable rather than being accounted for as a distinct performance obligation within the terms of the agreement. Shipping and handling costs incurred by us for the delivery of goods to customers are considered a cost to fulfill the contract and are included in cost of sales in the accompanying condensed consolidated statements of income.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73"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Deferred revenue, which is not significant, is recorded when we have remaining unsatisfied performance obligations for which we have received consideration.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produce a wide variety of products that are used in the fenestration industry, including window spacer systems; extruded vinyl products; metal fabricated products; and astragals, thresholds and screens. In addition, we produce certain non-fenestration products, including kitchen and bath cabinet doors and components, flooring and trim moldings, solar edge tape, plastic decking, fencing, water retention barriers, conservatory roof components, and other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product sales for the three and nine months ended July 31, 2024 and 2023 into groupings by segment which we believe depicts how the nature, amount, timing and uncertainty of our revenues and cash flows are affected by economic factors. For further details regarding our results by segment, refer to Note 13, “Segment Information.”</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6"/>
                <w:szCs w:val="16"/>
                <w:color w:val="auto"/>
              </w:rPr>
            </w:pPr>
          </w:p>
        </w:tc>
      </w:tr>
      <w:tr>
        <w:trPr>
          <w:trHeight w:val="203"/>
        </w:trPr>
        <w:tc>
          <w:tcPr>
            <w:tcW w:w="5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0" w:type="dxa"/>
            <w:vAlign w:val="bottom"/>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860" w:type="dxa"/>
            <w:vAlign w:val="bottom"/>
          </w:tcPr>
          <w:p>
            <w:pPr>
              <w:spacing w:after="0"/>
              <w:rPr>
                <w:sz w:val="17"/>
                <w:szCs w:val="17"/>
                <w:color w:val="auto"/>
              </w:rPr>
            </w:pPr>
          </w:p>
        </w:tc>
      </w:tr>
      <w:tr>
        <w:trPr>
          <w:trHeight w:val="23"/>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6"/>
        </w:trPr>
        <w:tc>
          <w:tcPr>
            <w:tcW w:w="5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North American Fenestration:</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 fenestration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131,394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138,090</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362,674</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379,613</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 fenestration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22,019</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 non-fenestration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81,196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73,823</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 non-fenestration</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11,581</w:t>
            </w:r>
          </w:p>
        </w:tc>
      </w:tr>
      <w:tr>
        <w:trPr>
          <w:trHeight w:val="223"/>
        </w:trPr>
        <w:tc>
          <w:tcPr>
            <w:tcW w:w="52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170,258</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177,081</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478,027</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487,036</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European Fenestration: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 fenestration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50,551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51,752</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139,270</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142,009</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 non-fenestration</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44,595</w:t>
            </w:r>
          </w:p>
        </w:tc>
      </w:tr>
      <w:tr>
        <w:trPr>
          <w:trHeight w:val="223"/>
        </w:trPr>
        <w:tc>
          <w:tcPr>
            <w:tcW w:w="52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59,617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67,889</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165,637</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186,604</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North American Cabinet Components: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 fenestration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11,203</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12,613</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 non-fenestration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133,456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148,774</w:t>
            </w: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 - non-fenestration</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w:t>
            </w:r>
          </w:p>
        </w:tc>
      </w:tr>
      <w:tr>
        <w:trPr>
          <w:trHeight w:val="223"/>
        </w:trPr>
        <w:tc>
          <w:tcPr>
            <w:tcW w:w="5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145,663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163,577</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Unallocated Corporate &amp; Other</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r>
      <w:tr>
        <w:trPr>
          <w:trHeight w:val="223"/>
        </w:trPr>
        <w:tc>
          <w:tcPr>
            <w:tcW w:w="5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299,640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785,701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835,091</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have established an allowance for credit losses to estimate the risk of losses, which represents an estimate of expected losses over the remaining contractual life of our receivables. The allowance is determined using two methods. The amounts calculated from each of these methods are combined to determine the total amount reserved. First, a specific reserve is established for individual accounts where information indicates the customers may have an inability to meet financial obligations. Second, a reserve is determined for all customers based on a range of percentages applied to aging categories. These percentages are based on historical collection rates, write-off experience, and forecasts of future economic conditions. Actual write-offs are charged against the allowance when collection efforts have been unsuccessful.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Parties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Net sales include transactions with a customer which is a related party with one of our non-employee directors for three and nine months ended July 31, 2024 of was $0.3 million and $0.8 million, respectively, and $0.3 million and $0.9 million for the comparable prior year periods. We performed a review of these transactions, of which no single transaction or series of related transactions exceeded $120,000 in amount, and determined that these transactions were enacted independently of each other. We are not aware of any other related party transactions with any of our current non-employee directors or officers outside of their normal business functions or expected contractual duties.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November 1, 2022, we entered into an Asset Purchase Agreement (the “Purchase Agreement”) with LMI Custom Mixing, LLC (“LMI”) and the equity owners of LMI, Lauren International, Ltd. and Meteor-US-Beteiligungs GMBH. Under the Purchase Agreement, we acquired substantially all of the operating assets comprising LMI’s polymer mixing and rubber compound production business (collectively, the “Purchased Assets”) and also agreed to assume certain liabilities relating to the Purchased Assets (collectively, the “LMI Acquisition”). As consideration for the Purchased Assets, we paid $91.3 million in cash utilizing funds borrowed under our Credit Facility. In connection with the LMI Acquisition, we amended our existing finance lease with Lauren Real Estate Holding LLC for the purpose of adding an additional lease renewal option and increasing rental space by approximately 60,000 square feet of rental space which was added to the 313,595 square feet of rentable area located in Cambridge, Ohio.</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Inventories consisted of the following at July 31, 2024 and October 31, 2023 (in thousands):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96"/>
        </w:trPr>
        <w:tc>
          <w:tcPr>
            <w:tcW w:w="754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59,865</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53,585</w:t>
            </w: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 and work in process</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42,195</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Supplies and other</w:t>
            </w:r>
          </w:p>
        </w:tc>
        <w:tc>
          <w:tcPr>
            <w:tcW w:w="1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r>
      <w:tr>
        <w:trPr>
          <w:trHeight w:val="223"/>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bottom w:val="single" w:sz="8" w:color="auto"/>
            </w:tcBorders>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99,127</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97,959</w:t>
            </w:r>
          </w:p>
        </w:tc>
      </w:tr>
      <w:tr>
        <w:trPr>
          <w:trHeight w:val="20"/>
        </w:trPr>
        <w:tc>
          <w:tcPr>
            <w:tcW w:w="75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Fixed costs related to excess manufacturing capacity, if any, have been expensed in the period they were incurred and, therefore, are not capitalized into inventory.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recognize a right-of-use (ROU) asset and lease liability for each operating and finance lease with a contractual term greater than 12 months at the time of lease inception. We include ROU assets and lease liabilities for leases that exist within other contracts. Leases with an original term of 12 months or less are not recognized on the balance sheet, and the rent expense related to those short-term leases is recognized over the lease term. We do not account for lease and non-lease (e.g., common area maintenance) components of contracts separately for any underlying asset class.</w:t>
      </w:r>
    </w:p>
    <w:p>
      <w:pPr>
        <w:spacing w:after="0" w:line="12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lease certain manufacturing plants, warehouses, office space, vehicles and equipment under finance and operating leases. Lease commencement occurs on the date we take possession or control of the property or equipment. Original terms for our real estate-related leases are generally between five years and twenty years. Original terms for equipment-related leases, primarily manufacturing equipment and vehicles, are generally between one year and ten years. Some of our leases also include rental escalation clauses. Renewal options are included in the determination of lease payments when management determines the options are reasonably certain of exercise, considering financial performance, strategic importance and/or invested capital.</w:t>
      </w:r>
    </w:p>
    <w:p>
      <w:pPr>
        <w:spacing w:after="0" w:line="12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If readily determinable, the rate implicit in the lease is used to discount lease payments to present value; however, substantially all of our leases do not provide a readily determinable implicit rate. When the implicit rate is not determinable, our estimated incremental borrowing rate is utilized, determined on a collateralized basis, to discount lease payments based on information available at lease commencement.</w:t>
      </w:r>
    </w:p>
    <w:p>
      <w:pPr>
        <w:spacing w:after="0" w:line="12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Total lease costs recorded include fixed operating lease costs and variable lease costs. Most of our real estate leases require we pay certain expenses, such as common area maintenance costs, of which the fixed portion is included in operating lease costs. We recognize operating lease costs on a straight-line basis over the lease term. In addition to the above costs, variable lease costs are recognized when probable and are not included in determining the present value of our lease liability.</w:t>
      </w:r>
    </w:p>
    <w:p>
      <w:pPr>
        <w:spacing w:after="0" w:line="126"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ROU asset is measured at the initial amount of the lease liability adjusted for lease payments made at or before the lease commencement date and initial direct costs. For operating leases, ROU assets are reduced over the lease term by the recognized straight-line lease expense less the amount of accretion of the lease liability determined using the effective interest method. For finance leases, ROU assets are amortized on a straight-line basis over the shorter of the useful life of the leased asset or the lease term. Interest expense on each finance lease liability is recognized utilizing the effective interest method. ROU assets are tested for impairment in the same manner as long-lived assets. Additionally, we monitor for events or changes in circumstances that may require a reassessment of one of our leases and determine if a remeasurement is required.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table below presents the lease-related assets and liabilities recorded on the balance sheet at July 31, 2024 and October 31, 2023 (in thousands):</w:t>
      </w:r>
    </w:p>
    <w:p>
      <w:pPr>
        <w:spacing w:after="0" w:line="29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240" w:type="dxa"/>
            <w:vAlign w:val="bottom"/>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600" w:type="dxa"/>
            <w:vAlign w:val="bottom"/>
          </w:tcPr>
          <w:p>
            <w:pPr>
              <w:jc w:val="center"/>
              <w:ind w:left="1688"/>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380" w:type="dxa"/>
            <w:vAlign w:val="bottom"/>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90"/>
        </w:trPr>
        <w:tc>
          <w:tcPr>
            <w:tcW w:w="1360" w:type="dxa"/>
            <w:vAlign w:val="bottom"/>
            <w:vMerge w:val="continue"/>
          </w:tcPr>
          <w:p>
            <w:pPr>
              <w:spacing w:after="0"/>
              <w:rPr>
                <w:sz w:val="16"/>
                <w:szCs w:val="16"/>
                <w:color w:val="auto"/>
              </w:rPr>
            </w:pPr>
          </w:p>
        </w:tc>
        <w:tc>
          <w:tcPr>
            <w:tcW w:w="4240" w:type="dxa"/>
            <w:vAlign w:val="bottom"/>
            <w:vMerge w:val="continue"/>
          </w:tcPr>
          <w:p>
            <w:pPr>
              <w:spacing w:after="0"/>
              <w:rPr>
                <w:sz w:val="16"/>
                <w:szCs w:val="16"/>
                <w:color w:val="auto"/>
              </w:rPr>
            </w:pPr>
          </w:p>
        </w:tc>
        <w:tc>
          <w:tcPr>
            <w:tcW w:w="3600" w:type="dxa"/>
            <w:vAlign w:val="bottom"/>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7620</wp:posOffset>
            </wp:positionV>
            <wp:extent cx="708914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914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ind w:left="180"/>
        <w:spacing w:after="0" w:line="394" w:lineRule="auto"/>
        <w:rPr>
          <w:sz w:val="20"/>
          <w:szCs w:val="20"/>
          <w:color w:val="auto"/>
        </w:rPr>
      </w:pPr>
      <w:r>
        <w:rPr>
          <w:rFonts w:ascii="Times New Roman" w:cs="Times New Roman" w:eastAsia="Times New Roman" w:hAnsi="Times New Roman"/>
          <w:sz w:val="18"/>
          <w:szCs w:val="18"/>
          <w:color w:val="auto"/>
        </w:rPr>
        <w:t>Operating lease assets Finance lease assets</w:t>
      </w:r>
    </w:p>
    <w:p>
      <w:pPr>
        <w:ind w:left="60"/>
        <w:spacing w:after="0"/>
        <w:rPr>
          <w:sz w:val="20"/>
          <w:szCs w:val="20"/>
          <w:color w:val="auto"/>
        </w:rPr>
      </w:pPr>
      <w:r>
        <w:rPr>
          <w:rFonts w:ascii="Times New Roman" w:cs="Times New Roman" w:eastAsia="Times New Roman" w:hAnsi="Times New Roman"/>
          <w:sz w:val="18"/>
          <w:szCs w:val="18"/>
          <w:b w:val="1"/>
          <w:bCs w:val="1"/>
          <w:color w:val="auto"/>
        </w:rPr>
        <w:t>Total lease assets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63,642</w:t>
            </w:r>
          </w:p>
        </w:tc>
        <w:tc>
          <w:tcPr>
            <w:tcW w:w="12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46,620</w:t>
            </w:r>
          </w:p>
        </w:tc>
      </w:tr>
      <w:tr>
        <w:trPr>
          <w:trHeight w:val="194"/>
        </w:trPr>
        <w:tc>
          <w:tcPr>
            <w:tcW w:w="50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Property, plant and equipment (less accumulated depreciation of</w:t>
            </w: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4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2"/>
                <w:shd w:val="clear" w:color="auto" w:fill="CCEEFF"/>
              </w:rPr>
              <w:t>$9,594</w:t>
            </w:r>
          </w:p>
        </w:tc>
        <w:tc>
          <w:tcPr>
            <w:tcW w:w="45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and $6,691)</w:t>
            </w:r>
          </w:p>
        </w:tc>
        <w:tc>
          <w:tcPr>
            <w:tcW w:w="6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60,760</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58,496</w:t>
            </w: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124,402</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105,116</w:t>
            </w: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-1466850</wp:posOffset>
            </wp:positionH>
            <wp:positionV relativeFrom="paragraph">
              <wp:posOffset>-454025</wp:posOffset>
            </wp:positionV>
            <wp:extent cx="7089140" cy="266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9140" cy="26606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1780" w:space="580"/>
            <w:col w:w="8880"/>
          </w:cols>
          <w:pgMar w:left="320" w:top="121" w:right="339" w:bottom="1440" w:gutter="0" w:footer="0" w:header="0"/>
          <w:type w:val="continuous"/>
        </w:sectPr>
      </w:pPr>
    </w:p>
    <w:tbl>
      <w:tblPr>
        <w:tblLayout w:type="fixed"/>
        <w:tblInd w:w="40" w:type="dxa"/>
        <w:tblCellMar>
          <w:top w:w="0" w:type="dxa"/>
          <w:left w:w="0" w:type="dxa"/>
          <w:bottom w:w="0" w:type="dxa"/>
          <w:right w:w="0" w:type="dxa"/>
        </w:tblCellMar>
      </w:tblPr>
      <w:tr>
        <w:trPr>
          <w:trHeight w:val="223"/>
        </w:trPr>
        <w:tc>
          <w:tcPr>
            <w:tcW w:w="1960" w:type="dxa"/>
            <w:vAlign w:val="bottom"/>
            <w:shd w:val="clear" w:color="auto" w:fill="CCEEFF"/>
          </w:tcPr>
          <w:p>
            <w:pPr>
              <w:spacing w:after="0"/>
              <w:rPr>
                <w:sz w:val="19"/>
                <w:szCs w:val="19"/>
                <w:color w:val="auto"/>
              </w:rPr>
            </w:pPr>
          </w:p>
        </w:tc>
        <w:tc>
          <w:tcPr>
            <w:tcW w:w="5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5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1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w:t>
            </w:r>
          </w:p>
        </w:tc>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6,435</w:t>
            </w:r>
          </w:p>
        </w:tc>
        <w:tc>
          <w:tcPr>
            <w:tcW w:w="12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7,224</w:t>
            </w:r>
          </w:p>
        </w:tc>
      </w:tr>
      <w:tr>
        <w:trPr>
          <w:trHeight w:val="229"/>
        </w:trPr>
        <w:tc>
          <w:tcPr>
            <w:tcW w:w="1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w:t>
            </w:r>
          </w:p>
        </w:tc>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r>
      <w:tr>
        <w:trPr>
          <w:trHeight w:val="229"/>
        </w:trPr>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Noncurrent</w:t>
            </w:r>
          </w:p>
        </w:tc>
        <w:tc>
          <w:tcPr>
            <w:tcW w:w="5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1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w:t>
            </w:r>
          </w:p>
        </w:tc>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59,099</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40,361</w:t>
            </w:r>
          </w:p>
        </w:tc>
      </w:tr>
      <w:tr>
        <w:trPr>
          <w:trHeight w:val="229"/>
        </w:trPr>
        <w:tc>
          <w:tcPr>
            <w:tcW w:w="1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Finance</w:t>
            </w:r>
          </w:p>
        </w:tc>
        <w:tc>
          <w:tcPr>
            <w:tcW w:w="5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6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52,007</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52,309</w:t>
            </w:r>
          </w:p>
        </w:tc>
      </w:tr>
      <w:tr>
        <w:trPr>
          <w:trHeight w:val="248"/>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5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120,541</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102,570</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presents the components of lease costs for the three and nine months ended July 31, 2024 and 2023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20" w:type="dxa"/>
            <w:vAlign w:val="bottom"/>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80" w:type="dxa"/>
            <w:vAlign w:val="bottom"/>
            <w:gridSpan w:val="3"/>
          </w:tcPr>
          <w:p>
            <w:pPr>
              <w:jc w:val="center"/>
              <w:ind w:left="59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60" w:type="dxa"/>
            <w:vAlign w:val="bottom"/>
          </w:tcPr>
          <w:p>
            <w:pPr>
              <w:spacing w:after="0"/>
              <w:rPr>
                <w:sz w:val="16"/>
                <w:szCs w:val="16"/>
                <w:color w:val="auto"/>
              </w:rPr>
            </w:pPr>
          </w:p>
        </w:tc>
      </w:tr>
      <w:tr>
        <w:trPr>
          <w:trHeight w:val="203"/>
        </w:trPr>
        <w:tc>
          <w:tcPr>
            <w:tcW w:w="4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20" w:type="dxa"/>
            <w:vAlign w:val="bottom"/>
            <w:gridSpan w:val="3"/>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80" w:type="dxa"/>
            <w:vAlign w:val="bottom"/>
            <w:gridSpan w:val="3"/>
          </w:tcPr>
          <w:p>
            <w:pPr>
              <w:jc w:val="center"/>
              <w:ind w:left="617"/>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060" w:type="dxa"/>
            <w:vAlign w:val="bottom"/>
          </w:tcPr>
          <w:p>
            <w:pPr>
              <w:spacing w:after="0"/>
              <w:rPr>
                <w:sz w:val="17"/>
                <w:szCs w:val="17"/>
                <w:color w:val="auto"/>
              </w:rPr>
            </w:pPr>
          </w:p>
        </w:tc>
      </w:tr>
      <w:tr>
        <w:trPr>
          <w:trHeight w:val="23"/>
        </w:trPr>
        <w:tc>
          <w:tcPr>
            <w:tcW w:w="45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45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cost</w:t>
            </w:r>
          </w:p>
        </w:tc>
        <w:tc>
          <w:tcPr>
            <w:tcW w:w="94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center"/>
              <w:ind w:right="4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w:t>
            </w:r>
          </w:p>
        </w:tc>
      </w:tr>
      <w:tr>
        <w:trPr>
          <w:trHeight w:val="203"/>
        </w:trPr>
        <w:tc>
          <w:tcPr>
            <w:tcW w:w="450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Finance lease cost</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0"/>
        </w:trPr>
        <w:tc>
          <w:tcPr>
            <w:tcW w:w="4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r>
      <w:tr>
        <w:trPr>
          <w:trHeight w:val="230"/>
        </w:trPr>
        <w:tc>
          <w:tcPr>
            <w:tcW w:w="4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r>
      <w:tr>
        <w:trPr>
          <w:trHeight w:val="229"/>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Variable lease costs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94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6,321</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12,195</w:t>
            </w:r>
          </w:p>
        </w:tc>
      </w:tr>
      <w:tr>
        <w:trPr>
          <w:trHeight w:val="20"/>
        </w:trPr>
        <w:tc>
          <w:tcPr>
            <w:tcW w:w="4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table below presents supplemental cash flow information related to leases for the nine months ended July 31, 2024 and 2023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80" w:type="dxa"/>
            <w:vAlign w:val="bottom"/>
          </w:tcPr>
          <w:p>
            <w:pPr>
              <w:spacing w:after="0"/>
              <w:rPr>
                <w:sz w:val="16"/>
                <w:szCs w:val="16"/>
                <w:color w:val="auto"/>
              </w:rPr>
            </w:pPr>
          </w:p>
        </w:tc>
      </w:tr>
      <w:tr>
        <w:trPr>
          <w:trHeight w:val="203"/>
        </w:trPr>
        <w:tc>
          <w:tcPr>
            <w:tcW w:w="7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80" w:type="dxa"/>
            <w:vAlign w:val="bottom"/>
            <w:gridSpan w:val="3"/>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180" w:type="dxa"/>
            <w:vAlign w:val="bottom"/>
          </w:tcPr>
          <w:p>
            <w:pPr>
              <w:spacing w:after="0"/>
              <w:rPr>
                <w:sz w:val="17"/>
                <w:szCs w:val="17"/>
                <w:color w:val="auto"/>
              </w:rPr>
            </w:pPr>
          </w:p>
        </w:tc>
      </w:tr>
      <w:tr>
        <w:trPr>
          <w:trHeight w:val="23"/>
        </w:trPr>
        <w:tc>
          <w:tcPr>
            <w:tcW w:w="74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744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74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 - financing cash flows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2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 - operating cash flows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 - operating cash flows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6,826</w:t>
            </w:r>
          </w:p>
        </w:tc>
        <w:tc>
          <w:tcPr>
            <w:tcW w:w="12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6,848</w:t>
            </w:r>
          </w:p>
        </w:tc>
      </w:tr>
      <w:tr>
        <w:trPr>
          <w:trHeight w:val="270"/>
        </w:trPr>
        <w:tc>
          <w:tcPr>
            <w:tcW w:w="74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03"/>
        </w:trPr>
        <w:tc>
          <w:tcPr>
            <w:tcW w:w="74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22,025</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w:t>
            </w:r>
          </w:p>
        </w:tc>
      </w:tr>
      <w:tr>
        <w:trPr>
          <w:trHeight w:val="234"/>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20" w:type="dxa"/>
            <w:vAlign w:val="bottom"/>
          </w:tcPr>
          <w:p>
            <w:pPr>
              <w:spacing w:after="0"/>
              <w:rPr>
                <w:sz w:val="20"/>
                <w:szCs w:val="20"/>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25,723</w:t>
            </w:r>
          </w:p>
        </w:tc>
      </w:tr>
    </w:tbl>
    <w:p>
      <w:pPr>
        <w:spacing w:after="0" w:line="247"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The table below presents the weighted-average remaining lease terms and weighted-average discount rates for the Company's leases as of July 31, 2024 and October 31, 2023:</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96"/>
        </w:trPr>
        <w:tc>
          <w:tcPr>
            <w:tcW w:w="20" w:type="dxa"/>
            <w:vAlign w:val="bottom"/>
            <w:tcBorders>
              <w:bottom w:val="single" w:sz="8" w:color="CCEEFF"/>
            </w:tcBorders>
          </w:tcPr>
          <w:p>
            <w:pPr>
              <w:spacing w:after="0"/>
              <w:rPr>
                <w:sz w:val="17"/>
                <w:szCs w:val="17"/>
                <w:color w:val="auto"/>
              </w:rPr>
            </w:pPr>
          </w:p>
        </w:tc>
        <w:tc>
          <w:tcPr>
            <w:tcW w:w="7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20" w:type="dxa"/>
            <w:vAlign w:val="bottom"/>
            <w:shd w:val="clear" w:color="auto" w:fill="CCEEFF"/>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0"/>
        </w:trPr>
        <w:tc>
          <w:tcPr>
            <w:tcW w:w="20" w:type="dxa"/>
            <w:vAlign w:val="bottom"/>
            <w:shd w:val="clear" w:color="auto" w:fill="CCEEFF"/>
          </w:tcPr>
          <w:p>
            <w:pPr>
              <w:spacing w:after="0"/>
              <w:rPr>
                <w:sz w:val="19"/>
                <w:szCs w:val="19"/>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70"/>
        </w:trPr>
        <w:tc>
          <w:tcPr>
            <w:tcW w:w="20" w:type="dxa"/>
            <w:vAlign w:val="bottom"/>
          </w:tcPr>
          <w:p>
            <w:pPr>
              <w:spacing w:after="0"/>
              <w:rPr>
                <w:sz w:val="23"/>
                <w:szCs w:val="23"/>
                <w:color w:val="auto"/>
              </w:rPr>
            </w:pPr>
          </w:p>
        </w:tc>
        <w:tc>
          <w:tcPr>
            <w:tcW w:w="7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29"/>
        </w:trPr>
        <w:tc>
          <w:tcPr>
            <w:tcW w:w="20" w:type="dxa"/>
            <w:vAlign w:val="bottom"/>
            <w:shd w:val="clear" w:color="auto" w:fill="CCEEFF"/>
          </w:tcPr>
          <w:p>
            <w:pPr>
              <w:spacing w:after="0"/>
              <w:rPr>
                <w:sz w:val="19"/>
                <w:szCs w:val="19"/>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4.09 %</w:t>
            </w:r>
          </w:p>
        </w:tc>
      </w:tr>
      <w:tr>
        <w:trPr>
          <w:trHeight w:val="230"/>
        </w:trPr>
        <w:tc>
          <w:tcPr>
            <w:tcW w:w="20" w:type="dxa"/>
            <w:vAlign w:val="bottom"/>
            <w:shd w:val="clear" w:color="auto" w:fill="CCEEFF"/>
          </w:tcPr>
          <w:p>
            <w:pPr>
              <w:spacing w:after="0"/>
              <w:rPr>
                <w:sz w:val="19"/>
                <w:szCs w:val="19"/>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4.52 %</w:t>
            </w:r>
          </w:p>
        </w:tc>
      </w:tr>
      <w:tr>
        <w:trPr>
          <w:trHeight w:val="486"/>
        </w:trPr>
        <w:tc>
          <w:tcPr>
            <w:tcW w:w="20" w:type="dxa"/>
            <w:vAlign w:val="bottom"/>
          </w:tcPr>
          <w:p>
            <w:pPr>
              <w:spacing w:after="0"/>
              <w:rPr>
                <w:sz w:val="24"/>
                <w:szCs w:val="24"/>
                <w:color w:val="auto"/>
              </w:rPr>
            </w:pPr>
          </w:p>
        </w:tc>
        <w:tc>
          <w:tcPr>
            <w:tcW w:w="73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 table below presents the maturity of the lease liabilities as of July 31, 2024 (in thousands):</w:t>
            </w: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49"/>
        </w:trPr>
        <w:tc>
          <w:tcPr>
            <w:tcW w:w="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
        </w:trPr>
        <w:tc>
          <w:tcPr>
            <w:tcW w:w="20" w:type="dxa"/>
            <w:vAlign w:val="bottom"/>
          </w:tcPr>
          <w:p>
            <w:pPr>
              <w:spacing w:after="0"/>
              <w:rPr>
                <w:sz w:val="2"/>
                <w:szCs w:val="2"/>
                <w:color w:val="auto"/>
              </w:rPr>
            </w:pPr>
          </w:p>
        </w:tc>
        <w:tc>
          <w:tcPr>
            <w:tcW w:w="738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(remaining three months)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r>
      <w:tr>
        <w:trPr>
          <w:trHeight w:val="230"/>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5,436</w:t>
            </w:r>
          </w:p>
        </w:tc>
      </w:tr>
      <w:tr>
        <w:trPr>
          <w:trHeight w:val="230"/>
        </w:trPr>
        <w:tc>
          <w:tcPr>
            <w:tcW w:w="20" w:type="dxa"/>
            <w:vAlign w:val="bottom"/>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w:t>
            </w:r>
          </w:p>
        </w:tc>
      </w:tr>
      <w:tr>
        <w:trPr>
          <w:trHeight w:val="229"/>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5,109</w:t>
            </w:r>
          </w:p>
        </w:tc>
      </w:tr>
      <w:tr>
        <w:trPr>
          <w:trHeight w:val="230"/>
        </w:trPr>
        <w:tc>
          <w:tcPr>
            <w:tcW w:w="20" w:type="dxa"/>
            <w:vAlign w:val="bottom"/>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w:t>
            </w:r>
          </w:p>
        </w:tc>
      </w:tr>
      <w:tr>
        <w:trPr>
          <w:trHeight w:val="230"/>
        </w:trPr>
        <w:tc>
          <w:tcPr>
            <w:tcW w:w="20" w:type="dxa"/>
            <w:vAlign w:val="bottom"/>
          </w:tcPr>
          <w:p>
            <w:pPr>
              <w:spacing w:after="0"/>
              <w:rPr>
                <w:sz w:val="19"/>
                <w:szCs w:val="19"/>
                <w:color w:val="auto"/>
              </w:rPr>
            </w:pPr>
          </w:p>
        </w:tc>
        <w:tc>
          <w:tcPr>
            <w:tcW w:w="7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49,112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59,006</w:t>
            </w:r>
          </w:p>
        </w:tc>
      </w:tr>
      <w:tr>
        <w:trPr>
          <w:trHeight w:val="223"/>
        </w:trPr>
        <w:tc>
          <w:tcPr>
            <w:tcW w:w="20" w:type="dxa"/>
            <w:vAlign w:val="bottom"/>
          </w:tcPr>
          <w:p>
            <w:pPr>
              <w:spacing w:after="0"/>
              <w:rPr>
                <w:sz w:val="19"/>
                <w:szCs w:val="19"/>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85,366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81,137</w:t>
            </w:r>
          </w:p>
        </w:tc>
      </w:tr>
      <w:tr>
        <w:trPr>
          <w:trHeight w:val="230"/>
        </w:trPr>
        <w:tc>
          <w:tcPr>
            <w:tcW w:w="20" w:type="dxa"/>
            <w:vAlign w:val="bottom"/>
          </w:tcPr>
          <w:p>
            <w:pPr>
              <w:spacing w:after="0"/>
              <w:rPr>
                <w:sz w:val="19"/>
                <w:szCs w:val="19"/>
                <w:color w:val="auto"/>
              </w:rPr>
            </w:pPr>
          </w:p>
        </w:tc>
        <w:tc>
          <w:tcPr>
            <w:tcW w:w="73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19,832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26,130</w:t>
            </w:r>
          </w:p>
        </w:tc>
      </w:tr>
      <w:tr>
        <w:trPr>
          <w:trHeight w:val="248"/>
        </w:trPr>
        <w:tc>
          <w:tcPr>
            <w:tcW w:w="20" w:type="dxa"/>
            <w:vAlign w:val="bottom"/>
          </w:tcPr>
          <w:p>
            <w:pPr>
              <w:spacing w:after="0"/>
              <w:rPr>
                <w:sz w:val="21"/>
                <w:szCs w:val="21"/>
                <w:color w:val="auto"/>
              </w:rPr>
            </w:pPr>
          </w:p>
        </w:tc>
        <w:tc>
          <w:tcPr>
            <w:tcW w:w="7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65,534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55,007</w:t>
            </w:r>
          </w:p>
        </w:tc>
      </w:tr>
      <w:tr>
        <w:trPr>
          <w:trHeight w:val="20"/>
        </w:trPr>
        <w:tc>
          <w:tcPr>
            <w:tcW w:w="20" w:type="dxa"/>
            <w:vAlign w:val="bottom"/>
          </w:tcPr>
          <w:p>
            <w:pPr>
              <w:spacing w:after="0" w:line="20" w:lineRule="exact"/>
              <w:rPr>
                <w:sz w:val="1"/>
                <w:szCs w:val="1"/>
                <w:color w:val="auto"/>
              </w:rPr>
            </w:pPr>
          </w:p>
        </w:tc>
        <w:tc>
          <w:tcPr>
            <w:tcW w:w="7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change in the carrying amount of goodwill for the nine months ended July 31, 2024 was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9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July 31, 2024</w:t>
            </w:r>
          </w:p>
        </w:tc>
      </w:tr>
      <w:tr>
        <w:trPr>
          <w:trHeight w:val="23"/>
        </w:trPr>
        <w:tc>
          <w:tcPr>
            <w:tcW w:w="9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November 1, 2023</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182,956</w:t>
            </w:r>
          </w:p>
        </w:tc>
      </w:tr>
      <w:tr>
        <w:trPr>
          <w:trHeight w:val="229"/>
        </w:trPr>
        <w:tc>
          <w:tcPr>
            <w:tcW w:w="9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the end of the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186,195</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At our last annual test date, August 31, 2023, we evaluated the recoverability of goodwill at each of our five reporting units with goodwill balances and determined that our goodwill was not impaired. We evaluated for indicators of impairment for all reporting units during the three and nine months ended July 31, 2024 and determined that there were no triggering events. For additional discussion of change in reporting units and a summary of the change in the carrying amount of goodwill by segment, see Note 13, “Segment Information.”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Identifiable Intangible Assets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Amortizable intangible assets consisted of the following as of July 31, 2024 and October 31, 2023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160" w:type="dxa"/>
            <w:vAlign w:val="bottom"/>
          </w:tcPr>
          <w:p>
            <w:pPr>
              <w:spacing w:after="0"/>
              <w:rPr>
                <w:sz w:val="16"/>
                <w:szCs w:val="16"/>
                <w:color w:val="auto"/>
              </w:rPr>
            </w:pPr>
          </w:p>
        </w:tc>
        <w:tc>
          <w:tcPr>
            <w:tcW w:w="2860" w:type="dxa"/>
            <w:vAlign w:val="bottom"/>
            <w:gridSpan w:val="4"/>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October 31, 2023</w:t>
            </w:r>
          </w:p>
        </w:tc>
      </w:tr>
      <w:tr>
        <w:trPr>
          <w:trHeight w:val="23"/>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28"/>
        </w:trPr>
        <w:tc>
          <w:tcPr>
            <w:tcW w:w="50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36"/>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216"/>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r>
      <w:tr>
        <w:trPr>
          <w:trHeight w:val="196"/>
        </w:trPr>
        <w:tc>
          <w:tcPr>
            <w:tcW w:w="5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7"/>
                <w:szCs w:val="17"/>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7"/>
                <w:szCs w:val="17"/>
                <w:color w:val="auto"/>
              </w:rPr>
            </w:pPr>
          </w:p>
        </w:tc>
        <w:tc>
          <w:tcPr>
            <w:tcW w:w="12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229"/>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159,707</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107,116</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157,629</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99,230</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56,166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55,519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42,879</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 and other technology</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25,162</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22,324</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25,127</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22,051</w:t>
            </w:r>
          </w:p>
        </w:tc>
      </w:tr>
      <w:tr>
        <w:trPr>
          <w:trHeight w:val="22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241,035</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174,429</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238,275</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164,160</w:t>
            </w:r>
          </w:p>
        </w:tc>
      </w:tr>
      <w:tr>
        <w:trPr>
          <w:trHeight w:val="21"/>
        </w:trPr>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had aggregate amortization expense related to intangible assets for the three and nine months ended July 31, 2024 of $2.8 million and $9.0 million, respectively, and $3.0 million and $9.1 million for the comparable prior year periods.</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Estimated remaining amortization expense, assuming current intangible balances and no new acquisitions, for future fiscal years as of July 31, 2024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20" w:type="dxa"/>
            <w:vAlign w:val="bottom"/>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5"/>
        </w:trPr>
        <w:tc>
          <w:tcPr>
            <w:tcW w:w="90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28"/>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 three months)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10,393</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10,152</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28,195</w:t>
            </w:r>
          </w:p>
        </w:tc>
      </w:tr>
      <w:tr>
        <w:trPr>
          <w:trHeight w:val="248"/>
        </w:trPr>
        <w:tc>
          <w:tcPr>
            <w:tcW w:w="9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66,606</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 and Finance Lease Obligations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Long-term debt consisted of the following at July 31, 2024 and October 31, 2023 (in thousands):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96"/>
        </w:trPr>
        <w:tc>
          <w:tcPr>
            <w:tcW w:w="754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160" w:type="dxa"/>
            <w:vAlign w:val="bottom"/>
            <w:shd w:val="clear" w:color="auto" w:fill="CCEEFF"/>
          </w:tcPr>
          <w:p>
            <w:pPr>
              <w:jc w:val="right"/>
              <w:ind w:right="95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 and other</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55,007</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deferred financing fees</w:t>
            </w:r>
          </w:p>
        </w:tc>
        <w:tc>
          <w:tcPr>
            <w:tcW w:w="1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23"/>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debt</w:t>
            </w:r>
          </w:p>
        </w:tc>
        <w:tc>
          <w:tcPr>
            <w:tcW w:w="1160" w:type="dxa"/>
            <w:vAlign w:val="bottom"/>
          </w:tcPr>
          <w:p>
            <w:pPr>
              <w:jc w:val="right"/>
              <w:ind w:right="95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54,096</w:t>
            </w:r>
          </w:p>
        </w:tc>
        <w:tc>
          <w:tcPr>
            <w:tcW w:w="1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68,800</w:t>
            </w:r>
          </w:p>
        </w:tc>
      </w:tr>
      <w:tr>
        <w:trPr>
          <w:trHeight w:val="229"/>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1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r>
      <w:tr>
        <w:trPr>
          <w:trHeight w:val="223"/>
        </w:trPr>
        <w:tc>
          <w:tcPr>
            <w:tcW w:w="7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Long-term debt</w:t>
            </w:r>
          </w:p>
        </w:tc>
        <w:tc>
          <w:tcPr>
            <w:tcW w:w="1160" w:type="dxa"/>
            <w:vAlign w:val="bottom"/>
            <w:tcBorders>
              <w:bottom w:val="single" w:sz="8" w:color="auto"/>
            </w:tcBorders>
          </w:tcPr>
          <w:p>
            <w:pPr>
              <w:jc w:val="right"/>
              <w:ind w:right="95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51,406</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66,435</w:t>
            </w:r>
          </w:p>
        </w:tc>
      </w:tr>
      <w:tr>
        <w:trPr>
          <w:trHeight w:val="20"/>
        </w:trPr>
        <w:tc>
          <w:tcPr>
            <w:tcW w:w="75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1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August 1, 2024, we completed our previously announced acquisition (the “Tyman Acquisition”) of Tyman plc, a company incorporated in England and Wales (“Tyman”). On June 12, 2024, in connection with the Tyman Acquisition, the Company, Wells Fargo Bank, National Association (“Wells Fargo Bank”, acting as agent, swingline lender and issuing lender, the “Agent”), the other entities therein specified in the capacities therein specified, and the lenders parties thereto, entered into an amendment to the Second Amended and Restated Credit Agreement, dated as of July 6, 2022 (the “Existing Credit Agreement”, and the Existing Credit Agreement as so amended, the “Amended Credit Agreement”). The Amended Credit Agreement did not become effective until August 1, 2024 upon the completion the Tyman Acquisition. For further information regarding the Tyman Acquisition and the Amended Credit Agreement, refer to Note 16, “Subsequent Events.”</w:t>
      </w:r>
    </w:p>
    <w:p>
      <w:pPr>
        <w:spacing w:after="0" w:line="81"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On July 6, 2022, we entered into our Existing Credit Agreement with Wells Fargo Securities, LLC, as Agent, Swingline Lender and Issuing Lender, and BofA Securities, Inc. serving as Syndication Agent. We capitalized $1.2 million of deferred financing fees related to the Credit Facility. This $325.0 million revolving credit facility has a five-year term, maturing on July 6, 2027, and replaces our previous credit facility.</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Interest payments for the Existing Credit Agreement are calculated, at our election and depending upon the Consolidated Net Leverage Ratio, at a Base Rate (as defined within the Existing Credit Agreement) plus an applicable margin or at the same rate as Risk-Free Rate (“RFR”) Loans for domestic borrowings or Eurocurrency Rate Loans plus an applicable margin. In addition, we are subject to commitment fees for the unused portion of the Existing Credit Agreement.</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applicable margin and commitment fees are outlined in the following table:</w:t>
      </w:r>
    </w:p>
    <w:p>
      <w:pPr>
        <w:spacing w:after="0" w:line="2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Pricing Level</w:t>
            </w:r>
          </w:p>
        </w:tc>
        <w:tc>
          <w:tcPr>
            <w:tcW w:w="330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Consolidated Net Leverage Ratio</w:t>
            </w:r>
          </w:p>
        </w:tc>
        <w:tc>
          <w:tcPr>
            <w:tcW w:w="202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Commitment Fee</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Eurocurrency Rate Loans and RFR</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Base Rate Loans</w:t>
            </w:r>
          </w:p>
        </w:tc>
        <w:tc>
          <w:tcPr>
            <w:tcW w:w="0" w:type="dxa"/>
            <w:vAlign w:val="bottom"/>
          </w:tcPr>
          <w:p>
            <w:pPr>
              <w:spacing w:after="0"/>
              <w:rPr>
                <w:sz w:val="1"/>
                <w:szCs w:val="1"/>
                <w:color w:val="auto"/>
              </w:rPr>
            </w:pPr>
          </w:p>
        </w:tc>
      </w:tr>
      <w:tr>
        <w:trPr>
          <w:trHeight w:val="190"/>
        </w:trPr>
        <w:tc>
          <w:tcPr>
            <w:tcW w:w="1400" w:type="dxa"/>
            <w:vAlign w:val="bottom"/>
            <w:vMerge w:val="continue"/>
          </w:tcPr>
          <w:p>
            <w:pPr>
              <w:spacing w:after="0"/>
              <w:rPr>
                <w:sz w:val="16"/>
                <w:szCs w:val="16"/>
                <w:color w:val="auto"/>
              </w:rPr>
            </w:pPr>
          </w:p>
        </w:tc>
        <w:tc>
          <w:tcPr>
            <w:tcW w:w="3300" w:type="dxa"/>
            <w:vAlign w:val="bottom"/>
            <w:vMerge w:val="continue"/>
          </w:tcPr>
          <w:p>
            <w:pPr>
              <w:spacing w:after="0"/>
              <w:rPr>
                <w:sz w:val="16"/>
                <w:szCs w:val="16"/>
                <w:color w:val="auto"/>
              </w:rPr>
            </w:pPr>
          </w:p>
        </w:tc>
        <w:tc>
          <w:tcPr>
            <w:tcW w:w="2020" w:type="dxa"/>
            <w:vAlign w:val="bottom"/>
            <w:vMerge w:val="continue"/>
          </w:tcPr>
          <w:p>
            <w:pPr>
              <w:spacing w:after="0"/>
              <w:rPr>
                <w:sz w:val="16"/>
                <w:szCs w:val="16"/>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II</w:t>
      </w: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III</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than or equal to 1.50 to 1.00</w:t>
      </w:r>
    </w:p>
    <w:p>
      <w:pPr>
        <w:spacing w:after="0" w:line="27"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Greater than 1.50 to 1.00, but less than or equal to 2.25 to 1.00</w:t>
      </w:r>
    </w:p>
    <w:p>
      <w:pPr>
        <w:spacing w:after="0" w:line="1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Greater than 2.25 to 1.00, but less than or equal to 3.00 to 1.00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Greater than 3.00 to 1.00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174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0.150%</w:t>
            </w:r>
          </w:p>
        </w:tc>
        <w:tc>
          <w:tcPr>
            <w:tcW w:w="140" w:type="dxa"/>
            <w:vAlign w:val="bottom"/>
          </w:tcPr>
          <w:p>
            <w:pPr>
              <w:spacing w:after="0"/>
              <w:rPr>
                <w:sz w:val="20"/>
                <w:szCs w:val="20"/>
                <w:color w:val="auto"/>
              </w:rPr>
            </w:pPr>
          </w:p>
        </w:tc>
        <w:tc>
          <w:tcPr>
            <w:tcW w:w="2280" w:type="dxa"/>
            <w:vAlign w:val="bottom"/>
            <w:tcBorders>
              <w:top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Pr>
          <w:p>
            <w:pPr>
              <w:spacing w:after="0"/>
              <w:rPr>
                <w:sz w:val="20"/>
                <w:szCs w:val="20"/>
                <w:color w:val="auto"/>
              </w:rPr>
            </w:pPr>
          </w:p>
        </w:tc>
        <w:tc>
          <w:tcPr>
            <w:tcW w:w="17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0.25%</w:t>
            </w:r>
          </w:p>
        </w:tc>
      </w:tr>
      <w:tr>
        <w:trPr>
          <w:trHeight w:val="319"/>
        </w:trPr>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0.175%</w:t>
            </w:r>
          </w:p>
        </w:tc>
        <w:tc>
          <w:tcPr>
            <w:tcW w:w="140" w:type="dxa"/>
            <w:vAlign w:val="bottom"/>
          </w:tcPr>
          <w:p>
            <w:pPr>
              <w:spacing w:after="0"/>
              <w:rPr>
                <w:sz w:val="24"/>
                <w:szCs w:val="24"/>
                <w:color w:val="auto"/>
              </w:rPr>
            </w:pPr>
          </w:p>
        </w:tc>
        <w:tc>
          <w:tcPr>
            <w:tcW w:w="228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Pr>
          <w:p>
            <w:pPr>
              <w:spacing w:after="0"/>
              <w:rPr>
                <w:sz w:val="24"/>
                <w:szCs w:val="24"/>
                <w:color w:val="auto"/>
              </w:rPr>
            </w:pPr>
          </w:p>
        </w:tc>
        <w:tc>
          <w:tcPr>
            <w:tcW w:w="1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0.50%</w:t>
            </w:r>
          </w:p>
        </w:tc>
      </w:tr>
      <w:tr>
        <w:trPr>
          <w:trHeight w:val="418"/>
        </w:trPr>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0.200%</w:t>
            </w:r>
          </w:p>
        </w:tc>
        <w:tc>
          <w:tcPr>
            <w:tcW w:w="140" w:type="dxa"/>
            <w:vAlign w:val="bottom"/>
          </w:tcPr>
          <w:p>
            <w:pPr>
              <w:spacing w:after="0"/>
              <w:rPr>
                <w:sz w:val="24"/>
                <w:szCs w:val="24"/>
                <w:color w:val="auto"/>
              </w:rPr>
            </w:pPr>
          </w:p>
        </w:tc>
        <w:tc>
          <w:tcPr>
            <w:tcW w:w="228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tcPr>
          <w:p>
            <w:pPr>
              <w:spacing w:after="0"/>
              <w:rPr>
                <w:sz w:val="24"/>
                <w:szCs w:val="24"/>
                <w:color w:val="auto"/>
              </w:rPr>
            </w:pPr>
          </w:p>
        </w:tc>
        <w:tc>
          <w:tcPr>
            <w:tcW w:w="1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0.75%</w:t>
            </w:r>
          </w:p>
        </w:tc>
      </w:tr>
      <w:tr>
        <w:trPr>
          <w:trHeight w:val="324"/>
        </w:trPr>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0.250%</w:t>
            </w:r>
          </w:p>
        </w:tc>
        <w:tc>
          <w:tcPr>
            <w:tcW w:w="140" w:type="dxa"/>
            <w:vAlign w:val="bottom"/>
          </w:tcPr>
          <w:p>
            <w:pPr>
              <w:spacing w:after="0"/>
              <w:rPr>
                <w:sz w:val="24"/>
                <w:szCs w:val="24"/>
                <w:color w:val="auto"/>
              </w:rPr>
            </w:pPr>
          </w:p>
        </w:tc>
        <w:tc>
          <w:tcPr>
            <w:tcW w:w="228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Pr>
          <w:p>
            <w:pPr>
              <w:spacing w:after="0"/>
              <w:rPr>
                <w:sz w:val="24"/>
                <w:szCs w:val="24"/>
                <w:color w:val="auto"/>
              </w:rPr>
            </w:pPr>
          </w:p>
        </w:tc>
        <w:tc>
          <w:tcPr>
            <w:tcW w:w="1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-410845</wp:posOffset>
            </wp:positionV>
            <wp:extent cx="7132320" cy="265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20" w:space="560"/>
            <w:col w:w="3600" w:space="400"/>
            <w:col w:w="6060"/>
          </w:cols>
          <w:pgMar w:left="320" w:top="121" w:right="339" w:bottom="1440" w:gutter="0" w:footer="0" w:header="0"/>
          <w:type w:val="continuous"/>
        </w:sectPr>
      </w:pPr>
    </w:p>
    <w:p>
      <w:pPr>
        <w:spacing w:after="0" w:line="2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the event of default, outstanding borrowings would accrue interest at the Default Rate, as defined, whereby the obligations will bear interest at a per annum rate equal to 2% above the total per annum rate otherwise applicable.</w:t>
      </w:r>
    </w:p>
    <w:p>
      <w:pPr>
        <w:spacing w:after="0" w:line="9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Existing Credit Agreement provides for incremental revolving credit commitments for a minimum principal amount of $10.0 million, up to an aggregate amount of $150.0 million or 100% of Consolidated EBITDA, subject to the lender's discretion to elect or decline the incremental increase. We can also borrow up to the lesser of $15.0 million or the revolving credit commitment, as defined, under a Swingline feature of the Existing Credit Agreement.</w:t>
      </w:r>
    </w:p>
    <w:p>
      <w:pPr>
        <w:spacing w:after="0" w:line="11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Existing Credit Agreement contains a: (1) Consolidated Interest Coverage Ratio requirement whereby we must not permit the Consolidated Interest Coverage Ratio, as defined, to be less than 3.00 to 1.00, and (2) Consolidated Net Leverage Ratio requirement, whereby we must not permit the Consolidated Net Leverage Ratio, as defined, to be greater than 3.25 to 1.00.</w:t>
      </w:r>
    </w:p>
    <w:p>
      <w:pPr>
        <w:spacing w:after="0" w:line="9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In addition to maintaining these financial covenants, the Existing Credit Agreement also limits our ability to enter into certain business transactions, such as to incur indebtedness or liens, to acquire businesses or dispose of material assets, make</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restricted payments, pay dividends (limited to $25.0 million per year) and other transactions as further defined in the Existing Credit Agreement. Some of these limitations, however, do not take effect so long as Consolidated Net Leverage Ratio is less than or equal to 2.75 to 1.00 and available liquidity exceeds $25.0 million. Substantially all of our domestic assets, with the exception of real property, are used as collateral for the Existing Credit Agreement.</w:t>
      </w:r>
    </w:p>
    <w:p>
      <w:pPr>
        <w:spacing w:after="0" w:line="9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July 31, 2024, we had no borrowings outstanding under the Existing Credit Agreement, unamortized debt issuance costs of $0.9 million, $3.7 million of outstanding letters of credit and $55.0 million outstanding primarily under finance leases and other debt. We had $321.3 million available for use under the Existing Credit Agreement at July 31, 2024. Our weighted-average borrowing rate for borrowings outstanding during the nine months ended July 31, 2024 and 2023 was 6.69% and 5.91%, respectively. We were in compliance with our debt covenants as of July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Retirement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Plan</w:t>
      </w:r>
    </w:p>
    <w:p>
      <w:pPr>
        <w:spacing w:after="0" w:line="11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non-contributory, single employer defined benefit pension plan covered certain of our employees in the U.S. During the year ended October 31, 2023, we terminated our defined contribution plan and settled the obligation during the three months ended October 31, 2023. The net periodic pension (benefit) cost for this plan for the three and nine months ended July 31, 2024 and 2023 was as follows (in thousands):</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2460" w:type="dxa"/>
            <w:vAlign w:val="bottom"/>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6"/>
                <w:szCs w:val="16"/>
                <w:color w:val="auto"/>
              </w:rPr>
            </w:pPr>
          </w:p>
        </w:tc>
      </w:tr>
      <w:tr>
        <w:trPr>
          <w:trHeight w:val="203"/>
        </w:trPr>
        <w:tc>
          <w:tcPr>
            <w:tcW w:w="5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860" w:type="dxa"/>
            <w:vAlign w:val="bottom"/>
          </w:tcPr>
          <w:p>
            <w:pPr>
              <w:spacing w:after="0"/>
              <w:rPr>
                <w:sz w:val="17"/>
                <w:szCs w:val="17"/>
                <w:color w:val="auto"/>
              </w:rPr>
            </w:pPr>
          </w:p>
        </w:tc>
      </w:tr>
      <w:tr>
        <w:trPr>
          <w:trHeight w:val="23"/>
        </w:trPr>
        <w:tc>
          <w:tcPr>
            <w:tcW w:w="51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51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02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020" w:type="dxa"/>
            <w:vAlign w:val="bottom"/>
          </w:tcPr>
          <w:p>
            <w:pPr>
              <w:spacing w:after="0"/>
              <w:rPr>
                <w:sz w:val="19"/>
                <w:szCs w:val="19"/>
                <w:color w:val="auto"/>
              </w:rPr>
            </w:pP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1020" w:type="dxa"/>
            <w:vAlign w:val="bottom"/>
          </w:tcPr>
          <w:p>
            <w:pPr>
              <w:spacing w:after="0"/>
              <w:rPr>
                <w:sz w:val="19"/>
                <w:szCs w:val="19"/>
                <w:color w:val="auto"/>
              </w:rPr>
            </w:pP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reimbursement</w:t>
            </w:r>
          </w:p>
        </w:tc>
        <w:tc>
          <w:tcPr>
            <w:tcW w:w="10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7"/>
              </w:rPr>
              <w:t>(903)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periodic pension (benefit) cost</w:t>
            </w:r>
          </w:p>
        </w:tc>
        <w:tc>
          <w:tcPr>
            <w:tcW w:w="102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7"/>
              </w:rPr>
              <w:t>(903)</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1"/>
        </w:trPr>
        <w:tc>
          <w:tcPr>
            <w:tcW w:w="5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Plans</w:t>
      </w:r>
    </w:p>
    <w:p>
      <w:pPr>
        <w:spacing w:after="0" w:line="17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also have a supplemental benefit plan covering certain executive officers and key employees and a non-qualified deferred compensation plan covering members of the Board of Directors and certain key employees. As of July 31, 2024 and October 31, 2023, our liability under the supplemental benefit plan was approximately zero and $2.0 million, respectively. During the year ended October 31, 2023, the supplemental benefit plan was terminated. Benefits associated with this plan were distributed in June 2024 in accordance with Internal Revenue Service regulations. As of July 31, 2024 and October 31, 2023, the liability associated with the deferred compensation plan was approximately $4.9 million and $3.9 million, respectively. We record the current portion of liabilities associated with these plans under the caption “Accrued liabilities,” and the long-term portion under the caption “Other liabilities” in the accompanying condensed consolidated balance sheets.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To determine our income tax expense or benefit for interim periods, consistent with accounting standards, we apply the estimated annual effective income tax rate to year-to-date results, plus any applicable discrete items, which are recorded in the period in which they occur. Discrete items include, among others, such events as changes in estimates due to the finalization of tax returns, tax audit settlements, expiration of statutes of limitations, tax benefits on equity compensation, and increases or decreases in valuation allowances on deferred tax assets. Our estimated annual effective tax rates from continuing operations for the nine months ended July 31, 2024 and 2023 were 21.2% and 18.2%, respectively. The difference between our estimated annual effective income tax rate and the U.S. federal statutory rate of 21% principally results from discrete tax items, U.S. state taxes, a non-U.S. tax rate differential and other permanent differences. The primary discrete items affecting the 2024 effective rate were the benefit of $0.4 million related to the vesting or exercise of equity-based compensation awards and a charge of $0.7 million related to the true up of the deferred tax rate. The primary discrete item affecting the 2023 effective rate was a benefit of $1.7 million related to a true-up of tax provision accrual to tax return filings.</w:t>
      </w:r>
    </w:p>
    <w:p>
      <w:pPr>
        <w:spacing w:after="0" w:line="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July 31, 2024, our liability for uncertain tax positions (UTP) of $0.3 million relates to certain U.S. federal and state tax items regarding the interpretation of tax laws and regulations, including a minimal amount of interest and penalties. We include all interest and penalties related to uncertain tax benefits within our income tax provision account. To the extent interest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2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and penalties are not assessed with respect to uncertain tax positions or the uncertainty of deductions in the future, amounts accrued will be reduced and reflected as a reduction of the overall income tax provision.</w:t>
      </w:r>
    </w:p>
    <w:p>
      <w:pPr>
        <w:spacing w:after="0" w:line="10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evaluate the likelihood of realization of our deferred tax assets by considering both positive and negative evidence. We maintain a valuation allowance for certain state net operating losses which totaled $0.6 million as of July 31, 2024 and October 31, 2023,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and Environmental Compliance Costs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Under applicable state and federal laws, we may be responsible for, among other things, all or part of the costs required to remove or remediate wastes or hazardous substances at locations we, or our predecessors, have owned or operated. From time to time, we also have been alleged to be liable for all or part of the costs incurred to clean up third-party sites where there might have been an alleged improper disposal of hazardous substances. Currently, we are not involved in any such matters.</w:t>
      </w:r>
    </w:p>
    <w:p>
      <w:pPr>
        <w:spacing w:after="0" w:line="12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From time to time, we incur routine expenses and capital expenditures associated with compliance with existing environmental regulations, including control of air emissions and water discharges, and plant decommissioning costs. We have not incurred any material expenses or capital expenditures related to environmental matters during the past three fiscal years, and do not expect to incur a material amount of such costs in fiscal 2024. While we will continue to have future expenditures related to environmental matters, any such amounts are impossible to reasonably estimate at this time. Based upon our experience to date, we do not believe that our compliance with environmental requirements will have a material adverse effect on our operations, financial condition or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7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From time to time, we, along with our subsidiaries, are involved in various litigation matters arising in the ordinary course of our business, including those arising from or related to contractual matters, commercial disputes, intellectual property, personal injury, environmental matters, product performance or warranties, product liability, insurance coverage and personnel and employment disputes. We regularly review with legal counsel the status of all ongoing proceedings, and we maintain insurance against these risks to the extent deemed prudent by our management and to the extent such insurance is available. However, there is no assurance that we will prevail in these matters or that our insurers will accept full coverage of these matters, and we could, in the future, incur judgments, enter into settlements of claims, or revise our expectations regarding the outcome or insurability of matters we face, which could materially impact our results of operations.</w:t>
      </w:r>
    </w:p>
    <w:p>
      <w:pPr>
        <w:spacing w:after="0" w:line="13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have been and are currently party to multiple claims, some of which are in litigation, relating to alleged defects in a commercial sealant product that was manufactured and sold during the 2000’s. While we believe that our product was not defective and that we would prevail in these commercial sealant product claims if taken to trial, the timing, ultimate resolution and potential impact of these claims is not currently determinable. Nevertheless, after taking into account all currently available information, including our defenses, the advice of our counsel, and the extent and currently-expected availability of our existing insurance coverage, we believe that the eventual outcome of these commercial sealant claims will not have a material adverse effect on our overall financial condition, results of operations or cash flows, and we have not recorded any accrual with regard to these claims.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 of Assets and Liabilities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data developed based on the best information available in the circumstances (unobservable inputs). The fair value hierarchy consists of three broad levels, which gives the highest priority to Level 1 and the lowest priority to Level 3. The three levels of the fair value hierarchy are described below:</w:t>
      </w:r>
    </w:p>
    <w:p>
      <w:pPr>
        <w:spacing w:after="0" w:line="75" w:lineRule="exact"/>
        <w:rPr>
          <w:sz w:val="20"/>
          <w:szCs w:val="20"/>
          <w:color w:val="auto"/>
        </w:rPr>
      </w:pPr>
    </w:p>
    <w:p>
      <w:pPr>
        <w:ind w:left="480" w:hanging="148"/>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117" w:lineRule="exact"/>
        <w:rPr>
          <w:rFonts w:ascii="Times New Roman" w:cs="Times New Roman" w:eastAsia="Times New Roman" w:hAnsi="Times New Roman"/>
          <w:sz w:val="18"/>
          <w:szCs w:val="18"/>
          <w:color w:val="auto"/>
        </w:rPr>
      </w:pPr>
    </w:p>
    <w:p>
      <w:pPr>
        <w:jc w:val="both"/>
        <w:ind w:left="500" w:hanging="168"/>
        <w:spacing w:after="0" w:line="266"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 including quoted prices for similar assets or liabilities in active markets; quoted prices for identical or similar assets or liabilities in markets that are not active; inputs other than quoted prices that are observable for the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23"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asset or liability (e.g., interest rates) and inputs that are derived principally from or corroborated by observable market data by correlation or other means.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Level 3 - Inputs that are both significant to the fair value measurement and unobservable.</w:t>
      </w:r>
    </w:p>
    <w:p>
      <w:pPr>
        <w:spacing w:after="0" w:line="1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Carrying amounts reported on the balance sheet for cash, cash equivalents, accounts receivable and accounts payable approximate fair value due to the short-term maturity of these instruments. Our outstanding debt is variable rate debt that re-prices frequently, thereby limiting our exposure to significant change in interest rate risk. As a result, the fair value of our debt instrument approximates carrying value at July 31, 2024, and October 31, 2023 (Level 2 measurement).</w:t>
      </w:r>
    </w:p>
    <w:p>
      <w:pPr>
        <w:spacing w:after="0" w:line="7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May 2, 2024, we entered into a deal contingent foreign exchange forward currency contract to manage our exposure to foreign currency exchange rate fluctuations against the USD and GBP for approximately $605 million, as part of the $1.1 billion purchase consideration for the Tyman Acquisition. Our deal contingent forward contract is adjusted to fair value by recording gains and losses to “Other, net,” and we record the related asset to “Other Current Assets” in the accompanying condensed consolidated statement of income and condensed consolidated balance sheets, respectively. During the three months ended July 31, 2024, we recognized a gain of $9.2 million related to this foreign exchange forward currency contract and the contract was concluded in August 2024 as a result of the completion of the Tyman Acquisition. The value of our foreign exchange forward currency contract fluctuated based on exchange rate fluctuations against the USD and GBP (Level 2 measurement). For further information regarding the Tyman Acquisition, refer to Note 16, “Subsequent Events.”</w:t>
      </w:r>
    </w:p>
    <w:p>
      <w:pPr>
        <w:spacing w:after="0" w:line="13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performance share awards are marked-to-market on a quarterly basis during a three-year vesting period based on market data (Level 2 measurement). For further information, refer to Note 11, “Stock-Based Compensation - Performance Share Awards.”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have established and maintain an Omnibus Incentive Plan (2020 Plan) that provides for the granting of restricted stock awards, stock options, restricted stock units, performance share awards, performance restricted stock units, and other stock-based and cash-based awards. The 2020 Plan is administered by the Compensation and Management Development Committee of the Board of Directors.</w:t>
      </w:r>
    </w:p>
    <w:p>
      <w:pPr>
        <w:spacing w:after="0" w:line="122"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aggregate number of shares of common stock authorized for grant under the 2020 Plan is 3,139,895 as approved by shareholders. Any officer, key employee and/or non-employee director is eligible for awards under the 2020 Plan. We grant restricted stock units to non-employee directors on the first business day of each fiscal year. As approved by the Compensation &amp; Management Development Committee of our Board of Directors annually, we grant a mix of restricted stock awards, performance shares and performance restricted stock units to officers, management and key employees. We also historically granted stock options to certain officers, directors and key employees. Occasionally, we may make additional grants to key employees at other times during the year.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173"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Restricted stock awards are granted to key employees and officers annually, and typically cliff vest over a three-year period with service and continued employment as the only vesting criteria. The recipient of the restricted stock award is entitled to all of the rights of a shareholder, except that the award is nontransferable during the vesting period and quarterly dividends are not paid until the award vests. The fair value of the restricted stock award is established on the grant date and then expensed over the vesting period resulting in an increase in additional paid-in-capital. Shares are generally issued from treasury stock at the time of grant.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non-vested restricted stock awards activity during the nine months ended July 31, 2024 is presented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186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Restricted Stock Awards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96"/>
        </w:trPr>
        <w:tc>
          <w:tcPr>
            <w:tcW w:w="708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 Fair Value per Share</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October 31, 2023</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242,300</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0" w:type="dxa"/>
            <w:vAlign w:val="bottom"/>
          </w:tcPr>
          <w:p>
            <w:pPr>
              <w:spacing w:after="0"/>
              <w:rPr>
                <w:sz w:val="1"/>
                <w:szCs w:val="1"/>
                <w:color w:val="auto"/>
              </w:rPr>
            </w:pPr>
          </w:p>
        </w:tc>
      </w:tr>
      <w:tr>
        <w:trPr>
          <w:trHeight w:val="229"/>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29"/>
        </w:trPr>
        <w:tc>
          <w:tcPr>
            <w:tcW w:w="7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(66,600)</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0" w:type="dxa"/>
            <w:vAlign w:val="bottom"/>
          </w:tcPr>
          <w:p>
            <w:pPr>
              <w:spacing w:after="0"/>
              <w:rPr>
                <w:sz w:val="1"/>
                <w:szCs w:val="1"/>
                <w:color w:val="auto"/>
              </w:rPr>
            </w:pP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July 31, 2024</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236,800</w:t>
            </w: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total weighted-average grant-date fair value of restricted stock awards that vested during each of the nine months ended July 31, 2024 and 2023 was $1.4 million and $1.0 million, respectively. As of July 31, 2024, total unrecognized compensation cost related to unamortized restricted stock awards was $3.0 million. We expect to recognize this expense over the remaining weighted-average vesting period of 1.9 years.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Historically, stock options have been awarded to key employees, officers and non-employee directors. In December 2017, the Compensation &amp; Management Development Committee of the Board of Directors approved a change to the long-term incentive award program eliminating the grant of stock options and replacing this award with a grant of performance restricted stock units and performance shares as further described below. As a result, the final stock options were granted during the fiscal year ended October 31, 2017. Stock options typically vested ratably over a three-year period with service and continued employment as the vesting conditions. Our stock options may be exercised up to a maximum of ten years from the date of grant. The fair value of the stock options was determined on the grant date and expensed over the vesting period resulting in an increase in additional paid-in-capital. For employees who were nearing retirement-eligibility, we recognize stock option expense ratably over the shorter of the vesting period or the period from the grant-date to the retirement-eligibility date.</w:t>
      </w:r>
    </w:p>
    <w:p>
      <w:pPr>
        <w:spacing w:after="0" w:line="13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use a Black-Scholes pricing model to estimate the fair value of stock options. A description of the methodology for the valuation assumptions was disclosed in our Annual Report on Form 10-K for the fiscal year ended October 31, 2023.</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stock option activity for the nine months ended July 31, 2024: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0" w:type="dxa"/>
            <w:vAlign w:val="bottom"/>
          </w:tcPr>
          <w:p>
            <w:pPr>
              <w:spacing w:after="0"/>
              <w:rPr>
                <w:sz w:val="13"/>
                <w:szCs w:val="13"/>
                <w:color w:val="auto"/>
              </w:rPr>
            </w:pPr>
          </w:p>
        </w:tc>
        <w:tc>
          <w:tcPr>
            <w:tcW w:w="112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52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7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200" w:type="dxa"/>
            <w:vAlign w:val="bottom"/>
          </w:tcPr>
          <w:p>
            <w:pPr>
              <w:spacing w:after="0"/>
              <w:rPr>
                <w:sz w:val="12"/>
                <w:szCs w:val="12"/>
                <w:color w:val="auto"/>
              </w:rPr>
            </w:pPr>
          </w:p>
        </w:tc>
        <w:tc>
          <w:tcPr>
            <w:tcW w:w="112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5"/>
        </w:trPr>
        <w:tc>
          <w:tcPr>
            <w:tcW w:w="474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00" w:type="dxa"/>
            <w:vAlign w:val="bottom"/>
          </w:tcPr>
          <w:p>
            <w:pPr>
              <w:spacing w:after="0"/>
              <w:rPr>
                <w:sz w:val="16"/>
                <w:szCs w:val="16"/>
                <w:color w:val="auto"/>
              </w:rPr>
            </w:pPr>
          </w:p>
        </w:tc>
        <w:tc>
          <w:tcPr>
            <w:tcW w:w="112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Value (000s)</w:t>
            </w:r>
          </w:p>
        </w:tc>
        <w:tc>
          <w:tcPr>
            <w:tcW w:w="0" w:type="dxa"/>
            <w:vAlign w:val="bottom"/>
          </w:tcPr>
          <w:p>
            <w:pPr>
              <w:spacing w:after="0"/>
              <w:rPr>
                <w:sz w:val="1"/>
                <w:szCs w:val="1"/>
                <w:color w:val="auto"/>
              </w:rPr>
            </w:pPr>
          </w:p>
        </w:tc>
      </w:tr>
      <w:tr>
        <w:trPr>
          <w:trHeight w:val="228"/>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October 31, 2023</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107,530</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2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(29,280)</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2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July 31,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78,250</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at July 31, 2024</w:t>
            </w:r>
          </w:p>
        </w:tc>
        <w:tc>
          <w:tcPr>
            <w:tcW w:w="1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78,250</w:t>
            </w:r>
          </w:p>
        </w:tc>
        <w:tc>
          <w:tcPr>
            <w:tcW w:w="3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19.45</w:t>
            </w:r>
          </w:p>
        </w:tc>
        <w:tc>
          <w:tcPr>
            <w:tcW w:w="20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July 31,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78,250</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Intrinsic value is the amount by which the market price of the common stock on the date of exercise exceeds the exercise price of the stock option.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intrinsic value of stock options exercised during the nine months ended July 31, 2024 and 2023 was $0.4 million and $0.3 million, respectively.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3"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Restricted stock units may be awarded to key employees and officers from time to time, and annually to non-employee directors. The non-employee director restricted stock units vest immediately but are payable only upon the director's cessation of service unless an election is made by the non-employee director to settle and pay the award on an earlier specified date. Restricted stock units awarded to employees and officers typically cliff vest after a three-year period with service and continued employment as the vesting conditions. Restricted stock units are not considered outstanding shares and do not have voting rights, although the holder does receive a cash payment equivalent to the dividend paid, on a one-for-one basis, on our outstanding common shares. Once the criteria is met, each restricted stock unit is payable to the holder in cash based on the market value of one share of our common stock. Accordingly, we record a liability for the restricted stock units on our balance sheet and recognize any changes in the market value during each reporting period as compensation expense.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nine months ended July 31, 2024 and 2023, non-employee directors received 26,215 and 38,704 restricted stock units, respectively, at a weighted-average grant date fair value of $26.70 per share and $20.67 per share, respectively, which vested immediately. During the nine months ended July 31, 2023, 21,774 restricted stock units, which were awarded to key employees, vested. During the nine months ended July 31, 2024, we paid $0.6 million and $0.4 million for the comparable prior year to settle vested restricted stock units.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 Awards</w:t>
      </w:r>
    </w:p>
    <w:p>
      <w:pPr>
        <w:spacing w:after="0" w:line="17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have awarded annual grants of performance shares to key employees and officers. Performance share awards vest with return on net assets (RONA) as the vesting condition and pay out 100% in cash, and are accounted for as liability.</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expected cash settlement of the performance share award is recorded as a liability and is being marked to market over the three-year term of the award and can fluctuate depending on the number of shares ultimately expected to vest. Depending on the achievement of the performance conditions, 0% to 200% of the awarded performance shares may ultimately vest.</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performance share grants and the grant date fair value for the RONA performance metrics: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gridSpan w:val="2"/>
            <w:vMerge w:val="restart"/>
          </w:tcPr>
          <w:p>
            <w:pPr>
              <w:ind w:left="344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Awarded</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 Forfeited</w:t>
            </w:r>
          </w:p>
        </w:tc>
        <w:tc>
          <w:tcPr>
            <w:tcW w:w="0" w:type="dxa"/>
            <w:vAlign w:val="bottom"/>
          </w:tcPr>
          <w:p>
            <w:pPr>
              <w:spacing w:after="0"/>
              <w:rPr>
                <w:sz w:val="1"/>
                <w:szCs w:val="1"/>
                <w:color w:val="auto"/>
              </w:rPr>
            </w:pPr>
          </w:p>
        </w:tc>
      </w:tr>
      <w:tr>
        <w:trPr>
          <w:trHeight w:val="200"/>
        </w:trPr>
        <w:tc>
          <w:tcPr>
            <w:tcW w:w="786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9, 2021</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80,900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0" w:type="dxa"/>
            <w:vAlign w:val="bottom"/>
          </w:tcPr>
          <w:p>
            <w:pPr>
              <w:spacing w:after="0"/>
              <w:rPr>
                <w:sz w:val="1"/>
                <w:szCs w:val="1"/>
                <w:color w:val="auto"/>
              </w:rPr>
            </w:pPr>
          </w:p>
        </w:tc>
      </w:tr>
      <w:tr>
        <w:trPr>
          <w:trHeight w:val="23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7, 2022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89,300</w:t>
            </w:r>
          </w:p>
        </w:tc>
        <w:tc>
          <w:tcPr>
            <w:tcW w:w="1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7, 2023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December 2023, 122,400 shares vested pursuant to the December 2020 grant, which were settled with a cash payment of $3.4 million.</w:t>
      </w:r>
    </w:p>
    <w:p>
      <w:pPr>
        <w:spacing w:after="0" w:line="17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Performance share awards are payable in cash based upon the number of performance shares ultimately earned, and are therefore not considered outstanding shares.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Restricted Stock Units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award performance restricted stock units to key employees and officers. These awards cliff vest upon a three-year service period with the absolute total shareholder return of our common stock over this three-year term as the vesting criteria. The number of shares earned is variable depending on the metric achieved, and the settlement method is 100% in our common stock, with accrued dividends paid in cash at the time of vesting, assuming the shares had been outstanding throughout the performance period.</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To value the performance restricted stock units, we used a Monte Carlo simulation model to arrive at a grant-date fair value. This amount will be adjusted for forfeitures and expensed over the three-year term of the award with a credit to additional paid-in-capital. Depending on the achievement of the performance conditions, a minimum of 0% and a maximum of 150% of the awarded performance restricted stock units may vest. Specifically, the awards vest on a continuum with the following Absolute Total Shareholder Return (A-TSR) milestones: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Vesting Level</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Vesting Criteria</w:t>
            </w:r>
          </w:p>
        </w:tc>
        <w:tc>
          <w:tcPr>
            <w:tcW w:w="34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Percentage of Award Vested</w:t>
            </w:r>
          </w:p>
        </w:tc>
      </w:tr>
      <w:tr>
        <w:trPr>
          <w:trHeight w:val="223"/>
        </w:trPr>
        <w:tc>
          <w:tcPr>
            <w:tcW w:w="2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tcBorders>
              <w:top w:val="single" w:sz="8" w:color="CCEEFF"/>
            </w:tcBorders>
            <w:shd w:val="clear" w:color="auto" w:fill="CCEEFF"/>
          </w:tcPr>
          <w:p>
            <w:pPr>
              <w:spacing w:after="0"/>
              <w:rPr>
                <w:sz w:val="19"/>
                <w:szCs w:val="19"/>
                <w:color w:val="auto"/>
              </w:rPr>
            </w:pPr>
          </w:p>
        </w:tc>
        <w:tc>
          <w:tcPr>
            <w:tcW w:w="5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A-TSR greater than or equal to 50%</w:t>
            </w:r>
          </w:p>
        </w:tc>
        <w:tc>
          <w:tcPr>
            <w:tcW w:w="120" w:type="dxa"/>
            <w:vAlign w:val="bottom"/>
            <w:tcBorders>
              <w:top w:val="single" w:sz="8" w:color="CCEEFF"/>
            </w:tcBorders>
            <w:shd w:val="clear" w:color="auto" w:fill="CCEEFF"/>
          </w:tcPr>
          <w:p>
            <w:pPr>
              <w:spacing w:after="0"/>
              <w:rPr>
                <w:sz w:val="19"/>
                <w:szCs w:val="19"/>
                <w:color w:val="auto"/>
              </w:rPr>
            </w:pPr>
          </w:p>
        </w:tc>
        <w:tc>
          <w:tcPr>
            <w:tcW w:w="3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r>
      <w:tr>
        <w:trPr>
          <w:trHeight w:val="23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A-TSR less than 50% and greater than or equal to 20%</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3</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A-TSR less than 20% and greater than or equal to -20%</w:t>
            </w:r>
          </w:p>
        </w:tc>
        <w:tc>
          <w:tcPr>
            <w:tcW w:w="3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234"/>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Level 4</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A-TSR less than -20%</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3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performance restricted stock unit grants and the grant date fair value for the A-TSR performance metric:</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gridSpan w:val="2"/>
            <w:vMerge w:val="restart"/>
          </w:tcPr>
          <w:p>
            <w:pPr>
              <w:ind w:left="344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Awarded</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 Forfeited</w:t>
            </w:r>
          </w:p>
        </w:tc>
        <w:tc>
          <w:tcPr>
            <w:tcW w:w="0" w:type="dxa"/>
            <w:vAlign w:val="bottom"/>
          </w:tcPr>
          <w:p>
            <w:pPr>
              <w:spacing w:after="0"/>
              <w:rPr>
                <w:sz w:val="1"/>
                <w:szCs w:val="1"/>
                <w:color w:val="auto"/>
              </w:rPr>
            </w:pPr>
          </w:p>
        </w:tc>
      </w:tr>
      <w:tr>
        <w:trPr>
          <w:trHeight w:val="200"/>
        </w:trPr>
        <w:tc>
          <w:tcPr>
            <w:tcW w:w="786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9, 2021</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29"/>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7, 2022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51,500</w:t>
            </w:r>
          </w:p>
        </w:tc>
        <w:tc>
          <w:tcPr>
            <w:tcW w:w="1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7, 2023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nine months ended July 31, 2024, 49,228 performance restricted stock units vested.</w:t>
      </w:r>
    </w:p>
    <w:p>
      <w:pPr>
        <w:spacing w:after="0" w:line="17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performance restricted stock units are not considered outstanding shares, do not have voting rights, and are excluded from diluted weighted-average shares used to calculate earnings per share until the performance criteria is probable to result in the issuance of contingent shares. As of July 31, 2024, we have deemed 67,626 shares related to the December 2021 grant of performance restricted stock units as probable to vest.</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summarizes amounts expensed as selling, general and administrative expense related to restricted stock awards, stock options, restricted stock units, performance share awards and performance restricted stock units for the three and nine months ended July 31, 2024 and 2023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42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6"/>
                <w:szCs w:val="16"/>
                <w:color w:val="auto"/>
              </w:rPr>
            </w:pPr>
          </w:p>
        </w:tc>
      </w:tr>
      <w:tr>
        <w:trPr>
          <w:trHeight w:val="203"/>
        </w:trPr>
        <w:tc>
          <w:tcPr>
            <w:tcW w:w="5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20" w:type="dxa"/>
            <w:vAlign w:val="bottom"/>
            <w:gridSpan w:val="3"/>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860" w:type="dxa"/>
            <w:vAlign w:val="bottom"/>
          </w:tcPr>
          <w:p>
            <w:pPr>
              <w:spacing w:after="0"/>
              <w:rPr>
                <w:sz w:val="17"/>
                <w:szCs w:val="17"/>
                <w:color w:val="auto"/>
              </w:rPr>
            </w:pPr>
          </w:p>
        </w:tc>
      </w:tr>
      <w:tr>
        <w:trPr>
          <w:trHeight w:val="23"/>
        </w:trPr>
        <w:tc>
          <w:tcPr>
            <w:tcW w:w="5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52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 awards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w:t>
            </w:r>
          </w:p>
        </w:tc>
      </w:tr>
      <w:tr>
        <w:trPr>
          <w:trHeight w:val="229"/>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48"/>
        </w:trPr>
        <w:tc>
          <w:tcPr>
            <w:tcW w:w="5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compensation expense</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7,635</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Shares</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record treasury stock purchases under the cost method whereby the entire cost of the acquired stock is recorded as treasury stock. Shares are generally issued from treasury stock at the time of grant of restricted stock awards, upon the exercise of stock options, and upon the vesting of performance restricted stock units. On the subsequent issuance of treasury shares, we record proceeds in excess of cost as an increase in additional paid in capital. A deficiency of such proceeds relative to costs would be applied to reduce paid-in-capital associated with prior issuances to the extent available, with the remainder recorded as a charge to retained earnings. There were no charges to retained earnings during the nine months ended July 31, 2024.</w:t>
      </w:r>
    </w:p>
    <w:p>
      <w:pPr>
        <w:sectPr>
          <w:pgSz w:w="11900" w:h="16838" w:orient="portrait"/>
          <w:cols w:equalWidth="0" w:num="1">
            <w:col w:w="11240"/>
          </w:cols>
          <w:pgMar w:left="320" w:top="121" w:right="339" w:bottom="1440" w:gutter="0" w:footer="0" w:header="0"/>
        </w:sectPr>
      </w:pP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treasury stock activity during the nine months ended July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Beginning Balance as of November 1, 2023</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Restricted stock awards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Performance restricted stock units vested</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Stock options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July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42"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July 31, 2024</w:t>
      </w:r>
    </w:p>
    <w:p>
      <w:pPr>
        <w:spacing w:after="0" w:line="61"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4,165,839</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(72,900)</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(49,228)</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(29,280)</w:t>
      </w:r>
    </w:p>
    <w:p>
      <w:pPr>
        <w:spacing w:after="0" w:line="3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4,014,431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43180</wp:posOffset>
            </wp:positionV>
            <wp:extent cx="13887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8820" w:space="720"/>
            <w:col w:w="170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Other, net</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net on the condensed consolidated statements of income consisted of the following for the three and nine months ended July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(in thousands):</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20" w:type="dxa"/>
            <w:vAlign w:val="bottom"/>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6"/>
                <w:szCs w:val="16"/>
                <w:color w:val="auto"/>
              </w:rPr>
            </w:pPr>
          </w:p>
        </w:tc>
      </w:tr>
      <w:tr>
        <w:trPr>
          <w:trHeight w:val="203"/>
        </w:trPr>
        <w:tc>
          <w:tcPr>
            <w:tcW w:w="4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20" w:type="dxa"/>
            <w:vAlign w:val="bottom"/>
            <w:gridSpan w:val="3"/>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60" w:type="dxa"/>
            <w:vAlign w:val="bottom"/>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020" w:type="dxa"/>
            <w:vAlign w:val="bottom"/>
          </w:tcPr>
          <w:p>
            <w:pPr>
              <w:spacing w:after="0"/>
              <w:rPr>
                <w:sz w:val="17"/>
                <w:szCs w:val="17"/>
                <w:color w:val="auto"/>
              </w:rPr>
            </w:pPr>
          </w:p>
        </w:tc>
      </w:tr>
      <w:tr>
        <w:trPr>
          <w:trHeight w:val="23"/>
        </w:trPr>
        <w:tc>
          <w:tcPr>
            <w:tcW w:w="43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43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transaction (losses) gains</w:t>
            </w: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derivative gains</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service benefit</w:t>
            </w:r>
          </w:p>
        </w:tc>
        <w:tc>
          <w:tcPr>
            <w:tcW w:w="10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100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9,474</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10,520</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0"/>
        </w:trPr>
        <w:tc>
          <w:tcPr>
            <w:tcW w:w="4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17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present three reportable business segments (1) NA Fenestration, comprising four operating segments primarily focused on the fenestration market in North America including vinyl profiles, insulating glass spacers, screens, custom compound mixing, and other fenestration components; (2) EU Fenestration, comprising our U.K.-based vinyl extrusion business, manufacturing vinyl profiles &amp; conservatories, and the European insulating glass business manufacturing insulating glass spacers; and (3) NA Cabinet Components, comprising our cabinet door and components operations. Additionally, we maintain an Unallocated Corporate &amp; Other which includes transaction expenses; stock-based compensation; long-term incentive awards based on the performance of our common stock and other factors; certain severance, legal and other costs not deemed to be allocable to all segments; depreciation of corporate assets; interest expense; other, net; income taxes and inter-segment eliminations; and executive incentive compensation and medical expense fluctuations relative to planned costs as determined during the annual planning process. Other general and administrative costs associated with the corporate office are allocated to the reportable segments, based upon a relative measure of profitability in order to more accurately reflect each reportable business segment's administrative costs. We allocate corporate expenses to businesses acquired mid-year from the date of acquisition. The accounting policies of our operating segments are the same as those used to prepare the accompanying condensed consolidated financial statements. Corporate general and administrative expense allocated during the three and nine month period ended July 31, 2024 was $6.6 million and $20.8 million, respectively, and $6.3 million and $17.1 million for the comparable prior year periods.</w:t>
      </w:r>
    </w:p>
    <w:p>
      <w:pPr>
        <w:spacing w:after="0" w:line="13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ASC Topic 280-10-50, “Segment Reporting” (ASC 280) permits aggregation of operating segments based on factors including, but not limited to: (1) similar nature of products serving the building products industry, primarily the fenestration business; (2) similar production processes, although there are some differences in the amount of automation amongst operating plants; (3) similar types or classes of customers, namely the primary OEMs; (4) similar distribution methods for product delivery, although the extent of the use of third-party distributors will vary amongst the businesses; (5) similar regulatory environment; and (6) converging long-term economic similarities.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Segment information for the three and nine months ended July 31, 2024 and 2023, and total assets as of July 31, 2024 and October 31, 2023 are summarized in the following table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 Fenestration</w:t>
            </w:r>
          </w:p>
        </w:tc>
        <w:tc>
          <w:tcPr>
            <w:tcW w:w="120" w:type="dxa"/>
            <w:vAlign w:val="bottom"/>
          </w:tcPr>
          <w:p>
            <w:pPr>
              <w:spacing w:after="0"/>
              <w:rPr>
                <w:sz w:val="13"/>
                <w:szCs w:val="13"/>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EU Fenestration</w:t>
            </w:r>
          </w:p>
        </w:tc>
        <w:tc>
          <w:tcPr>
            <w:tcW w:w="18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NA Cabinet</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Unallocated Corp.</w:t>
            </w:r>
          </w:p>
        </w:tc>
        <w:tc>
          <w:tcPr>
            <w:tcW w:w="300" w:type="dxa"/>
            <w:vAlign w:val="bottom"/>
          </w:tcPr>
          <w:p>
            <w:pPr>
              <w:spacing w:after="0"/>
              <w:rPr>
                <w:sz w:val="13"/>
                <w:szCs w:val="13"/>
                <w:color w:val="auto"/>
              </w:rPr>
            </w:pPr>
          </w:p>
        </w:tc>
        <w:tc>
          <w:tcPr>
            <w:tcW w:w="9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Components</w:t>
            </w:r>
          </w:p>
        </w:tc>
        <w:tc>
          <w:tcPr>
            <w:tcW w:w="24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Borders>
              <w:top w:val="single" w:sz="8" w:color="CCEEFF"/>
            </w:tcBorders>
            <w:shd w:val="clear" w:color="auto" w:fill="CCEEFF"/>
          </w:tcPr>
          <w:p>
            <w:pPr>
              <w:spacing w:after="0"/>
              <w:rPr>
                <w:sz w:val="15"/>
                <w:szCs w:val="15"/>
                <w:color w:val="auto"/>
              </w:rPr>
            </w:pPr>
          </w:p>
        </w:tc>
        <w:tc>
          <w:tcPr>
            <w:tcW w:w="4260" w:type="dxa"/>
            <w:vAlign w:val="bottom"/>
            <w:tcBorders>
              <w:top w:val="single" w:sz="8" w:color="CCEEFF"/>
            </w:tcBorders>
            <w:gridSpan w:val="5"/>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color w:val="auto"/>
              </w:rPr>
              <w:t>Three Months Ended July 31, 2024</w:t>
            </w: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4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Net sales</w:t>
            </w:r>
          </w:p>
        </w:tc>
        <w:tc>
          <w:tcPr>
            <w:tcW w:w="1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170,258</w:t>
            </w:r>
          </w:p>
        </w:tc>
        <w:tc>
          <w:tcPr>
            <w:tcW w:w="1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59,617</w:t>
            </w:r>
          </w:p>
        </w:tc>
        <w:tc>
          <w:tcPr>
            <w:tcW w:w="1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51,448</w:t>
            </w: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280,345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6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Three Months Ended July 31, 2023</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177,081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67,889</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55,385</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16,150</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auto"/>
            </w:tcBorders>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Nine Months Ended July 31, 2024</w:t>
            </w:r>
          </w:p>
        </w:tc>
        <w:tc>
          <w:tcPr>
            <w:tcW w:w="1920" w:type="dxa"/>
            <w:vAlign w:val="bottom"/>
            <w:tcBorders>
              <w:bottom w:val="single" w:sz="8" w:color="CCEEFF"/>
            </w:tcBorders>
            <w:gridSpan w:val="2"/>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478,027</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165,637</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145,663</w:t>
            </w:r>
          </w:p>
        </w:tc>
        <w:tc>
          <w:tcPr>
            <w:tcW w:w="18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1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785,701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15,887</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7,705</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9,240</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6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Nine Months Ended July 31, 2023</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487,036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186,604</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163,577</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835,091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36,052</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(14,464)</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22,450</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260" w:type="dxa"/>
            <w:vAlign w:val="bottom"/>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As of July 31, 2024</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960" w:type="dxa"/>
            <w:vAlign w:val="bottom"/>
            <w:tcBorders>
              <w:top w:val="single" w:sz="8" w:color="CCEEFF"/>
            </w:tcBorders>
            <w:gridSpan w:val="4"/>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389,715</w:t>
            </w:r>
          </w:p>
        </w:tc>
        <w:tc>
          <w:tcPr>
            <w:tcW w:w="1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242,228</w:t>
            </w:r>
          </w:p>
        </w:tc>
        <w:tc>
          <w:tcPr>
            <w:tcW w:w="1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149,862</w:t>
            </w: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90,645</w:t>
            </w:r>
          </w:p>
        </w:tc>
        <w:tc>
          <w:tcPr>
            <w:tcW w:w="1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872,450</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auto"/>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As of October 31, 2023</w:t>
            </w:r>
          </w:p>
        </w:tc>
        <w:tc>
          <w:tcPr>
            <w:tcW w:w="2680" w:type="dxa"/>
            <w:vAlign w:val="bottom"/>
            <w:tcBorders>
              <w:bottom w:val="single" w:sz="8" w:color="CCEEFF"/>
            </w:tcBorders>
            <w:gridSpan w:val="3"/>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379,286</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239,333</w:t>
            </w: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158,824</w:t>
            </w:r>
          </w:p>
        </w:tc>
        <w:tc>
          <w:tcPr>
            <w:tcW w:w="18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53,700</w:t>
            </w:r>
          </w:p>
        </w:tc>
        <w:tc>
          <w:tcPr>
            <w:tcW w:w="1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831,143</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 in the carrying amount of goodwill by reportable business segment for the nine months ended July 31, 2024 (in thousands):</w:t>
      </w:r>
    </w:p>
    <w:p>
      <w:pPr>
        <w:spacing w:after="0" w:line="4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 Fenestration</w:t>
            </w:r>
          </w:p>
        </w:tc>
        <w:tc>
          <w:tcPr>
            <w:tcW w:w="100" w:type="dxa"/>
            <w:vAlign w:val="bottom"/>
          </w:tcPr>
          <w:p>
            <w:pPr>
              <w:spacing w:after="0"/>
              <w:rPr>
                <w:sz w:val="13"/>
                <w:szCs w:val="13"/>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EU Fenestration</w:t>
            </w: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 Cabinet Comp.</w:t>
            </w:r>
          </w:p>
        </w:tc>
        <w:tc>
          <w:tcPr>
            <w:tcW w:w="14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Unallocated Corp.</w:t>
            </w:r>
          </w:p>
        </w:tc>
        <w:tc>
          <w:tcPr>
            <w:tcW w:w="280" w:type="dxa"/>
            <w:vAlign w:val="bottom"/>
          </w:tcPr>
          <w:p>
            <w:pPr>
              <w:spacing w:after="0"/>
              <w:rPr>
                <w:sz w:val="13"/>
                <w:szCs w:val="13"/>
                <w:color w:val="auto"/>
              </w:rPr>
            </w:pPr>
          </w:p>
        </w:tc>
        <w:tc>
          <w:tcPr>
            <w:tcW w:w="96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October 31,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80,105</w:t>
            </w: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63,704</w:t>
            </w:r>
          </w:p>
        </w:tc>
        <w:tc>
          <w:tcPr>
            <w:tcW w:w="1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39,147</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182,956</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0" w:type="dxa"/>
            <w:vAlign w:val="bottom"/>
          </w:tcPr>
          <w:p>
            <w:pPr>
              <w:spacing w:after="0"/>
              <w:rPr>
                <w:sz w:val="1"/>
                <w:szCs w:val="1"/>
                <w:color w:val="auto"/>
              </w:rPr>
            </w:pPr>
          </w:p>
        </w:tc>
      </w:tr>
      <w:tr>
        <w:trPr>
          <w:trHeight w:val="248"/>
        </w:trPr>
        <w:tc>
          <w:tcPr>
            <w:tcW w:w="4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July 31, 2024</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80,105</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66,943</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39,147</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186,195</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further details of Goodwill, see Note 5, “Goodwill &amp; Intangible Assets,” located herewith.</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We did not allocate non-operating loss or income tax benefit to the reportable segments. The following table reconciles operating income as reported above to net income for the three and nine months ended July 31, 2024 and 2023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40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6"/>
                <w:szCs w:val="16"/>
                <w:color w:val="auto"/>
              </w:rPr>
            </w:pPr>
          </w:p>
        </w:tc>
      </w:tr>
      <w:tr>
        <w:trPr>
          <w:trHeight w:val="203"/>
        </w:trPr>
        <w:tc>
          <w:tcPr>
            <w:tcW w:w="5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40" w:type="dxa"/>
            <w:vAlign w:val="bottom"/>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860" w:type="dxa"/>
            <w:vAlign w:val="bottom"/>
          </w:tcPr>
          <w:p>
            <w:pPr>
              <w:spacing w:after="0"/>
              <w:rPr>
                <w:sz w:val="17"/>
                <w:szCs w:val="17"/>
                <w:color w:val="auto"/>
              </w:rPr>
            </w:pPr>
          </w:p>
        </w:tc>
      </w:tr>
      <w:tr>
        <w:trPr>
          <w:trHeight w:val="23"/>
        </w:trPr>
        <w:tc>
          <w:tcPr>
            <w:tcW w:w="5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52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23,442</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37,463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51,996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71,202</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(2,068)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(6,571)</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9,474</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10,520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(6,688)</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(4,099)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(10,103)</w:t>
            </w:r>
          </w:p>
        </w:tc>
      </w:tr>
      <w:tr>
        <w:trPr>
          <w:trHeight w:val="248"/>
        </w:trPr>
        <w:tc>
          <w:tcPr>
            <w:tcW w:w="5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25,350</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31,698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46,976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Earnings Per Share</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compute basic earnings per share by dividing net income by the weighted-average number of common shares outstanding during the period. Diluted earnings per common and potential common shares include the weighted-average of additional shares associated with the incremental effect of dilutive employee stock options, non-vested restricted stock as determined using the treasury stock method prescribed by U.S. GAAP and contingent shares associated with performance share awards, if dilutive.</w:t>
      </w:r>
    </w:p>
    <w:p>
      <w:pPr>
        <w:spacing w:after="0" w:line="11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Basic and diluted earnings per share for the three and nine months ended July 31, 2024 and 2023 were calculated as follows (in thousands, except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4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Borders>
              <w:top w:val="single" w:sz="8" w:color="CCEEFF"/>
            </w:tcBorders>
            <w:shd w:val="clear" w:color="auto" w:fill="CCEEFF"/>
          </w:tcPr>
          <w:p>
            <w:pPr>
              <w:spacing w:after="0"/>
              <w:rPr>
                <w:sz w:val="13"/>
                <w:szCs w:val="13"/>
                <w:color w:val="auto"/>
              </w:rPr>
            </w:pPr>
          </w:p>
        </w:tc>
        <w:tc>
          <w:tcPr>
            <w:tcW w:w="6480" w:type="dxa"/>
            <w:vAlign w:val="bottom"/>
            <w:tcBorders>
              <w:top w:val="single" w:sz="8" w:color="CCEEFF"/>
            </w:tcBorders>
            <w:gridSpan w:val="3"/>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color w:val="auto"/>
              </w:rPr>
              <w:t>Three Months Ended July 31, 2024</w:t>
            </w:r>
          </w:p>
        </w:tc>
        <w:tc>
          <w:tcPr>
            <w:tcW w:w="24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25,350</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32,876</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Effect of dilutive securities: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awards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4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25,350</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33,106</w:t>
            </w:r>
          </w:p>
        </w:tc>
        <w:tc>
          <w:tcPr>
            <w:tcW w:w="4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480" w:type="dxa"/>
            <w:vAlign w:val="bottom"/>
            <w:tcBorders>
              <w:top w:val="single" w:sz="8" w:color="CCEEFF"/>
              <w:bottom w:val="single" w:sz="8" w:color="CCEEFF"/>
            </w:tcBorders>
            <w:gridSpan w:val="3"/>
            <w:vMerge w:val="restart"/>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Three Months Ended July 31, 2023</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4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31,698</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32,716</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Effect of dilutive securities: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Restricted stock awards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31,698</w:t>
            </w:r>
          </w:p>
        </w:tc>
        <w:tc>
          <w:tcPr>
            <w:tcW w:w="2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32,919</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Borders>
              <w:bottom w:val="single" w:sz="8" w:color="CCEEFF"/>
            </w:tcBorders>
            <w:shd w:val="clear" w:color="auto" w:fill="CCEEFF"/>
          </w:tcPr>
          <w:p>
            <w:pPr>
              <w:spacing w:after="0"/>
              <w:rPr>
                <w:sz w:val="14"/>
                <w:szCs w:val="14"/>
                <w:color w:val="auto"/>
              </w:rPr>
            </w:pPr>
          </w:p>
        </w:tc>
        <w:tc>
          <w:tcPr>
            <w:tcW w:w="234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Nine Months Ended July 31, 2024</w:t>
            </w:r>
          </w:p>
        </w:tc>
        <w:tc>
          <w:tcPr>
            <w:tcW w:w="4140" w:type="dxa"/>
            <w:vAlign w:val="bottom"/>
            <w:tcBorders>
              <w:bottom w:val="single" w:sz="8" w:color="CCEEFF"/>
            </w:tcBorders>
            <w:gridSpan w:val="2"/>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46,976</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32,857</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Effect of dilutive securities: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awards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4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46,976</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33,087</w:t>
            </w:r>
          </w:p>
        </w:tc>
        <w:tc>
          <w:tcPr>
            <w:tcW w:w="4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480" w:type="dxa"/>
            <w:vAlign w:val="bottom"/>
            <w:tcBorders>
              <w:top w:val="single" w:sz="8" w:color="CCEEFF"/>
              <w:bottom w:val="single" w:sz="8" w:color="CCEEFF"/>
            </w:tcBorders>
            <w:gridSpan w:val="3"/>
            <w:vMerge w:val="restart"/>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Nine Months Ended July 31, 2023</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4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55,119</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32,841</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Effect of dilutive securities: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Restricted stock awards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55,119</w:t>
            </w:r>
          </w:p>
        </w:tc>
        <w:tc>
          <w:tcPr>
            <w:tcW w:w="2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33,031</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do not include equity instruments in our calculation of diluted earnings per share if those instruments would be anti-dilutive. We had zero and 1,364 of anti-dilutive restricted stock award equivalents for the three and nine months ended July 31, 2024, respectively, and no corresponding equivalents for the comparable prior year periods. Such dilution is dependent on the excess of the market price of our stock over the exercise price and other components of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New Accounting Guidance</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standards setting bodies that we adopt as of the specified effective date. We did not adopt any new accounting pronouncements during the three and nine months ended July 31,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“Segment Reporting (Topic 280): Improvements to Reportable Segment Disclosures,” which is intended to improve reportable segment disclosure requirements, primarily through enhanced disclosures about significant segment expenses. The guidance is effective for fiscal years beginning after December 15, 2023, and interim periods within fiscal years beginning after December 15, 2024 with early adoption is permitted. The guidance is to be applied retrospectively to all prior periods presented in the financial statements. We are currently evaluating the potential impact of adopting this new guidance on our consolidated financial statements and related disclosures.</w:t>
      </w:r>
    </w:p>
    <w:p>
      <w:pPr>
        <w:spacing w:after="0" w:line="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“Income Taxes (Topic 740): Improvements to Income Tax Disclosures,” which includes updates to the income tax disclosures related to the rate reconciliation and disaggregation of income taxes paid by jurisdiction. The amendments are effective for fiscal years beginning after December 15, 2024 with early adoption permitted. The amendments should be applied prospectively, however retrospective application is permitted. We are currently evaluating the potential impact of adopting this new guidance on our consolidated financial statements and related disclosures.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August 1, 2024, we completed the Tyman Acquisition of Tyman plc, a company incorporated in England and Wales (“Tyman”). The aggregate consideration due pursuant to the Tyman Acquisition at closing comprised of 14,139,477 newly issued Quanex common shares (“New Quanex Shares”) and cash consideration of approximately $504.1 million (being the Pound Sterling amount of cash consideration of £392.2 million in respect of all of the Tyman Shares converted to U.S. Dollars at an exchange rate of 1.2855). New Quanex Shares issued in connection with the Tyman Acquisition on the New York Stock Exchange took effect on August 2, 2024 and Tyman’s shares on the London Stock Exchange were canceled.</w:t>
      </w:r>
    </w:p>
    <w:p>
      <w:pPr>
        <w:spacing w:after="0" w:line="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June 12, 2024, in connection with the Tyman Acquisition, the Company, Wells Fargo Bank, National Association (“Wells Fargo Bank”, acting as agent, swingline lender and issuing lender, the “Agent”), the other entities therein specified in the capacities therein specified, and the lenders parties thereto, entered into an amendment to the Second Amended and Restated Credit Agreement, dated as of July 6, 2022 (the “Existing Credit Agreement”, and the Existing Credit Agreement as so amended, the “Amended Credit Agreement”). The Amended Credit Agreement did not become effective until August 1, 2024 upon the completion of the Tyman Acquisition.</w:t>
      </w:r>
    </w:p>
    <w:p>
      <w:pPr>
        <w:spacing w:after="0" w:line="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Amended Credit Agreement will (i) increase the senior secured revolving credit facility to an aggregate principal amount of $475 million (the “Revolving Credit Facility”) and (ii) provide for a senior secured term loan A facility in an aggregate principal amount of $500 million (the “Term A Facility” and together with the Revolving Credit Facility, the “Facilities”). The Revolving Credit Facility will include alternative currency, letter of credit, and swing-line sub-facilities of $100 million, $30 million, and $15 million, respectively. The maturity date of the Facilities will be five years after the acquisition effective date, maturing on August 1, 2029.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 xml:space="preserve">Certain of the statements contained in this document and in documents incorporated by reference herein, including those made under the caption </w:t>
      </w:r>
      <w:r>
        <w:rPr>
          <w:rFonts w:ascii="Times New Roman" w:cs="Times New Roman" w:eastAsia="Times New Roman" w:hAnsi="Times New Roman"/>
          <w:sz w:val="18"/>
          <w:szCs w:val="18"/>
          <w:i w:val="1"/>
          <w:iCs w:val="1"/>
          <w:color w:val="auto"/>
        </w:rPr>
        <w:t xml:space="preserve">“Management’s Discussion and Analysis of Financial Condition and Results of Operations” </w:t>
      </w:r>
      <w:r>
        <w:rPr>
          <w:rFonts w:ascii="Times New Roman" w:cs="Times New Roman" w:eastAsia="Times New Roman" w:hAnsi="Times New Roman"/>
          <w:sz w:val="18"/>
          <w:szCs w:val="18"/>
          <w:color w:val="auto"/>
        </w:rPr>
        <w:t>include “forward-looking” statements as defined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Private Securities Litigation Reform Act of 1995. Generally, the words “expect,” “believe,” “intend,” “estimate,” “anticipate,” “project,” “will,” and similar expressions identify forward-looking statements, which generally are not historical in nature. Forward-looking statements are statements as to matters that are not historical facts, and include statements about our plans, objectives, expectations and intentions, including (1) all statements which address future operating performance, (2) events or developments that we expect or anticipate will occur in the future, including statements relating to the Tyman Acquisition and statements relating to volume, sales, operating income, and earnings per share, and (3) statements expressing general outlook about future operating results. Forward-looking statements also include any statements relating to future capital expenditures, expenses, revenues, economic performance, financial conditions, dividend policy, losses, future prospects or business or management strategies, and the expansion and/or growth of the operations of the Company. Forward-looking statements are subject to certain risks and uncertainties that could cause actual results to differ materially from our historical experience and our current projections or expectations. As and when made, we believe that the assumptions and expectations reflected in such forward-looking statements are reasonable, provided, that we cannot give any assurance that such expectations will prove to be correct. However, caution should be taken not to place undue reliance on any such forward-looking statements since such statements speak only as of the date when made and there can be no assurance that such forward-looking statements will occur. We are not obligated to publicly update or revise any forward-looking statements, whether as a result of new information, future events or otherwise. Factors that could cause actual results to differ materially from those expressed or implied by the forward-looking statements include, but are not limited to the following:</w:t>
      </w:r>
    </w:p>
    <w:p>
      <w:pPr>
        <w:spacing w:after="0" w:line="33" w:lineRule="exact"/>
        <w:rPr>
          <w:sz w:val="20"/>
          <w:szCs w:val="20"/>
          <w:color w:val="auto"/>
        </w:rPr>
      </w:pPr>
    </w:p>
    <w:p>
      <w:pPr>
        <w:ind w:left="660" w:hanging="166"/>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public health issues (including pandemics, such as the COVID-19 pandemic and quarantines) on the economy, demand for our products or our operations, including the responses of governmental authorities to contain such public health issues;</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and implement our plans, forecasts, and other expectations with respect to Tyman;</w:t>
      </w:r>
    </w:p>
    <w:p>
      <w:pPr>
        <w:spacing w:after="0" w:line="63"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conditions, particularly in the new home construction, and residential remodeling and replacement (R&amp;R) activity markets in the United States, United Kingdom, Germany and elsewhere;</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non-pass-through raw material costs;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international economic conditions;</w:t>
      </w:r>
    </w:p>
    <w:p>
      <w:pPr>
        <w:spacing w:after="0" w:line="63" w:lineRule="exact"/>
        <w:rPr>
          <w:rFonts w:ascii="Times New Roman" w:cs="Times New Roman" w:eastAsia="Times New Roman" w:hAnsi="Times New Roman"/>
          <w:sz w:val="18"/>
          <w:szCs w:val="18"/>
          <w:color w:val="auto"/>
        </w:rPr>
      </w:pPr>
    </w:p>
    <w:p>
      <w:pPr>
        <w:ind w:left="660" w:right="20" w:hanging="166"/>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and prices of raw material including inflationary pressures and supply chain challenges, which could be exacerbated by political or global unrest such as the current military conflicts in Ukraine and Gaza;</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skilled labor;</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purchases by our principal customers;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internal operating plans and acquisition strategies;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plans with respect to information technology (IT) systems and processes;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and increase profitability;</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environmental laws and regulations;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warranty obligations;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energy costs and the availability of energy;</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interpretations thereof;</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facilities and remain in good standing with our lenders;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or applicability of our insurance coverage;</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good relationships with our suppliers, subcontractors, and key customers; and</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of litigation and other 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right="20" w:firstLine="445"/>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on additional factors that could cause actual results to differ materially, please refer to the section entitled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in our Annual Report on Form 10-K for the fiscal year ended October 31, 2023.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Third-Party Information</w:t>
      </w:r>
    </w:p>
    <w:p>
      <w:pPr>
        <w:spacing w:after="0" w:line="16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this report, we rely on and refer to information regarding industry data obtained from market research, publicly available information, industry publications, U.S. government sources and other third parties. Although we believe this information is reliable, we cannot guarantee the accuracy or completeness of the information and have not independently verified it.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Management’s Discussion and Analysis of Financial Condition and Results of Operations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accompanying unaudited condensed consolidated financial statements and related notes as of July 31, 2024, and for the three and nine months ended July 31, 2024 and 2023, included elsewhere herein. For additional information pertaining to our business, including risk factors which should be considered before investing in our common stock, refer to our Annual Report on Form 10-K for the fiscal year ended October 31, 2023.</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manufacture components for original equipment manufacturers (OEMs) in the building products industry.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We also manufacture cabinet doors and other components for OEMs in the kitchen and bathroom cabinet industry. In addition, we provide certain other non-fenestration components and products, which include custom mixing, solar panel sealants, trim moldings, vinyl decking, vinyl fencing, customized compounds, water retention barriers, and conservatory roof components. We use low-cost, short lead-time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U.K., and also serve customers in international markets through our operating plants in the U.K. and Germany, as well as through sales and marketing efforts in other countries.</w:t>
      </w:r>
    </w:p>
    <w:p>
      <w:pPr>
        <w:spacing w:after="0" w:line="134"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color w:val="auto"/>
        </w:rPr>
        <w:t>We continue to invest in organic growth initiatives and we intend to continue evaluating business acquisitions that allow us to expand our existing fenestration and cabinet component footprint, enhance our product offerings, provide new complementary technology, enhance our leadership position within the markets we serve and expand into new markets or service lines. We have disposed of non-core businesses in the past, and continue to evaluate our business portfolio to ensure that we are investing in markets where we believe there is potential future growth.</w:t>
      </w:r>
    </w:p>
    <w:p>
      <w:pPr>
        <w:spacing w:after="0" w:line="12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currently have three reportable business segments: (1) North American Fenestration segment (“NA Fenestration”), comprising four operating segments, manufacturing vinyl profiles, IG spacers, screens, custom compound mixing, and other fenestration components; (2) European Fenestration segment (“EU Fenestration”), comprising our U.K.-based vinyl extrusion business, manufacturing vinyl profiles and conservatories, and the European insulating glass business manufacturing IG spacers; and (3) North American Cabinet Components segment (“NA Cabinet Components”), comprising our North American cabinet door and components business and two wood-manufacturing plants. We maintain a grouping called Unallocated Corporate &amp; Other, which includes transaction expenses, stock-based compensation, long-term incentive awards based on the performance of our common stock and other factors, certain severance, legal, and other costs not deemed to be allocable to all segments, depreciation of corporate assets, interest expense, other, net, income taxes and inter-segment eliminations, and executive incentive compensation and medical expense fluctuations relative to planned costs as determined during the annual planning process. Other corporate general and administrative costs have been allocated to the reportable business segments, based upon a relative measure of profitability in order to more accurately reflect each reportable business segment's administrative costs. We allocate corporate expenses to businesses acquired mid-year from the date of acquisition. The accounting policies of our operating segments are the same as those used to prepare our accompanying condensed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Transactions and Events</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August 1, 2024, we completed our Tyman Acquisition of Tyman plc, a company incorporated in England and Wales (“Tyman”). The aggregate consideration due pursuant to the Tyman Acquisition at closing comprised of 14,139,477 New Quanex Shares and cash consideration of approximately $504.1 million (being the Pound Sterling amount of cash consideration of £392.2 million in respect of all of the Tyman Shares converted to U.S. Dollars at an exchange rate of 1.2855). New Quanex Shares issued in connection with the Tyman Acquisition on the New York Stock Exchange took effect on August 2, 2024 and Tyman’s shares on the London Stock Exchange were canceled.</w:t>
      </w:r>
    </w:p>
    <w:p>
      <w:pPr>
        <w:spacing w:after="0" w:line="1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November 1, 2022, we entered into an Asset Purchase Agreement with LMI and the equity owners of LMI, Lauren International, Ltd. and Meteor-US-Beteiligungs GMBH. Under the Asset Purchase Agreement, we acquired substantially all of the operating assets comprising LMI’s polymer mixing and rubber compound production business and also agreed to assume certain liabilities. As consideration for the Purchased Assets, we paid $91.3 million in cash utilizing funds borrowed under our Credit Facility. In connection with the LMI Acquisition, we amended our existing finance lease with Lauren Real Estate Holding LLC for the purpose of adding an additional lease renewal option and increasing rental space by approximately 60,000 square feet of rental space which was added to the 313,595 square feet of rentable area located in Cambridge, Ohio.</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following the escalation of geopolitical tensions and the military conflicts currently ongoing in Ukraine and Gaza. Although the length and impact of these ongoing military conflicts are highly unpredictable, the conflicts could lead to market or operational disruptions, including significant volatility in commodity prices, credit and capital markets, as well as supply chain interruptions. Russia, Europe’s largest provider of natural gas, has significantly reduced the export of natural gas compared to the beginning of the conflict resulting in the increase in natural gas prices and the potential for natural gas shortages. In addition, one of the suppliers of a vapor barrier used in the production of our insulating glass spacers is located in Israel and may experience a disruption as a result of the ongoing conflict in Gaza. If these trends continues, this would not only negatively impact our European manufacturing facilities, this may also impact our customers and their demand for our products. We continue to monitor these situations and their impact on our business.</w:t>
      </w:r>
    </w:p>
    <w:p>
      <w:pPr>
        <w:spacing w:after="0" w:line="13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conflicts in Ukraine and Gaza and their impacts on the global economy, including inflation and the price of raw materials, supply chain disruptions, and the volatility in interest rates including home mortgage rates, are unpredictable and there may be developments outside our control requiring us to adjust our operating plan.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Overview and Outlook</w:t>
      </w:r>
    </w:p>
    <w:p>
      <w:pPr>
        <w:spacing w:after="0" w:line="16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believe the primary drivers of our operating results continue to be North American new home construction and residential remodeling and replacement (R&amp;R) activity. We believe that housing starts and window shipments are indicators of activity levels in the homebuilding and window industries, and we use this data, as published by or derived from third-party sources, to evaluate the market. We have evaluated the market using data from the National Association of Homebuilders (NAHB) with regard to housing starts, and published reports by Ducker Worldwide, LLC (Ducker), a consulting and research firm, with regard to window shipments in the U.S. We obtain market data from Catalina Research, a consulting and research firm, for insight into the U.S. residential wood cabinet demand.</w:t>
      </w:r>
    </w:p>
    <w:p>
      <w:pPr>
        <w:spacing w:after="0" w:line="10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In July </w:t>
      </w:r>
      <w:r>
        <w:rPr>
          <w:rFonts w:ascii="Times New Roman" w:cs="Times New Roman" w:eastAsia="Times New Roman" w:hAnsi="Times New Roman"/>
          <w:sz w:val="16"/>
          <w:szCs w:val="16"/>
          <w:color w:val="auto"/>
        </w:rPr>
        <w:t>2024</w:t>
      </w:r>
      <w:r>
        <w:rPr>
          <w:rFonts w:ascii="Times New Roman" w:cs="Times New Roman" w:eastAsia="Times New Roman" w:hAnsi="Times New Roman"/>
          <w:sz w:val="18"/>
          <w:szCs w:val="18"/>
          <w:color w:val="auto"/>
        </w:rPr>
        <w:t xml:space="preserve">, the NAHB forecasted calendar-year housing starts to be approximately 1.3 million, 1.4 million and 1.5 million in the 2024, 2025 and 2026 calendar-years, respectively. In August </w:t>
      </w:r>
      <w:r>
        <w:rPr>
          <w:rFonts w:ascii="Times New Roman" w:cs="Times New Roman" w:eastAsia="Times New Roman" w:hAnsi="Times New Roman"/>
          <w:sz w:val="16"/>
          <w:szCs w:val="16"/>
          <w:color w:val="auto"/>
        </w:rPr>
        <w:t>2024</w:t>
      </w:r>
      <w:r>
        <w:rPr>
          <w:rFonts w:ascii="Times New Roman" w:cs="Times New Roman" w:eastAsia="Times New Roman" w:hAnsi="Times New Roman"/>
          <w:sz w:val="18"/>
          <w:szCs w:val="18"/>
          <w:color w:val="auto"/>
        </w:rPr>
        <w:t>, the Ducker forecast indicated that total window shipments are expected to decrease 3.3% in calendar-year 2024 and increase 3.1% in 2025.</w:t>
      </w:r>
    </w:p>
    <w:p>
      <w:pPr>
        <w:spacing w:after="0" w:line="10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Several commodities in our business are subject to pricing fluctuations, including polyvinyl resin (PVC), titanium dioxide (TiO2), petroleum products, aluminum and wood. For the majority of our customers and critical suppliers, we have price adjusters in place which effectively share the impact of pass-through price changes for our primary commodities with our customers commensurate with the market at large. Our long-term exposure to these price fluctuations is somewhat mitigated due to the contractual component of the adjuster programs. However, these adjusters are not in place with all customers and for all commodities, and there is a level of exposure to such volatility due to the lag associated with the timing of price updates in accordance with our customer agreements, particularly with regard to hardwoods. In addition, some of these commodities are in high demand, particularly in Europe, which can affect the cost of the raw materials, a portion of which we may not be able to fully recover.</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global economy remains uncertain due to currency devaluations, political unrest, terror threats, global pandemics such as COVID-19, and even the political landscape in the U.S. These and other macro-economic factors have impacted the global financial markets, which may have contributed to significant changes in foreign currencies. We continue to monitor our exposure to changes in exchange rates.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July 31, 2024 Compared to Three Months Ended July 31,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7"/>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Three Months Ended July 31,</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4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gridSpan w:val="7"/>
          </w:tcPr>
          <w:p>
            <w:pPr>
              <w:jc w:val="right"/>
              <w:ind w:right="860"/>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280,345</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299,640</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(19,295)</w:t>
            </w: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209,441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221,065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(11,624)</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10,953</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10,596</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37,463</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(14,021)</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9,072</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(6,688)</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0" w:type="dxa"/>
            <w:vAlign w:val="bottom"/>
            <w:tcBorders>
              <w:top w:val="single" w:sz="8" w:color="CCEEFF"/>
              <w:bottom w:val="single" w:sz="8" w:color="CCEEFF"/>
            </w:tcBorders>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Our period-over-period results by reportable segment follow.</w:t>
            </w: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0" w:type="dxa"/>
            <w:vAlign w:val="bottom"/>
          </w:tcPr>
          <w:p>
            <w:pPr>
              <w:spacing w:after="0"/>
              <w:rPr>
                <w:sz w:val="24"/>
                <w:szCs w:val="24"/>
                <w:color w:val="auto"/>
              </w:rPr>
            </w:pPr>
          </w:p>
        </w:tc>
        <w:tc>
          <w:tcPr>
            <w:tcW w:w="54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Related to Operating Income by Reportable Segment: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NA Fenestration</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4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Three Months Ended July 31,</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gridSpan w:val="7"/>
          </w:tcPr>
          <w:p>
            <w:pPr>
              <w:jc w:val="right"/>
              <w:ind w:right="900"/>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CCEEFF"/>
            </w:tcBorders>
          </w:tcPr>
          <w:p>
            <w:pPr>
              <w:spacing w:after="0"/>
              <w:rPr>
                <w:sz w:val="20"/>
                <w:szCs w:val="20"/>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170,258</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177,081</w:t>
            </w:r>
          </w:p>
        </w:tc>
        <w:tc>
          <w:tcPr>
            <w:tcW w:w="10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(6,823)</w:t>
            </w:r>
          </w:p>
        </w:tc>
        <w:tc>
          <w:tcPr>
            <w:tcW w:w="14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130,301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135,126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(4,825)</w:t>
            </w:r>
          </w:p>
        </w:tc>
        <w:tc>
          <w:tcPr>
            <w:tcW w:w="14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5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16,918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2,664</w:t>
            </w:r>
          </w:p>
        </w:tc>
        <w:tc>
          <w:tcPr>
            <w:tcW w:w="14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19%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0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5,194</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w:t>
            </w:r>
          </w:p>
        </w:tc>
        <w:tc>
          <w:tcPr>
            <w:tcW w:w="1400" w:type="dxa"/>
            <w:vAlign w:val="bottom"/>
            <w:tcBorders>
              <w:bottom w:val="single" w:sz="8" w:color="CCEEFF"/>
            </w:tcBorders>
          </w:tcPr>
          <w:p>
            <w:pPr>
              <w:jc w:val="center"/>
              <w:ind w:left="32"/>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48"/>
        </w:trPr>
        <w:tc>
          <w:tcPr>
            <w:tcW w:w="40" w:type="dxa"/>
            <w:vAlign w:val="bottom"/>
            <w:tcBorders>
              <w:right w:val="single" w:sz="8" w:color="CCEEFF"/>
            </w:tcBorders>
          </w:tcPr>
          <w:p>
            <w:pPr>
              <w:spacing w:after="0"/>
              <w:rPr>
                <w:sz w:val="21"/>
                <w:szCs w:val="21"/>
                <w:color w:val="auto"/>
              </w:rPr>
            </w:pPr>
          </w:p>
        </w:tc>
        <w:tc>
          <w:tcPr>
            <w:tcW w:w="5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17,845</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22,668</w:t>
            </w:r>
          </w:p>
        </w:tc>
        <w:tc>
          <w:tcPr>
            <w:tcW w:w="10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(4,823)</w:t>
            </w:r>
          </w:p>
        </w:tc>
        <w:tc>
          <w:tcPr>
            <w:tcW w:w="1400" w:type="dxa"/>
            <w:vAlign w:val="bottom"/>
            <w:tcBorders>
              <w:bottom w:val="single" w:sz="8" w:color="CCEEFF"/>
            </w:tcBorders>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7"/>
              </w:rPr>
              <w:t>(21)%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income margin</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Pr>
          <w:p>
            <w:pPr>
              <w:spacing w:after="0"/>
              <w:rPr>
                <w:sz w:val="18"/>
                <w:szCs w:val="18"/>
                <w:color w:val="auto"/>
              </w:rPr>
            </w:pPr>
          </w:p>
        </w:tc>
        <w:tc>
          <w:tcPr>
            <w:tcW w:w="54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decreased $6.8 million, or 4%, for the three months ended July 31, 2024 compared to the same period in 2023,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a $8.8 million decrease in volumes due to softer market demand driven by weaker consumer confidence partially offset by an increase in price and raw material indexes of $2.0 million.</w:t>
      </w:r>
    </w:p>
    <w:p>
      <w:pPr>
        <w:spacing w:after="0" w:line="106"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The cost of sales decreased $4.8 million, or 4%, for the three months ended July 31, 2024 compared to the same period in 2023.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sales decreased primarily due to decrease in volumes partially offset by pricing and inflation of raw materials during the period.</w:t>
      </w:r>
    </w:p>
    <w:p>
      <w:pPr>
        <w:spacing w:after="0" w:line="77" w:lineRule="exact"/>
        <w:rPr>
          <w:sz w:val="20"/>
          <w:szCs w:val="20"/>
          <w:color w:val="auto"/>
        </w:rPr>
      </w:pPr>
    </w:p>
    <w:p>
      <w:pPr>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Selling, General and Administrative. S</w:t>
      </w:r>
      <w:r>
        <w:rPr>
          <w:rFonts w:ascii="Times New Roman" w:cs="Times New Roman" w:eastAsia="Times New Roman" w:hAnsi="Times New Roman"/>
          <w:sz w:val="18"/>
          <w:szCs w:val="18"/>
          <w:color w:val="auto"/>
        </w:rPr>
        <w:t>elling, general and administrative expenses increased $2.7 million, or 19%, for the three months ended July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compared to the same period in 2023. The increase is primarily due to increases in labor costs and professional fees year-over-year.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EU Fenestration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Three Months Ended July 31,</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176"/>
        </w:trPr>
        <w:tc>
          <w:tcPr>
            <w:tcW w:w="5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40" w:type="dxa"/>
            <w:vAlign w:val="bottom"/>
            <w:gridSpan w:val="4"/>
          </w:tcPr>
          <w:p>
            <w:pPr>
              <w:jc w:val="right"/>
              <w:ind w:right="813"/>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59,617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67,889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(8,272)</w:t>
            </w:r>
          </w:p>
        </w:tc>
        <w:tc>
          <w:tcPr>
            <w:tcW w:w="140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36,930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41,266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140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7"/>
              </w:rPr>
              <w:t>(11)%</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7,390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8,039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40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2,609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2,434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00" w:type="dxa"/>
            <w:vAlign w:val="bottom"/>
            <w:tcBorders>
              <w:bottom w:val="single" w:sz="8" w:color="CCEEFF"/>
            </w:tcBorders>
          </w:tcPr>
          <w:p>
            <w:pPr>
              <w:jc w:val="center"/>
              <w:ind w:left="33"/>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12,688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16,150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1400" w:type="dxa"/>
            <w:vAlign w:val="bottom"/>
            <w:tcBorders>
              <w:bottom w:val="single" w:sz="8" w:color="CCEEFF"/>
            </w:tcBorders>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decreased $8.3 million, or 12%, for the three months ended July 31, 2024 compared to the same period in 2023,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a $5.6 million decrease in volumes largely due to softer market demand driven by weaker consumer confidence, $1.8 million of base price decreases and $0.9 million of foreign currency rate change.</w:t>
      </w:r>
    </w:p>
    <w:p>
      <w:pPr>
        <w:spacing w:after="0" w:line="106"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The cost of sales decreased $4.3 million, or 11%, for the three months ended July 31, 2024 compared to the same period in 2023.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sales decreased primarily due to lower volumes, the deflation of the price of raw materials and foreign currency rate changes during the period.</w:t>
      </w:r>
    </w:p>
    <w:p>
      <w:pPr>
        <w:spacing w:after="0" w:line="77" w:lineRule="exact"/>
        <w:rPr>
          <w:sz w:val="20"/>
          <w:szCs w:val="20"/>
          <w:color w:val="auto"/>
        </w:rPr>
      </w:pPr>
    </w:p>
    <w:p>
      <w:pPr>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 decreased $0.6 million, or 8%, for the three months ended July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compared to the same period in 2023. The decrease is primarily due to a decrease in labor costs and a decrease in professional fees year-over-year.</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 Cabinet Components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Three Months Ended July 31,</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Variance %</w:t>
            </w:r>
          </w:p>
        </w:tc>
        <w:tc>
          <w:tcPr>
            <w:tcW w:w="0" w:type="dxa"/>
            <w:vAlign w:val="bottom"/>
          </w:tcPr>
          <w:p>
            <w:pPr>
              <w:spacing w:after="0"/>
              <w:rPr>
                <w:sz w:val="1"/>
                <w:szCs w:val="1"/>
                <w:color w:val="auto"/>
              </w:rPr>
            </w:pPr>
          </w:p>
        </w:tc>
      </w:tr>
      <w:tr>
        <w:trPr>
          <w:trHeight w:val="176"/>
        </w:trPr>
        <w:tc>
          <w:tcPr>
            <w:tcW w:w="5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40" w:type="dxa"/>
            <w:vAlign w:val="bottom"/>
            <w:gridSpan w:val="4"/>
          </w:tcPr>
          <w:p>
            <w:pPr>
              <w:jc w:val="right"/>
              <w:ind w:right="813"/>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51,448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55,385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w:t>
            </w:r>
          </w:p>
        </w:tc>
        <w:tc>
          <w:tcPr>
            <w:tcW w:w="140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29"/>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42,911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44,935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40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5,162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5,095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3,093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3,084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0" w:type="dxa"/>
            <w:vAlign w:val="bottom"/>
            <w:tcBorders>
              <w:bottom w:val="single" w:sz="8" w:color="CCEEFF"/>
            </w:tcBorders>
          </w:tcPr>
          <w:p>
            <w:pPr>
              <w:jc w:val="center"/>
              <w:ind w:lef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2,271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400" w:type="dxa"/>
            <w:vAlign w:val="bottom"/>
            <w:tcBorders>
              <w:bottom w:val="single" w:sz="8" w:color="CCEEFF"/>
            </w:tcBorders>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decreased $3.9 million, or 7%, for the three months ended July 31, 2024 compared to the same period in 2023, which was driven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a $4.6 million decrease in volumes due to softer market demand driven by weaker consumer confidence partially offset by a $0.7 million increase in price and raw material surcharges.</w:t>
      </w:r>
    </w:p>
    <w:p>
      <w:pPr>
        <w:spacing w:after="0" w:line="106" w:lineRule="exact"/>
        <w:rPr>
          <w:sz w:val="20"/>
          <w:szCs w:val="20"/>
          <w:color w:val="auto"/>
        </w:rPr>
      </w:pPr>
    </w:p>
    <w:p>
      <w:pPr>
        <w:jc w:val="both"/>
        <w:ind w:right="2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decreased $2.0 million, or 5%, for the three months ended July 31, 2024 compared to the same period in 2023. Cost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decreased primarily due to lower volumes partially offset by lumber price inflation during the period.</w:t>
      </w:r>
    </w:p>
    <w:p>
      <w:pPr>
        <w:spacing w:after="0" w:line="91"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Selling, general and administrative expense remained flat for the three months ended July 31, 2024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in 2023.</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Unallocated Corporate &amp; Other</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Three Months Ended July 31,</w:t>
            </w:r>
          </w:p>
        </w:tc>
        <w:tc>
          <w:tcPr>
            <w:tcW w:w="1420" w:type="dxa"/>
            <w:vAlign w:val="bottom"/>
            <w:tcBorders>
              <w:bottom w:val="single" w:sz="8" w:color="auto"/>
            </w:tcBorders>
          </w:tcPr>
          <w:p>
            <w:pPr>
              <w:spacing w:after="0"/>
              <w:rPr>
                <w:sz w:val="18"/>
                <w:szCs w:val="18"/>
                <w:color w:val="auto"/>
              </w:rPr>
            </w:pPr>
          </w:p>
        </w:tc>
      </w:tr>
      <w:tr>
        <w:trPr>
          <w:trHeight w:val="211"/>
        </w:trPr>
        <w:tc>
          <w:tcPr>
            <w:tcW w:w="5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Variance %</w:t>
            </w:r>
          </w:p>
        </w:tc>
      </w:tr>
      <w:tr>
        <w:trPr>
          <w:trHeight w:val="176"/>
        </w:trPr>
        <w:tc>
          <w:tcPr>
            <w:tcW w:w="5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20" w:type="dxa"/>
            <w:vAlign w:val="bottom"/>
            <w:gridSpan w:val="4"/>
          </w:tcPr>
          <w:p>
            <w:pPr>
              <w:jc w:val="right"/>
              <w:ind w:right="693"/>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20" w:type="dxa"/>
            <w:vAlign w:val="bottom"/>
          </w:tcPr>
          <w:p>
            <w:pPr>
              <w:spacing w:after="0"/>
              <w:rPr>
                <w:sz w:val="15"/>
                <w:szCs w:val="15"/>
                <w:color w:val="auto"/>
              </w:rPr>
            </w:pPr>
          </w:p>
        </w:tc>
      </w:tr>
      <w:tr>
        <w:trPr>
          <w:trHeight w:val="23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42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6"/>
              </w:rPr>
              <w:t>37%</w:t>
            </w:r>
          </w:p>
        </w:tc>
      </w:tr>
      <w:tr>
        <w:trPr>
          <w:trHeight w:val="230"/>
        </w:trPr>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42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9"/>
              </w:rPr>
              <w:t>168%</w:t>
            </w:r>
          </w:p>
        </w:tc>
      </w:tr>
      <w:tr>
        <w:trPr>
          <w:trHeight w:val="229"/>
        </w:trPr>
        <w:tc>
          <w:tcPr>
            <w:tcW w:w="5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142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125%</w:t>
            </w:r>
          </w:p>
        </w:tc>
      </w:tr>
      <w:tr>
        <w:trPr>
          <w:trHeight w:val="229"/>
        </w:trPr>
        <w:tc>
          <w:tcPr>
            <w:tcW w:w="5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20" w:type="dxa"/>
            <w:vAlign w:val="bottom"/>
            <w:tcBorders>
              <w:bottom w:val="single" w:sz="8" w:color="CCEEFF"/>
            </w:tcBorders>
          </w:tcPr>
          <w:p>
            <w:pPr>
              <w:jc w:val="center"/>
              <w:ind w:left="13"/>
              <w:spacing w:after="0"/>
              <w:rPr>
                <w:sz w:val="20"/>
                <w:szCs w:val="20"/>
                <w:color w:val="auto"/>
              </w:rPr>
            </w:pPr>
            <w:r>
              <w:rPr>
                <w:rFonts w:ascii="Times New Roman" w:cs="Times New Roman" w:eastAsia="Times New Roman" w:hAnsi="Times New Roman"/>
                <w:sz w:val="18"/>
                <w:szCs w:val="18"/>
                <w:color w:val="auto"/>
                <w:w w:val="96"/>
              </w:rPr>
              <w:t>27%</w:t>
            </w: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1420" w:type="dxa"/>
            <w:vAlign w:val="bottom"/>
            <w:tcBorders>
              <w:bottom w:val="single" w:sz="8" w:color="CCEEFF"/>
            </w:tcBorders>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103%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169"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for Unallocated Corporate &amp; Other represents the elimination of inter-segment sales for the three months ended July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2023.</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for Unallocated Corporate &amp; Other consists of the elimination of inter-segment sales, profit in inventory, and other costs.</w:t>
      </w:r>
    </w:p>
    <w:p>
      <w:pPr>
        <w:spacing w:after="0" w:line="17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Selling, general and administrative expenses increased $3.9 million, or 125%,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July 31, 2024 compared to the same period in 2023. This increase is primarily attributable to a $5.6 increase in transaction and advisory fees partially offset by lower compensation expense including the valuations of our stock-based compensation awards during the three months ended July 31, 2024 as compared to the prior year period.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related to Non-Operating Items:</w:t>
      </w:r>
    </w:p>
    <w:p>
      <w:pPr>
        <w:spacing w:after="0" w:line="52" w:lineRule="exact"/>
        <w:rPr>
          <w:sz w:val="20"/>
          <w:szCs w:val="20"/>
          <w:color w:val="auto"/>
        </w:rPr>
      </w:pPr>
    </w:p>
    <w:p>
      <w:pPr>
        <w:jc w:val="both"/>
        <w:ind w:firstLine="445"/>
        <w:spacing w:after="0" w:line="268"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decreased $1.2 million for the three months ended July 31, 2024 compared to the same period in 2023 as a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borrowings outstanding during the three months ended July 31, 2024 as compared to the prior year period.</w:t>
      </w:r>
    </w:p>
    <w:p>
      <w:pPr>
        <w:spacing w:after="0" w:line="105" w:lineRule="exact"/>
        <w:rPr>
          <w:sz w:val="20"/>
          <w:szCs w:val="20"/>
          <w:color w:val="auto"/>
        </w:rPr>
      </w:pPr>
    </w:p>
    <w:p>
      <w:pPr>
        <w:jc w:val="both"/>
        <w:ind w:firstLine="445"/>
        <w:spacing w:after="0" w:line="251"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recorded income tax expense of $6.7 million on pre-tax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6"/>
          <w:szCs w:val="16"/>
          <w:color w:val="auto"/>
        </w:rPr>
        <w:t>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$32.0 million for the three months ended July 31, 2024,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effective rate of 20.9%, and income tax </w:t>
      </w:r>
      <w:r>
        <w:rPr>
          <w:rFonts w:ascii="Times New Roman" w:cs="Times New Roman" w:eastAsia="Times New Roman" w:hAnsi="Times New Roman"/>
          <w:sz w:val="16"/>
          <w:szCs w:val="16"/>
          <w:color w:val="auto"/>
        </w:rPr>
        <w:t>expense</w:t>
      </w:r>
      <w:r>
        <w:rPr>
          <w:rFonts w:ascii="Times New Roman" w:cs="Times New Roman" w:eastAsia="Times New Roman" w:hAnsi="Times New Roman"/>
          <w:sz w:val="18"/>
          <w:szCs w:val="18"/>
          <w:color w:val="auto"/>
        </w:rPr>
        <w:t xml:space="preserve"> of $4.1 million on pre-tax </w:t>
      </w:r>
      <w:r>
        <w:rPr>
          <w:rFonts w:ascii="Times New Roman" w:cs="Times New Roman" w:eastAsia="Times New Roman" w:hAnsi="Times New Roman"/>
          <w:sz w:val="16"/>
          <w:szCs w:val="16"/>
          <w:color w:val="auto"/>
        </w:rPr>
        <w:t>income</w:t>
      </w:r>
      <w:r>
        <w:rPr>
          <w:rFonts w:ascii="Times New Roman" w:cs="Times New Roman" w:eastAsia="Times New Roman" w:hAnsi="Times New Roman"/>
          <w:sz w:val="18"/>
          <w:szCs w:val="18"/>
          <w:color w:val="auto"/>
        </w:rPr>
        <w:t xml:space="preserve"> of $35.8 million for the three months ended July 31, 2023, an effective rate of 11.5%. The increase in the effective tax rate year-over-year was primarily driven by an increase in non-deductible permanent differences.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July 31, 2024 Compared to Nine Months Ended July 31, 2023</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Nine Months Ended July 31,</w:t>
            </w:r>
          </w:p>
        </w:tc>
        <w:tc>
          <w:tcPr>
            <w:tcW w:w="1540" w:type="dxa"/>
            <w:vAlign w:val="bottom"/>
            <w:tcBorders>
              <w:bottom w:val="single" w:sz="8" w:color="auto"/>
            </w:tcBorders>
          </w:tcPr>
          <w:p>
            <w:pPr>
              <w:spacing w:after="0"/>
              <w:rPr>
                <w:sz w:val="18"/>
                <w:szCs w:val="18"/>
                <w:color w:val="auto"/>
              </w:rPr>
            </w:pPr>
          </w:p>
        </w:tc>
      </w:tr>
      <w:tr>
        <w:trPr>
          <w:trHeight w:val="189"/>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5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 Variance</w:t>
            </w: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4"/>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2"/>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gridSpan w:val="4"/>
          </w:tcPr>
          <w:p>
            <w:pPr>
              <w:jc w:val="right"/>
              <w:ind w:right="632"/>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540" w:type="dxa"/>
            <w:vAlign w:val="bottom"/>
          </w:tcPr>
          <w:p>
            <w:pPr>
              <w:spacing w:after="0"/>
              <w:rPr>
                <w:sz w:val="17"/>
                <w:szCs w:val="17"/>
                <w:color w:val="auto"/>
              </w:rPr>
            </w:pPr>
          </w:p>
        </w:tc>
      </w:tr>
      <w:tr>
        <w:trPr>
          <w:trHeight w:val="238"/>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785,701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835,091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(49,390)</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597,127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(40,459)</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8,948</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30"/>
        </w:trPr>
        <w:tc>
          <w:tcPr>
            <w:tcW w:w="5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31,672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(19,206)</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9,929</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1,680 %</w:t>
            </w:r>
          </w:p>
        </w:tc>
      </w:tr>
      <w:tr>
        <w:trPr>
          <w:trHeight w:val="229"/>
        </w:trPr>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48"/>
        </w:trPr>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(8,143)</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period-over-period results by reportable segment follow.</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Related to Operating Income by Reportable Segment: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 Fenestration</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Nine Months Ended July 31,</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4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 Variance</w:t>
            </w:r>
          </w:p>
        </w:tc>
        <w:tc>
          <w:tcPr>
            <w:tcW w:w="0" w:type="dxa"/>
            <w:vAlign w:val="bottom"/>
          </w:tcPr>
          <w:p>
            <w:pPr>
              <w:spacing w:after="0"/>
              <w:rPr>
                <w:sz w:val="1"/>
                <w:szCs w:val="1"/>
                <w:color w:val="auto"/>
              </w:rPr>
            </w:pPr>
          </w:p>
        </w:tc>
      </w:tr>
      <w:tr>
        <w:trPr>
          <w:trHeight w:val="181"/>
        </w:trPr>
        <w:tc>
          <w:tcPr>
            <w:tcW w:w="5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0" w:type="dxa"/>
            <w:vAlign w:val="bottom"/>
            <w:gridSpan w:val="4"/>
          </w:tcPr>
          <w:p>
            <w:pPr>
              <w:jc w:val="right"/>
              <w:ind w:right="814"/>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478,027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487,036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(9,009)</w:t>
            </w:r>
          </w:p>
        </w:tc>
        <w:tc>
          <w:tcPr>
            <w:tcW w:w="140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30"/>
        </w:trPr>
        <w:tc>
          <w:tcPr>
            <w:tcW w:w="5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370,930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382,315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140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46,558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41,707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140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15,887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rPr>
              <w:t>15,328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400" w:type="dxa"/>
            <w:vAlign w:val="bottom"/>
            <w:tcBorders>
              <w:bottom w:val="single" w:sz="8" w:color="CCEEFF"/>
            </w:tcBorders>
          </w:tcPr>
          <w:p>
            <w:pPr>
              <w:jc w:val="center"/>
              <w:ind w:left="34"/>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44,652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47,686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400" w:type="dxa"/>
            <w:vAlign w:val="bottom"/>
            <w:tcBorders>
              <w:bottom w:val="single" w:sz="8" w:color="CCEEFF"/>
            </w:tcBorders>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Operating income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jc w:val="both"/>
        <w:ind w:firstLine="44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decreased $9.0 million, or 2%, for the nine months ended July 31, 2024 compared to the same period in 2023,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a $10.5 million decrease in volumes mainly due to softer market demand driven by weaker consumer confidence partially offset by a $1.5 million increase in price and raw material indexes.</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The cost of sales decreased $11.4 million, or 3%, for the nine months ended July 31, 2024 as compared to the same period in 2023.</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sales, including labor, decreased primarily due to a decrease in volumes partially offset by inflation of raw materials during the period.</w:t>
      </w:r>
    </w:p>
    <w:p>
      <w:pPr>
        <w:spacing w:after="0" w:line="124" w:lineRule="exact"/>
        <w:rPr>
          <w:sz w:val="20"/>
          <w:szCs w:val="20"/>
          <w:color w:val="auto"/>
        </w:rPr>
      </w:pPr>
    </w:p>
    <w:p>
      <w:pPr>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Selling, General and Administrative. S</w:t>
      </w:r>
      <w:r>
        <w:rPr>
          <w:rFonts w:ascii="Times New Roman" w:cs="Times New Roman" w:eastAsia="Times New Roman" w:hAnsi="Times New Roman"/>
          <w:sz w:val="18"/>
          <w:szCs w:val="18"/>
          <w:color w:val="auto"/>
        </w:rPr>
        <w:t>elling, general and administrative expenses increased $4.9 million, or 12%, for the nine months ended July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as compared to the same period in 2023. The increase is primarily due to increases in labor costs and professional fees year-over-year.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EU Fenestration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Nine Months Ended July 31,</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4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Variance %</w:t>
            </w:r>
          </w:p>
        </w:tc>
        <w:tc>
          <w:tcPr>
            <w:tcW w:w="0" w:type="dxa"/>
            <w:vAlign w:val="bottom"/>
          </w:tcPr>
          <w:p>
            <w:pPr>
              <w:spacing w:after="0"/>
              <w:rPr>
                <w:sz w:val="1"/>
                <w:szCs w:val="1"/>
                <w:color w:val="auto"/>
              </w:rPr>
            </w:pPr>
          </w:p>
        </w:tc>
      </w:tr>
      <w:tr>
        <w:trPr>
          <w:trHeight w:val="181"/>
        </w:trPr>
        <w:tc>
          <w:tcPr>
            <w:tcW w:w="5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0" w:type="dxa"/>
            <w:vAlign w:val="bottom"/>
            <w:gridSpan w:val="4"/>
          </w:tcPr>
          <w:p>
            <w:pPr>
              <w:jc w:val="right"/>
              <w:ind w:right="814"/>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165,637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186,604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(20,967)</w:t>
            </w:r>
          </w:p>
        </w:tc>
        <w:tc>
          <w:tcPr>
            <w:tcW w:w="140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7"/>
              </w:rPr>
              <w:t>(11)%</w:t>
            </w:r>
          </w:p>
        </w:tc>
        <w:tc>
          <w:tcPr>
            <w:tcW w:w="0" w:type="dxa"/>
            <w:vAlign w:val="bottom"/>
          </w:tcPr>
          <w:p>
            <w:pPr>
              <w:spacing w:after="0"/>
              <w:rPr>
                <w:sz w:val="1"/>
                <w:szCs w:val="1"/>
                <w:color w:val="auto"/>
              </w:rPr>
            </w:pPr>
          </w:p>
        </w:tc>
      </w:tr>
      <w:tr>
        <w:trPr>
          <w:trHeight w:val="230"/>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6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104,327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119,421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(15,094)</w:t>
            </w:r>
          </w:p>
        </w:tc>
        <w:tc>
          <w:tcPr>
            <w:tcW w:w="140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7"/>
              </w:rPr>
              <w:t>(13)%</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23,008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23,996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40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7,705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7,135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400" w:type="dxa"/>
            <w:vAlign w:val="bottom"/>
            <w:tcBorders>
              <w:bottom w:val="single" w:sz="8" w:color="CCEEFF"/>
            </w:tcBorders>
          </w:tcPr>
          <w:p>
            <w:pPr>
              <w:jc w:val="center"/>
              <w:ind w:left="34"/>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30,597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36,052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1400" w:type="dxa"/>
            <w:vAlign w:val="bottom"/>
            <w:tcBorders>
              <w:bottom w:val="single" w:sz="8" w:color="CCEEFF"/>
            </w:tcBorders>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7"/>
              </w:rPr>
              <w:t>(15)%</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decreased $21.0 million, or 11%, comparing the nine months ended July 31, 2024 to the same period in 2023,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a $18.4 million decrease in volumes largely due to softer market demand driven by weaker consumer confidence and $3.3 million of base price decreases, partially offset by $0.7 million benefit from foreign currency rate change.</w:t>
      </w:r>
    </w:p>
    <w:p>
      <w:pPr>
        <w:spacing w:after="0" w:line="106"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The cost of sales decreased $15.1 million, or 13%, for the nine months ended July 31, 2024 compared to the same period in 2023.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sales decreased primarily due to a decrease in volumes and deflation in the price of raw materials, partially offset by foreign currency impacts.</w:t>
      </w:r>
    </w:p>
    <w:p>
      <w:pPr>
        <w:spacing w:after="0" w:line="91" w:lineRule="exact"/>
        <w:rPr>
          <w:sz w:val="20"/>
          <w:szCs w:val="20"/>
          <w:color w:val="auto"/>
        </w:rPr>
      </w:pPr>
    </w:p>
    <w:p>
      <w:pPr>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 decreased $1.0 million, or 4%, for the nine months ended July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compared to the same period in 2023. The decrease is primarily due to a decrease in professional fees and decrease in labor costs, year-over-year.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 Cabinet Components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Nine Months Ended July 31,</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4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4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Variance %</w:t>
            </w:r>
          </w:p>
        </w:tc>
        <w:tc>
          <w:tcPr>
            <w:tcW w:w="0" w:type="dxa"/>
            <w:vAlign w:val="bottom"/>
          </w:tcPr>
          <w:p>
            <w:pPr>
              <w:spacing w:after="0"/>
              <w:rPr>
                <w:sz w:val="1"/>
                <w:szCs w:val="1"/>
                <w:color w:val="auto"/>
              </w:rPr>
            </w:pPr>
          </w:p>
        </w:tc>
      </w:tr>
      <w:tr>
        <w:trPr>
          <w:trHeight w:val="181"/>
        </w:trPr>
        <w:tc>
          <w:tcPr>
            <w:tcW w:w="5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20" w:type="dxa"/>
            <w:vAlign w:val="bottom"/>
            <w:gridSpan w:val="4"/>
          </w:tcPr>
          <w:p>
            <w:pPr>
              <w:jc w:val="right"/>
              <w:ind w:right="814"/>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145,663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163,577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(17,914)</w:t>
            </w:r>
          </w:p>
        </w:tc>
        <w:tc>
          <w:tcPr>
            <w:tcW w:w="140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7"/>
              </w:rPr>
              <w:t>(11)%</w:t>
            </w:r>
          </w:p>
        </w:tc>
        <w:tc>
          <w:tcPr>
            <w:tcW w:w="0" w:type="dxa"/>
            <w:vAlign w:val="bottom"/>
          </w:tcPr>
          <w:p>
            <w:pPr>
              <w:spacing w:after="0"/>
              <w:rPr>
                <w:sz w:val="1"/>
                <w:szCs w:val="1"/>
                <w:color w:val="auto"/>
              </w:rPr>
            </w:pPr>
          </w:p>
        </w:tc>
      </w:tr>
      <w:tr>
        <w:trPr>
          <w:trHeight w:val="229"/>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124,278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136,722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(12,444)</w:t>
            </w:r>
          </w:p>
        </w:tc>
        <w:tc>
          <w:tcPr>
            <w:tcW w:w="140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15,354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15,939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40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9,240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8,988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400" w:type="dxa"/>
            <w:vAlign w:val="bottom"/>
            <w:tcBorders>
              <w:bottom w:val="single" w:sz="8" w:color="CCEEFF"/>
            </w:tcBorders>
          </w:tcPr>
          <w:p>
            <w:pPr>
              <w:jc w:val="center"/>
              <w:ind w:left="34"/>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(3,209)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w:t>
            </w:r>
          </w:p>
        </w:tc>
        <w:tc>
          <w:tcPr>
            <w:tcW w:w="1400" w:type="dxa"/>
            <w:vAlign w:val="bottom"/>
            <w:tcBorders>
              <w:bottom w:val="single" w:sz="8" w:color="CCEEFF"/>
            </w:tcBorders>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9"/>
              </w:rPr>
              <w:t>(266)%</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(loss) income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decreased $17.9 million, or 11%, for the nine months ended July 31, 2024 compared to the same period in 2023,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an $11.8 million decrease in volumes due to softer market demand driven by weaker consumer confidence and a $6.1 million decrease in raw material surcharges.</w:t>
      </w:r>
    </w:p>
    <w:p>
      <w:pPr>
        <w:spacing w:after="0" w:line="106"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decreased $12.4 million, or 9%, for the nine months ended July 31, 2024 compared with the same period in 2023. Cost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decreased primarily as a result of lower volumes year-over-year.</w:t>
      </w:r>
    </w:p>
    <w:p>
      <w:pPr>
        <w:spacing w:after="0" w:line="77" w:lineRule="exact"/>
        <w:rPr>
          <w:sz w:val="20"/>
          <w:szCs w:val="20"/>
          <w:color w:val="auto"/>
        </w:rPr>
      </w:pPr>
    </w:p>
    <w:p>
      <w:pPr>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Selling, general and administrative expense decreased $0.6 million, or 4%, for the nine months ended July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compared to the same period in 2023. This decrease is primarily due to a decrease in labor costs and professional fees year-over-year.</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Unallocated Corporate &amp; Other</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Nine Months Ended July 31,</w:t>
            </w:r>
          </w:p>
        </w:tc>
        <w:tc>
          <w:tcPr>
            <w:tcW w:w="1420" w:type="dxa"/>
            <w:vAlign w:val="bottom"/>
            <w:tcBorders>
              <w:bottom w:val="single" w:sz="8" w:color="auto"/>
            </w:tcBorders>
          </w:tcPr>
          <w:p>
            <w:pPr>
              <w:spacing w:after="0"/>
              <w:rPr>
                <w:sz w:val="18"/>
                <w:szCs w:val="18"/>
                <w:color w:val="auto"/>
              </w:rPr>
            </w:pPr>
          </w:p>
        </w:tc>
      </w:tr>
      <w:tr>
        <w:trPr>
          <w:trHeight w:val="193"/>
        </w:trPr>
        <w:tc>
          <w:tcPr>
            <w:tcW w:w="5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4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Variance %</w:t>
            </w:r>
          </w:p>
        </w:tc>
      </w:tr>
      <w:tr>
        <w:trPr>
          <w:trHeight w:val="181"/>
        </w:trPr>
        <w:tc>
          <w:tcPr>
            <w:tcW w:w="5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00" w:type="dxa"/>
            <w:vAlign w:val="bottom"/>
            <w:gridSpan w:val="4"/>
          </w:tcPr>
          <w:p>
            <w:pPr>
              <w:jc w:val="right"/>
              <w:ind w:right="694"/>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20" w:type="dxa"/>
            <w:vAlign w:val="bottom"/>
          </w:tcPr>
          <w:p>
            <w:pPr>
              <w:spacing w:after="0"/>
              <w:rPr>
                <w:sz w:val="15"/>
                <w:szCs w:val="15"/>
                <w:color w:val="auto"/>
              </w:rPr>
            </w:pPr>
          </w:p>
        </w:tc>
      </w:tr>
      <w:tr>
        <w:trPr>
          <w:trHeight w:val="238"/>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2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6"/>
              </w:rPr>
              <w:t>71%</w:t>
            </w:r>
          </w:p>
        </w:tc>
      </w:tr>
      <w:tr>
        <w:trPr>
          <w:trHeight w:val="230"/>
        </w:trPr>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42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9"/>
              </w:rPr>
              <w:t>176%</w:t>
            </w:r>
          </w:p>
        </w:tc>
      </w:tr>
      <w:tr>
        <w:trPr>
          <w:trHeight w:val="230"/>
        </w:trPr>
        <w:tc>
          <w:tcPr>
            <w:tcW w:w="5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142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6"/>
              </w:rPr>
              <w:t>44%</w:t>
            </w:r>
          </w:p>
        </w:tc>
      </w:tr>
      <w:tr>
        <w:trPr>
          <w:trHeight w:val="229"/>
        </w:trPr>
        <w:tc>
          <w:tcPr>
            <w:tcW w:w="56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20" w:type="dxa"/>
            <w:vAlign w:val="bottom"/>
            <w:tcBorders>
              <w:bottom w:val="single" w:sz="8" w:color="CCEEFF"/>
            </w:tcBorders>
          </w:tcPr>
          <w:p>
            <w:pPr>
              <w:jc w:val="center"/>
              <w:ind w:left="14"/>
              <w:spacing w:after="0"/>
              <w:rPr>
                <w:sz w:val="20"/>
                <w:szCs w:val="20"/>
                <w:color w:val="auto"/>
              </w:rPr>
            </w:pPr>
            <w:r>
              <w:rPr>
                <w:rFonts w:ascii="Times New Roman" w:cs="Times New Roman" w:eastAsia="Times New Roman" w:hAnsi="Times New Roman"/>
                <w:sz w:val="18"/>
                <w:szCs w:val="18"/>
                <w:color w:val="auto"/>
                <w:w w:val="97"/>
              </w:rPr>
              <w:t>(24)%</w:t>
            </w: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1420" w:type="dxa"/>
            <w:vAlign w:val="bottom"/>
            <w:tcBorders>
              <w:bottom w:val="single" w:sz="8" w:color="CCEEFF"/>
            </w:tcBorders>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6"/>
              </w:rPr>
              <w:t>39%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for Unallocated Corporate &amp; Other represents the elimination of inter-segment sales for the nine months ended July 31, 2024 and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151" w:lineRule="exact"/>
        <w:rPr>
          <w:sz w:val="20"/>
          <w:szCs w:val="20"/>
          <w:color w:val="auto"/>
        </w:rPr>
      </w:pPr>
    </w:p>
    <w:p>
      <w:pPr>
        <w:ind w:left="460"/>
        <w:spacing w:after="0" w:line="356"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for Unallocated Corporate &amp; Other consists of the elimination of inter-segment sales, profit in inventory, and other costs.</w:t>
      </w:r>
      <w:r>
        <w:rPr>
          <w:rFonts w:ascii="Times New Roman" w:cs="Times New Roman" w:eastAsia="Times New Roman" w:hAnsi="Times New Roman"/>
          <w:sz w:val="18"/>
          <w:szCs w:val="18"/>
          <w:i w:val="1"/>
          <w:iCs w:val="1"/>
          <w:color w:val="auto"/>
        </w:rPr>
        <w:t xml:space="preserve"> Selling, General and Administrative</w:t>
      </w:r>
      <w:r>
        <w:rPr>
          <w:rFonts w:ascii="Times New Roman" w:cs="Times New Roman" w:eastAsia="Times New Roman" w:hAnsi="Times New Roman"/>
          <w:sz w:val="18"/>
          <w:szCs w:val="18"/>
          <w:color w:val="auto"/>
        </w:rPr>
        <w:t>. Selling, general and administrative expenses increased $5.7 million, or 44%, for the nine months ended July 31,</w:t>
      </w: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2024 compared to the same period in 2023. This increase is primarily attributable to a $7.4 million increase in transaction and advisory fees and an increase in medical claims expense partially offset by lower compensation expense including the valuations of our stock-based compensation awards during the nine months ended July 31, 2024 as compared to the prior year period.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related to Non-Operating Items:</w:t>
      </w:r>
    </w:p>
    <w:p>
      <w:pPr>
        <w:spacing w:after="0" w:line="92" w:lineRule="exact"/>
        <w:rPr>
          <w:sz w:val="20"/>
          <w:szCs w:val="20"/>
          <w:color w:val="auto"/>
        </w:rPr>
      </w:pPr>
    </w:p>
    <w:p>
      <w:pPr>
        <w:jc w:val="both"/>
        <w:ind w:firstLine="445"/>
        <w:spacing w:after="0" w:line="268"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decreased $3.7 million for the nine months ended July 31, 2024 compared to the same period in 2023 primarily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result of lower borrowings outstanding during the nine months ended July 31, 2024 as compared to the prior year period.</w:t>
      </w:r>
    </w:p>
    <w:p>
      <w:pPr>
        <w:spacing w:after="0" w:line="105" w:lineRule="exact"/>
        <w:rPr>
          <w:sz w:val="20"/>
          <w:szCs w:val="20"/>
          <w:color w:val="auto"/>
        </w:rPr>
      </w:pPr>
    </w:p>
    <w:p>
      <w:pPr>
        <w:jc w:val="both"/>
        <w:ind w:firstLine="445"/>
        <w:spacing w:after="0" w:line="259"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recorded income tax expense of $12.6 million on pre-tax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6"/>
          <w:szCs w:val="16"/>
          <w:color w:val="auto"/>
        </w:rPr>
        <w:t>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$59.6 million for the nine months ended July 31, 2024,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effective rate of 21.2%, and income tax </w:t>
      </w:r>
      <w:r>
        <w:rPr>
          <w:rFonts w:ascii="Times New Roman" w:cs="Times New Roman" w:eastAsia="Times New Roman" w:hAnsi="Times New Roman"/>
          <w:sz w:val="16"/>
          <w:szCs w:val="16"/>
          <w:color w:val="auto"/>
        </w:rPr>
        <w:t>expense</w:t>
      </w:r>
      <w:r>
        <w:rPr>
          <w:rFonts w:ascii="Times New Roman" w:cs="Times New Roman" w:eastAsia="Times New Roman" w:hAnsi="Times New Roman"/>
          <w:sz w:val="18"/>
          <w:szCs w:val="18"/>
          <w:color w:val="auto"/>
        </w:rPr>
        <w:t xml:space="preserve"> of $10.1 million on a pre-tax income of $65.2 million for the nine months ended July 31, 2023, an effective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 of 15.5%. The increase in the effective tax rate year-over-year was primarily driven by an increase in non-deductible permanent differences.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Historically, our principal sources of funds have been cash on hand, cash flow from operations, and borrowings under our credit facilities.</w:t>
      </w:r>
    </w:p>
    <w:p>
      <w:pPr>
        <w:spacing w:after="0" w:line="15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maintain a $325.0 million revolving credit facility (the Existing Credit Agreement) that matures in 2027 (5-year term) and requires interest payments calculated at a variable market rate depending upon our Consolidated Net Leverage Ratio. The applicable rate during the nine months ended July 31, 2024 was RFR Rate + 1.25%. Our cost of capital could increase depending upon the Consolidated Net Leverage Ratio at the end of any given quarter. In addition to the Consolidated Net Leverage Ratio covenant, we are required to meet a Consolidated Interest Coverage Ratio covenant, and there are limitations on certain transactions including our ability to incur indebtedness, incur liens, dispose of material assets, acquire businesses, make restricted payments and pay dividends (limited to $25.0 million per year). We are amortizing deferred financing fees of $0.9 million straight-line over the remaining term of the facility. For further details of the Existing Credit Agreement, refer to Note 6, “Debt and Finance Lease Obligations” to the accompanying unaudited condensed consolidated financial statements contained elsewhere herein.</w:t>
      </w:r>
    </w:p>
    <w:p>
      <w:pPr>
        <w:spacing w:after="0" w:line="8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June 12, 2024, in connection with the Tyman Acquisition, the Company, Wells Fargo Bank, National Association (“Wells Fargo Bank”, acting as agent, swingline lender and issuing lender, the “Agent”), the other entities therein specified in the capacities therein specified, and the lenders parties thereto, entered into an amendment to the Second Amended and Restated Credit Agreement, dated as of July 6, 2022 the Existing Credit Agreement, and the Existing Credit Agreement as so amended, the “Amended Credit Agreement”). The Amended Credit Agreement did not become effective until August 1, 2024 upon the completion the Tyman Acquisition. For further information regarding the Tyman Acquisition and the Amended Credit Agreement, refer to Note 16, “Subsequent Events.”</w:t>
      </w:r>
    </w:p>
    <w:p>
      <w:pPr>
        <w:spacing w:after="0" w:line="7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Amended Credit Agreement will (i) increase the senior secured revolving credit facility to an aggregate principal amount of $475 million (the “Revolving Credit Facility”) and (ii) provide for a senior secured term loan A facility in an aggregate principal amount of $500 million (the “Term A Facility” and together with the Revolving Credit Facility, the “Facilities”). The Revolving Credit Facility will include alternative currency, letter of credit, and swing-line sub-facilities of $100 million, $30 million, and $15 million, respectively. The maturity date of the Facilities will be five years after the acquisition effective date, maturing on August 1, 2029.</w:t>
      </w:r>
    </w:p>
    <w:p>
      <w:pPr>
        <w:spacing w:after="0" w:line="10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July 31, 2024, we had $94.0 million of cash and equivalents, zero outstanding under the Existing Credit Agreement, $3.7 million of outstanding letters of credit and $55.0 million outstanding under finance leases and other debt. Of the $55.0 million outstanding under finance leases and other debt, $50.7 million relates to real estate leases. We had $321.3 million available for use under the Existing Credit Agreement at July 31, 2024.</w:t>
      </w:r>
    </w:p>
    <w:p>
      <w:pPr>
        <w:spacing w:after="0" w:line="6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December 2021, our Board of Directors approved a stock repurchase program that authorized the repurchase of up to $75.0 million worth of shares of our common stock. Repurchases under the program will be made in open market transactions or privately negotiated transactions, subject to market conditions, applicable legal requirements and other relevant factors. During the three months ended July 31, 2024, we did not purchase any shares under this program and as of July 31, 2024 we had a maximum of $62.8 million available to purchase shares under this program. The program does not have an expiration date or a limit on the number of shares that may be purchased.</w:t>
      </w:r>
    </w:p>
    <w:p>
      <w:pPr>
        <w:spacing w:after="0" w:line="21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repatriated $33.2 million and $30.2 million of foreign cash during the nine months ended July 31, 2024 and 2023, respectively. We expect to repatriate excess cash moving forward and use the funds to retire debt or meet current working capital needs. In the U.K., we insure against a portion of our credit losses. We believe our business model, our current cash reserves and our strong balance sheet leave us well-positioned to manage our business and remain in compliance with our debt covenants.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Analysis of Cash Flow</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cash flow results for the nine months ended July 31, 2024 and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2"/>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6"/>
                <w:szCs w:val="16"/>
                <w:color w:val="auto"/>
              </w:rPr>
            </w:pPr>
          </w:p>
        </w:tc>
      </w:tr>
      <w:tr>
        <w:trPr>
          <w:trHeight w:val="203"/>
        </w:trPr>
        <w:tc>
          <w:tcPr>
            <w:tcW w:w="8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gridSpan w:val="2"/>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940" w:type="dxa"/>
            <w:vAlign w:val="bottom"/>
          </w:tcPr>
          <w:p>
            <w:pPr>
              <w:spacing w:after="0"/>
              <w:rPr>
                <w:sz w:val="17"/>
                <w:szCs w:val="17"/>
                <w:color w:val="auto"/>
              </w:rPr>
            </w:pPr>
          </w:p>
        </w:tc>
      </w:tr>
      <w:tr>
        <w:trPr>
          <w:trHeight w:val="23"/>
        </w:trPr>
        <w:tc>
          <w:tcPr>
            <w:tcW w:w="80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1"/>
        </w:trPr>
        <w:tc>
          <w:tcPr>
            <w:tcW w:w="8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gridSpan w:val="2"/>
          </w:tcPr>
          <w:p>
            <w:pPr>
              <w:jc w:val="center"/>
              <w:ind w:left="482"/>
              <w:spacing w:after="0"/>
              <w:rPr>
                <w:sz w:val="20"/>
                <w:szCs w:val="20"/>
                <w:color w:val="auto"/>
              </w:rPr>
            </w:pPr>
            <w:r>
              <w:rPr>
                <w:rFonts w:ascii="Times New Roman" w:cs="Times New Roman" w:eastAsia="Times New Roman" w:hAnsi="Times New Roman"/>
                <w:sz w:val="13"/>
                <w:szCs w:val="13"/>
                <w:b w:val="1"/>
                <w:bCs w:val="1"/>
                <w:color w:val="auto"/>
                <w:w w:val="96"/>
              </w:rPr>
              <w:t>(Dollars in thousands)</w:t>
            </w:r>
          </w:p>
        </w:tc>
        <w:tc>
          <w:tcPr>
            <w:tcW w:w="940" w:type="dxa"/>
            <w:vAlign w:val="bottom"/>
          </w:tcPr>
          <w:p>
            <w:pPr>
              <w:spacing w:after="0"/>
              <w:rPr>
                <w:sz w:val="15"/>
                <w:szCs w:val="15"/>
                <w:color w:val="auto"/>
              </w:rPr>
            </w:pPr>
          </w:p>
        </w:tc>
      </w:tr>
      <w:tr>
        <w:trPr>
          <w:trHeight w:val="23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362"/>
              <w:spacing w:after="0"/>
              <w:rPr>
                <w:sz w:val="20"/>
                <w:szCs w:val="20"/>
                <w:color w:val="auto"/>
              </w:rPr>
            </w:pPr>
            <w:r>
              <w:rPr>
                <w:rFonts w:ascii="Times New Roman" w:cs="Times New Roman" w:eastAsia="Times New Roman" w:hAnsi="Times New Roman"/>
                <w:sz w:val="18"/>
                <w:szCs w:val="18"/>
                <w:color w:val="auto"/>
              </w:rPr>
              <w:t>83,333</w:t>
            </w:r>
          </w:p>
        </w:tc>
        <w:tc>
          <w:tcPr>
            <w:tcW w:w="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102,559</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for investing activities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ind w:left="342"/>
              <w:spacing w:after="0"/>
              <w:rPr>
                <w:sz w:val="20"/>
                <w:szCs w:val="20"/>
                <w:color w:val="auto"/>
              </w:rPr>
            </w:pPr>
            <w:r>
              <w:rPr>
                <w:rFonts w:ascii="Times New Roman" w:cs="Times New Roman" w:eastAsia="Times New Roman" w:hAnsi="Times New Roman"/>
                <w:sz w:val="18"/>
                <w:szCs w:val="18"/>
                <w:color w:val="auto"/>
                <w:w w:val="97"/>
              </w:rPr>
              <w:t>(23,320)</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(113,569)</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for) provided by financing activities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342"/>
              <w:spacing w:after="0"/>
              <w:rPr>
                <w:sz w:val="20"/>
                <w:szCs w:val="20"/>
                <w:color w:val="auto"/>
              </w:rPr>
            </w:pPr>
            <w:r>
              <w:rPr>
                <w:rFonts w:ascii="Times New Roman" w:cs="Times New Roman" w:eastAsia="Times New Roman" w:hAnsi="Times New Roman"/>
                <w:sz w:val="18"/>
                <w:szCs w:val="18"/>
                <w:color w:val="auto"/>
                <w:w w:val="97"/>
              </w:rPr>
              <w:t>(25,456)</w:t>
            </w:r>
          </w:p>
        </w:tc>
        <w:tc>
          <w:tcPr>
            <w:tcW w:w="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26,687</w:t>
            </w:r>
          </w:p>
        </w:tc>
      </w:tr>
    </w:tbl>
    <w:p>
      <w:pPr>
        <w:spacing w:after="0" w:line="18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Cash provided by operating activities decreased $19.2 million for the nine months ended July 31, 2024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2023. The decrease in operating cash flow is primarily due to a decrease in net income year-over-year and unfavorable changes to net working capital. The unfavorable changes in working capital were largely driven by a decrease in cash inflows related to inventory in 2024 as compared to the prior year, partially offset by a decrease in income tax receivables.</w:t>
      </w:r>
    </w:p>
    <w:p>
      <w:pPr>
        <w:spacing w:after="0" w:line="72"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used for investing activities decreased $90.2 million for the nine months ended July 31, 2024 compared to the same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2023, primarily as a result of no business acquisitions during the nine months ended July 31, 2024 compared to the $91.3 million acquisition of LMI in the prior year period.</w:t>
      </w:r>
    </w:p>
    <w:p>
      <w:pPr>
        <w:spacing w:after="0" w:line="106"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used for financing activities was $25.5 million for the nine months ended July 31, 2024 compared to cash provided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activities of $26.7 million for the same period in 2023. The change in investing cash flows is primarily as a result of a decrease in net borrowings of long-term debt partially offset by a decrease in the purchase of treasury shares.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Requirements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Historically, our strategy for deploying cash has been to invest in organic growth opportunities, develop our infrastructure, and explore strategic acquisitions. Other uses of cash include paying cash dividends to our shareholders and repurchasing our common stock. During the nine months ended July 31, 2024 and 2023, we repatriated $33.2 million and $30.2 million, respectively, of foreign earnings from our foreign locations. We maintain cash balances in foreign countries which total $16.0 million as of July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preparation of our financial statements in accordance with accounting principles generally accepted in the U.S. (U.S. GAAP) requires us to make estimates and assumptions that affect the reported amount of assets, liabilities, revenues and expenses and related disclosures of contingent assets and liabilities. Estimates and assumptions about future events and their effects cannot be perceived with certainty. Estimates may change as new events occur, as more experience is acquired, as additional information becomes available and as our operating environment changes. We base our estimates on historical experience and on various other assumptions that we believe are reasonable under the circumstances, and that we believe provide a basis for making judgments about the carrying value of assets and liabilities that are not readily available through open market quotes. We must use our judgment with regard to uncertainties in order to make these estimates. Actual results could differ from these estimates.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a description of our critical accounting policies and estimates, see our Annual Report on Form 10-K for the fiscal year ended October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critical accounting policies and estimates have not changed materially during the nine months ended July 31, 2024.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6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standards setting bodies that we adopt as of the specified effective date. We did not adopt any new accounting pronouncements during the three and nine months ended July 31,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“Segment Reporting (Topic 280): Improvements to Reportable Segment Disclosures,” which is intended to improve reportable segment disclosure requirements, primarily through enhanced disclosures about significant segment expenses. The guidance is effective for fiscal years beginning after December 15, 2023, and interim periods within fiscal years beginning after December 15, 2024 with early adoption is permitted. The guidance is to be applied retrospectively to all prior periods presented in the financial statements. We are currently evaluating the potential impact of adopting this new guidance on our consolidated financial statements and related disclosures.</w:t>
      </w:r>
    </w:p>
    <w:p>
      <w:pPr>
        <w:spacing w:after="0" w:line="1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“Income Taxes (Topic 740): Improvements to Income Tax Disclosures,” which includes updates to the income tax disclosures related to the rate reconciliation and disaggregation of income taxes paid by jurisdiction. The guidance is effective for fiscal years beginning after December 15, 2024 with early adoption permitted. The amendments should be applied prospectively, however retrospective application is permitted. We are currently evaluating the potential impact of adopting this new guidance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Quantitative and Qualitative Disclosures About Market Risk</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following discussion of our exposure to various market risks contains “forward looking statements” regarding our estimates, assumptions and beliefs concerning our exposure. Although we believe these estimates and assumptions are reasonable in light of information currently available to us, we cannot provide assurance that these estimates will not materially differ from actual results due to the inherent unpredictability of interest rates, foreign currency rates and commodity prices as well as other factors. We do not use derivative financial instruments for speculative or trading purposes.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debt bears interest at variable rates and accordingly is sensitive to changes in interest rates. This sensitivity is impacted by the amount of borrowings under our credit facilities, and amounts outstanding under finance leases.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Rate Risk</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international operations have exposure to foreign currency rate risks, primarily due to fluctuations in the Euro, the British Pound Sterling and the Canadian Dollar. From time to time, we enter into foreign exchange contracts associated with our operations to manage a portion of the foreign currency rate risk. There were no corresponding foreign currency derivatives as of July 31, 2024 or October 31, 2023.</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May 2, 2024, we entered into a deal contingent foreign exchange forward currency contract to manage our exposure to foreign currency exchange rate fluctuations against the USD and GBP for approximately $605 million of the $1.1 billion purchase consideration for the Tyman Acquisition. During the three months ended July 31, 2024, we recognized a gain of $9.2 million related to this foreign exchange forward currency contract and the contract was concluded in August 2024 as a result of the completion of the Tyman Acquisition.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4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purchase PVC as the significant raw material consumed in the manufacture of vinyl extrusions. We have resin adjusters in place with a majority of our customers and our resin supplier that is adjusted based upon published indices for lagging resin prices. These adjusters effectively share the base pass-through price changes of PVC with our customers commensurate with the market at large. Our long-term exposure to changes in PVC prices is somewhat mitigated due to the contractual component of the resin adjuster program. However, there is a level of exposure to short-term volatility due to timing lags.</w:t>
      </w:r>
    </w:p>
    <w:p>
      <w:pPr>
        <w:spacing w:after="0" w:line="11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adjust the pricing of petroleum-based raw materials for the majority of our customers who purchase products using these materials. This is intended to offset the fluctuating cost of products which are highly correlated to the price of oil including butyl and other oil-based raw materials. This program is adjusted monthly based upon the 90-day average published price for Brent crude. The oil-based raw materials that we purchase are subject to similar pricing schemes. As such, our long-term exposure to increases in oil-based raw material prices is significantly reduced under this program.</w:t>
      </w:r>
    </w:p>
    <w:p>
      <w:pPr>
        <w:spacing w:after="0" w:line="11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Similarly, NA Cabinet Components includes a price index provision in the majority of its customer arrangements to insulate against significant fluctuations in the price for various hardwood products used as the primary raw material for kitchen and bathroom cabinet doors. Like our vinyl extrusion business, we are exposed to short-term volatility in wood prices due to a lag in the timing of price updates which generally could extend for up to three months.</w:t>
      </w:r>
    </w:p>
    <w:p>
      <w:pPr>
        <w:spacing w:after="0" w:line="9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have begun implementing additional programs for other raw materials to facilitate more accurate pricing and reduce our exposure to changing material costs when necessary; however, these are also subject to timing lags. While we maintain surcharges and other adjusters to manage our exposure to changes in the prices of our critical raw materials, we use several commodities in our business that are not covered by contractual surcharges or adjusters for which pricing can fluctuate, including PVC compound micro ingredients, silicone and other inputs. Further discussion of our industry risks are included within our Annual Report on Form 10-K for the fiscal year ended October 31, 2023.</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4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have evaluated the effectiveness of our disclosure controls and procedures pursuant to Rules 13a-15(e) and 15d-15(e) under the Securities Exchange Act of 1934 (1934 Act) as of July 31, 2024. Based on that evaluation, the Chief Executive Officer and Chief Financial Officer concluded that, as of July 31, 2024, the disclosure controls and procedures are effective.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There have been no changes in internal controls over financial reporting (as defined in Rules 13a-15(f) and 15d-15(f) under the 1934 Act) during the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1A. Risk Factors</w:t>
      </w:r>
    </w:p>
    <w:p>
      <w:pPr>
        <w:spacing w:after="0" w:line="121"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disclosed in our Annual Report on Form 10-K for the fiscal year ended October 31, 2023 (Part I, Item 1A) other than as discussed below.</w:t>
      </w:r>
    </w:p>
    <w:p>
      <w:pPr>
        <w:spacing w:after="0" w:line="5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We may fail to realize the anticipated benefits and operating synergies expected from the Tyman Acquisition, which could adversely affect our business, financial condition and operating results.</w:t>
      </w:r>
    </w:p>
    <w:p>
      <w:pPr>
        <w:spacing w:after="0" w:line="5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success of the Tyman Acquisition will depend, in significant part, on our ability to successfully integrate Tyman and realize the anticipated strategic benefits and synergies from the combination. We believe that the addition of Tyman represents an attractive opportunity to create a leading comprehensive solutions provider in the building products industry, leveraging the complementary product portfolios of trusted brands and expanded engineering, design and manufacturing capabilities of both groups to deliver value to consumers, shareholders and other stakeholders. Achieving these goals requires effective integration of the Tyman business and realization of the targeted synergies expected from the Tyman Acquisition. The anticipated benefits of the Tyman Acquisition may not be realized fully or at all, or may take longer to realize than we expect. Actual operating, technological, strategic and revenue opportunities, if achieved at all, may be less significant than we expect or may take longer to achieve than anticipated. If we are not able to achieve these objectives and realize the anticipated benefits and synergies expected from the Tyman Acquisition within a reasonable time, our business, financial condition and operating results may be adversely affected.</w:t>
      </w:r>
    </w:p>
    <w:p>
      <w:pPr>
        <w:spacing w:after="0" w:line="7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The Tyman Acquisition will result in significant integration costs and any material delays or unanticipated additional expenses may harm our business, financial condition and results of operations.</w:t>
      </w:r>
    </w:p>
    <w:p>
      <w:pPr>
        <w:spacing w:after="0" w:line="5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complexity and magnitude of the integration effort associated with the Tyman Acquisition are significant and require that we fund significant capital and operating expenses to support the integration of the combined operations. Such expenses have included and will include significant transaction, consulting and third-party service fees. We have incurred and expect to continue to incur additional operating expenses as we build up internal resources and/or engage third party providers following the Tyman Acquisition. In addition to these transition costs, we have incurred and expect to continue to incur increased expenses relating to, among other things, restructuring and integrating the two businesses. Any material delays, difficulties or unanticipated additional expenses associated with integration activities may harm our business, financial condition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5. Other Information</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July 31, 2024, none of our directors or executive officers adopted or terminated any contract, instruction or written plan for the purchase or sale of our securities to satisfy the affirmative defense conditions of Rule 10b5-1(c) or any “non-Rule 10b5-1 trading arrangement,” except as follows:</w:t>
      </w:r>
    </w:p>
    <w:p>
      <w:pPr>
        <w:spacing w:after="0" w:line="4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George Wilson our Chairman, President and CEO, adopted a Rule 10b5-1 trading arrangement on June 11, 2024. Under this arrangement, a total of 37,800 shares of our common stock may be sold, subject to certain conditions, before the plan expires on November 30,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6. Exhibits</w:t>
      </w:r>
    </w:p>
    <w:p>
      <w:pPr>
        <w:spacing w:after="0" w:line="162"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The exhibits required to be furnished pursuant to Item 6 are listed in the Exhibit Index filed herewith,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3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1" w:lineRule="exact"/>
        <w:rPr>
          <w:sz w:val="20"/>
          <w:szCs w:val="20"/>
          <w:color w:val="auto"/>
        </w:rPr>
      </w:pPr>
    </w:p>
    <w:p>
      <w:pPr>
        <w:ind w:left="240"/>
        <w:spacing w:after="0"/>
        <w:tabs>
          <w:tab w:leader="none" w:pos="4540" w:val="left"/>
        </w:tabs>
        <w:rPr>
          <w:sz w:val="20"/>
          <w:szCs w:val="20"/>
          <w:color w:val="auto"/>
        </w:rPr>
      </w:pPr>
      <w:r>
        <w:rPr>
          <w:rFonts w:ascii="Times New Roman" w:cs="Times New Roman" w:eastAsia="Times New Roman" w:hAnsi="Times New Roman"/>
          <w:sz w:val="18"/>
          <w:szCs w:val="18"/>
          <w:color w:val="auto"/>
        </w:rPr>
        <w:t>Date: September 6, 2024</w:t>
      </w:r>
      <w:r>
        <w:rPr>
          <w:sz w:val="20"/>
          <w:szCs w:val="20"/>
          <w:color w:val="auto"/>
        </w:rPr>
        <w:tab/>
      </w:r>
      <w:r>
        <w:rPr>
          <w:rFonts w:ascii="Times New Roman" w:cs="Times New Roman" w:eastAsia="Times New Roman" w:hAnsi="Times New Roman"/>
          <w:sz w:val="18"/>
          <w:szCs w:val="18"/>
          <w:color w:val="auto"/>
        </w:rPr>
        <w:t>/s/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42348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1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Scott M. Zuehlke</w:t>
      </w:r>
    </w:p>
    <w:p>
      <w:pPr>
        <w:spacing w:after="0" w:line="1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Senior Vice President - Chief Financial Officer &amp; Treasurer</w:t>
      </w:r>
    </w:p>
    <w:p>
      <w:pPr>
        <w:jc w:val="center"/>
        <w:ind w:right="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200" w:type="dxa"/>
        <w:tblCellMar>
          <w:top w:w="0" w:type="dxa"/>
          <w:left w:w="0" w:type="dxa"/>
          <w:bottom w:w="0" w:type="dxa"/>
          <w:right w:w="0" w:type="dxa"/>
        </w:tblCellMar>
      </w:tblPr>
      <w:tr>
        <w:trPr>
          <w:trHeight w:val="236"/>
        </w:trPr>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060" w:type="dxa"/>
            <w:vAlign w:val="bottom"/>
            <w:gridSpan w:val="22"/>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12"/>
        </w:trPr>
        <w:tc>
          <w:tcPr>
            <w:tcW w:w="142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2380" w:type="dxa"/>
            <w:vAlign w:val="bottom"/>
          </w:tcPr>
          <w:p>
            <w:pPr>
              <w:spacing w:after="0"/>
              <w:rPr>
                <w:sz w:val="18"/>
                <w:szCs w:val="18"/>
                <w:color w:val="auto"/>
              </w:rPr>
            </w:pPr>
          </w:p>
        </w:tc>
        <w:tc>
          <w:tcPr>
            <w:tcW w:w="6060" w:type="dxa"/>
            <w:vAlign w:val="bottom"/>
            <w:gridSpan w:val="22"/>
          </w:tcPr>
          <w:p>
            <w:pPr>
              <w:jc w:val="center"/>
              <w:ind w:right="2660"/>
              <w:spacing w:after="0"/>
              <w:rPr>
                <w:sz w:val="20"/>
                <w:szCs w:val="20"/>
                <w:color w:val="auto"/>
              </w:rPr>
            </w:pPr>
            <w:r>
              <w:rPr>
                <w:rFonts w:ascii="Times New Roman" w:cs="Times New Roman" w:eastAsia="Times New Roman" w:hAnsi="Times New Roman"/>
                <w:sz w:val="16"/>
                <w:szCs w:val="16"/>
                <w:b w:val="1"/>
                <w:bCs w:val="1"/>
                <w:color w:val="auto"/>
              </w:rPr>
              <w:t>Description of Exhibits</w:t>
            </w:r>
          </w:p>
        </w:tc>
        <w:tc>
          <w:tcPr>
            <w:tcW w:w="0" w:type="dxa"/>
            <w:vAlign w:val="bottom"/>
          </w:tcPr>
          <w:p>
            <w:pPr>
              <w:spacing w:after="0"/>
              <w:rPr>
                <w:sz w:val="1"/>
                <w:szCs w:val="1"/>
                <w:color w:val="auto"/>
              </w:rPr>
            </w:pPr>
          </w:p>
        </w:tc>
      </w:tr>
      <w:tr>
        <w:trPr>
          <w:trHeight w:val="249"/>
        </w:trPr>
        <w:tc>
          <w:tcPr>
            <w:tcW w:w="760" w:type="dxa"/>
            <w:vAlign w:val="bottom"/>
            <w:gridSpan w:val="4"/>
          </w:tcPr>
          <w:p>
            <w:pPr>
              <w:jc w:val="center"/>
              <w:ind w:left="251"/>
              <w:spacing w:after="0"/>
              <w:rPr>
                <w:rFonts w:ascii="Times New Roman" w:cs="Times New Roman" w:eastAsia="Times New Roman" w:hAnsi="Times New Roman"/>
                <w:sz w:val="18"/>
                <w:szCs w:val="18"/>
                <w:color w:val="0000FF"/>
                <w:w w:val="97"/>
              </w:rPr>
            </w:pPr>
            <w:hyperlink r:id="rId65">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1</w:t>
              </w:r>
            </w:hyperlink>
          </w:p>
        </w:tc>
        <w:tc>
          <w:tcPr>
            <w:tcW w:w="660" w:type="dxa"/>
            <w:vAlign w:val="bottom"/>
          </w:tcPr>
          <w:p>
            <w:pPr>
              <w:spacing w:after="0"/>
              <w:rPr>
                <w:sz w:val="21"/>
                <w:szCs w:val="21"/>
                <w:color w:val="auto"/>
              </w:rPr>
            </w:pPr>
          </w:p>
        </w:tc>
        <w:tc>
          <w:tcPr>
            <w:tcW w:w="8440" w:type="dxa"/>
            <w:vAlign w:val="bottom"/>
            <w:gridSpan w:val="23"/>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Rule 2.7 Announcement dated as of April 22, as filed as Exhibit 2.1 to the Registrant’s Current Report on Form</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18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8-K (Reg. No. 001-33913), as filed with the Securities and Exchange Commission on April 22, 2024, and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360" w:type="dxa"/>
            <w:vAlign w:val="bottom"/>
            <w:gridSpan w:val="19"/>
          </w:tcPr>
          <w:p>
            <w:pPr>
              <w:spacing w:after="0" w:line="169"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0" w:type="dxa"/>
            <w:vAlign w:val="bottom"/>
            <w:gridSpan w:val="4"/>
          </w:tcPr>
          <w:p>
            <w:pPr>
              <w:jc w:val="center"/>
              <w:ind w:left="251"/>
              <w:spacing w:after="0"/>
              <w:rPr>
                <w:rFonts w:ascii="Times New Roman" w:cs="Times New Roman" w:eastAsia="Times New Roman" w:hAnsi="Times New Roman"/>
                <w:sz w:val="18"/>
                <w:szCs w:val="18"/>
                <w:color w:val="0000FF"/>
                <w:w w:val="97"/>
              </w:rPr>
            </w:pPr>
            <w:hyperlink r:id="rId66">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2</w:t>
              </w:r>
            </w:hyperlink>
          </w:p>
        </w:tc>
        <w:tc>
          <w:tcPr>
            <w:tcW w:w="660" w:type="dxa"/>
            <w:vAlign w:val="bottom"/>
          </w:tcPr>
          <w:p>
            <w:pPr>
              <w:spacing w:after="0"/>
              <w:rPr>
                <w:sz w:val="22"/>
                <w:szCs w:val="22"/>
                <w:color w:val="auto"/>
              </w:rPr>
            </w:pPr>
          </w:p>
        </w:tc>
        <w:tc>
          <w:tcPr>
            <w:tcW w:w="8440" w:type="dxa"/>
            <w:vAlign w:val="bottom"/>
            <w:gridSpan w:val="23"/>
          </w:tcPr>
          <w:p>
            <w:pPr>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Co-operation Agreement dated as of April 22, 2024, as filed as Exhibit 2.2 to the Registrant’s Current Report on</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4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Form 8-K (Reg. No. 001-33913), as filed with the Securities and Exchange Commission on April 22, 2024, and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20" w:type="dxa"/>
            <w:vAlign w:val="bottom"/>
            <w:gridSpan w:val="22"/>
          </w:tcPr>
          <w:p>
            <w:pPr>
              <w:spacing w:after="0" w:line="169"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incorporated herein by reference.</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0" w:type="dxa"/>
            <w:vAlign w:val="bottom"/>
            <w:gridSpan w:val="4"/>
          </w:tcPr>
          <w:p>
            <w:pPr>
              <w:jc w:val="center"/>
              <w:ind w:left="251"/>
              <w:spacing w:after="0"/>
              <w:rPr>
                <w:rFonts w:ascii="Times New Roman" w:cs="Times New Roman" w:eastAsia="Times New Roman" w:hAnsi="Times New Roman"/>
                <w:sz w:val="18"/>
                <w:szCs w:val="18"/>
                <w:color w:val="0000FF"/>
                <w:w w:val="97"/>
              </w:rPr>
            </w:pPr>
            <w:hyperlink r:id="rId67">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3</w:t>
              </w:r>
            </w:hyperlink>
          </w:p>
        </w:tc>
        <w:tc>
          <w:tcPr>
            <w:tcW w:w="660" w:type="dxa"/>
            <w:vAlign w:val="bottom"/>
          </w:tcPr>
          <w:p>
            <w:pPr>
              <w:spacing w:after="0"/>
              <w:rPr>
                <w:sz w:val="22"/>
                <w:szCs w:val="22"/>
                <w:color w:val="auto"/>
              </w:rPr>
            </w:pPr>
          </w:p>
        </w:tc>
        <w:tc>
          <w:tcPr>
            <w:tcW w:w="8440" w:type="dxa"/>
            <w:vAlign w:val="bottom"/>
            <w:gridSpan w:val="23"/>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Form of Deed of Irrevocable Undertaking dated as of April 22, 2024, as filed as Exhibit 2.3 to the Registrant’s</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Current Report on Form 8-K (Reg. No. 001-33913), as filed with the Securities and Exchange Commission on</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4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April 22, 2024, and incorporated herein by reference.</w:t>
              </w:r>
            </w:hyperlink>
          </w:p>
        </w:tc>
        <w:tc>
          <w:tcPr>
            <w:tcW w:w="4560" w:type="dxa"/>
            <w:vAlign w:val="bottom"/>
            <w:gridSpan w:val="19"/>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760" w:type="dxa"/>
            <w:vAlign w:val="bottom"/>
            <w:gridSpan w:val="4"/>
          </w:tcPr>
          <w:p>
            <w:pPr>
              <w:jc w:val="center"/>
              <w:ind w:left="251"/>
              <w:spacing w:after="0"/>
              <w:rPr>
                <w:rFonts w:ascii="Times New Roman" w:cs="Times New Roman" w:eastAsia="Times New Roman" w:hAnsi="Times New Roman"/>
                <w:sz w:val="18"/>
                <w:szCs w:val="18"/>
                <w:color w:val="0000FF"/>
                <w:w w:val="97"/>
              </w:rPr>
            </w:pPr>
            <w:hyperlink r:id="rId68">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660" w:type="dxa"/>
            <w:vAlign w:val="bottom"/>
          </w:tcPr>
          <w:p>
            <w:pPr>
              <w:spacing w:after="0"/>
              <w:rPr>
                <w:sz w:val="22"/>
                <w:szCs w:val="22"/>
                <w:color w:val="auto"/>
              </w:rPr>
            </w:pPr>
          </w:p>
        </w:tc>
        <w:tc>
          <w:tcPr>
            <w:tcW w:w="8440" w:type="dxa"/>
            <w:vAlign w:val="bottom"/>
            <w:gridSpan w:val="23"/>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Restated Certificate of Incorporation of the Registrant dated as of March 4, 2016, filed as Exhibit 3.1 of the</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Registrant’s Current Report on Form 8-K (Reg. No. 001-33913) as filed with the Securities and Exchange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Commission on March 7, 2016, and incorporated herein by reference.</w:t>
              </w:r>
            </w:hyperlink>
          </w:p>
        </w:tc>
        <w:tc>
          <w:tcPr>
            <w:tcW w:w="3140" w:type="dxa"/>
            <w:vAlign w:val="bottom"/>
            <w:tcBorders>
              <w:top w:val="single" w:sz="8" w:color="0000FF"/>
            </w:tcBorders>
            <w:gridSpan w:val="5"/>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760" w:type="dxa"/>
            <w:vAlign w:val="bottom"/>
            <w:gridSpan w:val="4"/>
          </w:tcPr>
          <w:p>
            <w:pPr>
              <w:jc w:val="center"/>
              <w:ind w:left="251"/>
              <w:spacing w:after="0"/>
              <w:rPr>
                <w:rFonts w:ascii="Times New Roman" w:cs="Times New Roman" w:eastAsia="Times New Roman" w:hAnsi="Times New Roman"/>
                <w:sz w:val="18"/>
                <w:szCs w:val="18"/>
                <w:color w:val="0000FF"/>
                <w:w w:val="97"/>
              </w:rPr>
            </w:pPr>
            <w:hyperlink r:id="rId69">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660" w:type="dxa"/>
            <w:vAlign w:val="bottom"/>
          </w:tcPr>
          <w:p>
            <w:pPr>
              <w:spacing w:after="0"/>
              <w:rPr>
                <w:sz w:val="22"/>
                <w:szCs w:val="22"/>
                <w:color w:val="auto"/>
              </w:rPr>
            </w:pPr>
          </w:p>
        </w:tc>
        <w:tc>
          <w:tcPr>
            <w:tcW w:w="8440" w:type="dxa"/>
            <w:vAlign w:val="bottom"/>
            <w:gridSpan w:val="23"/>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Fourth Amended and Restated Bylaws of the Registrant dated as of February 27, 2020, filed as Exhibit 3.2 of the</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8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Registrant's Quarterly Report on Form 10-Q (Reg. No. 001-33913) for the quarter ended January 31, 2020,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14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incorporated herein by reference.</w:t>
              </w:r>
            </w:hyperlink>
          </w:p>
        </w:tc>
        <w:tc>
          <w:tcPr>
            <w:tcW w:w="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0" w:type="dxa"/>
            <w:vAlign w:val="bottom"/>
            <w:gridSpan w:val="4"/>
          </w:tcPr>
          <w:p>
            <w:pPr>
              <w:jc w:val="center"/>
              <w:ind w:left="251"/>
              <w:spacing w:after="0"/>
              <w:rPr>
                <w:rFonts w:ascii="Times New Roman" w:cs="Times New Roman" w:eastAsia="Times New Roman" w:hAnsi="Times New Roman"/>
                <w:sz w:val="18"/>
                <w:szCs w:val="18"/>
                <w:color w:val="0000FF"/>
                <w:w w:val="97"/>
              </w:rPr>
            </w:pPr>
            <w:hyperlink r:id="rId70">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660" w:type="dxa"/>
            <w:vAlign w:val="bottom"/>
          </w:tcPr>
          <w:p>
            <w:pPr>
              <w:spacing w:after="0"/>
              <w:rPr>
                <w:sz w:val="22"/>
                <w:szCs w:val="22"/>
                <w:color w:val="auto"/>
              </w:rPr>
            </w:pPr>
          </w:p>
        </w:tc>
        <w:tc>
          <w:tcPr>
            <w:tcW w:w="8440" w:type="dxa"/>
            <w:vAlign w:val="bottom"/>
            <w:gridSpan w:val="23"/>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Form of Registrant’s Common Stock certificate, filed as Exhibit 4.1 of Amendment No. 1 to the Registrant’s</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Registration Statement on Form 10-Q (Reg. No. 001-33913) as filed with the Securities and Exchange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8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Commission on February 14, 2008,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gridSpan w:val="4"/>
            <w:vMerge w:val="restart"/>
          </w:tcPr>
          <w:p>
            <w:pPr>
              <w:jc w:val="center"/>
              <w:ind w:left="251"/>
              <w:spacing w:after="0"/>
              <w:rPr>
                <w:rFonts w:ascii="Times New Roman" w:cs="Times New Roman" w:eastAsia="Times New Roman" w:hAnsi="Times New Roman"/>
                <w:sz w:val="18"/>
                <w:szCs w:val="18"/>
                <w:color w:val="0000FF"/>
                <w:w w:val="97"/>
              </w:rPr>
            </w:pPr>
            <w:hyperlink r:id="rId71">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66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0" w:type="dxa"/>
            <w:vAlign w:val="bottom"/>
            <w:gridSpan w:val="4"/>
            <w:vMerge w:val="continue"/>
          </w:tcPr>
          <w:p>
            <w:pPr>
              <w:spacing w:after="0"/>
              <w:rPr>
                <w:sz w:val="22"/>
                <w:szCs w:val="22"/>
                <w:color w:val="auto"/>
              </w:rPr>
            </w:pPr>
          </w:p>
        </w:tc>
        <w:tc>
          <w:tcPr>
            <w:tcW w:w="660" w:type="dxa"/>
            <w:vAlign w:val="bottom"/>
          </w:tcPr>
          <w:p>
            <w:pPr>
              <w:spacing w:after="0"/>
              <w:rPr>
                <w:sz w:val="22"/>
                <w:szCs w:val="22"/>
                <w:color w:val="auto"/>
              </w:rPr>
            </w:pPr>
          </w:p>
        </w:tc>
        <w:tc>
          <w:tcPr>
            <w:tcW w:w="8440" w:type="dxa"/>
            <w:vAlign w:val="bottom"/>
            <w:gridSpan w:val="23"/>
            <w:vMerge w:val="restart"/>
          </w:tcPr>
          <w:p>
            <w:pPr>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Second Amended and Restated Credit Agreement dated as of July 6, 2022, by and among the Company; the</w:t>
              </w:r>
            </w:hyperlink>
          </w:p>
        </w:tc>
        <w:tc>
          <w:tcPr>
            <w:tcW w:w="0" w:type="dxa"/>
            <w:vAlign w:val="bottom"/>
          </w:tcPr>
          <w:p>
            <w:pPr>
              <w:spacing w:after="0"/>
              <w:rPr>
                <w:sz w:val="1"/>
                <w:szCs w:val="1"/>
                <w:color w:val="auto"/>
              </w:rPr>
            </w:pPr>
          </w:p>
        </w:tc>
      </w:tr>
      <w:tr>
        <w:trPr>
          <w:trHeight w:val="74"/>
        </w:trPr>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40" w:type="dxa"/>
            <w:vAlign w:val="bottom"/>
            <w:gridSpan w:val="2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lenders party thereto; and Wells Fargo Bank, National Association, as Agent; filed as Exhibit 10.1 of the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18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Registrant's Current Report on Form 8-K (Reg. No. 001-33913) as filed with the Securities and Exchange</w:t>
              </w:r>
            </w:hyperlink>
          </w:p>
        </w:tc>
        <w:tc>
          <w:tcPr>
            <w:tcW w:w="40" w:type="dxa"/>
            <w:vAlign w:val="bottom"/>
            <w:tcBorders>
              <w:bottom w:val="single" w:sz="8" w:color="0000FF"/>
            </w:tcBorders>
            <w:gridSpan w:val="2"/>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380" w:type="dxa"/>
            <w:vAlign w:val="bottom"/>
            <w:gridSpan w:val="20"/>
          </w:tcPr>
          <w:p>
            <w:pPr>
              <w:spacing w:after="0" w:line="169"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Commission on July 6, 2022, and incorporated herein by reference.</w:t>
              </w:r>
            </w:hyperlink>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40" w:type="dxa"/>
            <w:vAlign w:val="bottom"/>
            <w:gridSpan w:val="3"/>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0" w:type="dxa"/>
            <w:vAlign w:val="bottom"/>
            <w:gridSpan w:val="4"/>
          </w:tcPr>
          <w:p>
            <w:pPr>
              <w:jc w:val="center"/>
              <w:ind w:left="251"/>
              <w:spacing w:after="0"/>
              <w:rPr>
                <w:rFonts w:ascii="Times New Roman" w:cs="Times New Roman" w:eastAsia="Times New Roman" w:hAnsi="Times New Roman"/>
                <w:sz w:val="18"/>
                <w:szCs w:val="18"/>
                <w:color w:val="0000FF"/>
                <w:w w:val="97"/>
              </w:rPr>
            </w:pPr>
            <w:hyperlink r:id="rId72">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3</w:t>
              </w:r>
            </w:hyperlink>
          </w:p>
        </w:tc>
        <w:tc>
          <w:tcPr>
            <w:tcW w:w="660" w:type="dxa"/>
            <w:vAlign w:val="bottom"/>
          </w:tcPr>
          <w:p>
            <w:pPr>
              <w:spacing w:after="0"/>
              <w:rPr>
                <w:sz w:val="22"/>
                <w:szCs w:val="22"/>
                <w:color w:val="auto"/>
              </w:rPr>
            </w:pPr>
          </w:p>
        </w:tc>
        <w:tc>
          <w:tcPr>
            <w:tcW w:w="8440" w:type="dxa"/>
            <w:vAlign w:val="bottom"/>
            <w:gridSpan w:val="23"/>
          </w:tcPr>
          <w:p>
            <w:pPr>
              <w:spacing w:after="0"/>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Amendment No.1 to the Second Amended and Restated Credit Agreement among the Company (acting as</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30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borrower), the Company subsidiaries acting as guarantors thereto, Wells Fargo Bank, National Association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20" w:type="dxa"/>
            <w:vAlign w:val="bottom"/>
            <w:tcBorders>
              <w:top w:val="single" w:sz="8" w:color="0000FF"/>
              <w:bottom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agent, swingline lender and issuing lender, and the other parties thereto, dated as of June 12, 2024, filed as</w:t>
              </w:r>
            </w:hyperlink>
          </w:p>
        </w:tc>
        <w:tc>
          <w:tcPr>
            <w:tcW w:w="100" w:type="dxa"/>
            <w:vAlign w:val="bottom"/>
            <w:tcBorders>
              <w:bottom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320" w:type="dxa"/>
            <w:vAlign w:val="bottom"/>
            <w:tcBorders>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Exhibit 10.1 to the Registrant’s Current Report on Form 8-K (Reg. No. 001-33913), as filed with the Securities</w:t>
              </w:r>
            </w:hyperlink>
          </w:p>
        </w:tc>
        <w:tc>
          <w:tcPr>
            <w:tcW w:w="20" w:type="dxa"/>
            <w:vAlign w:val="bottom"/>
            <w:tcBorders>
              <w:bottom w:val="single" w:sz="8" w:color="0000FF"/>
            </w:tcBorders>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340" w:type="dxa"/>
            <w:vAlign w:val="bottom"/>
            <w:gridSpan w:val="18"/>
          </w:tcPr>
          <w:p>
            <w:pPr>
              <w:spacing w:after="0" w:line="156"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and Exchange Commission on June 12, 2024, and incorporated herein by reference.</w:t>
              </w:r>
            </w:hyperlink>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760" w:type="dxa"/>
            <w:vAlign w:val="bottom"/>
            <w:gridSpan w:val="4"/>
          </w:tcPr>
          <w:p>
            <w:pPr>
              <w:jc w:val="center"/>
              <w:ind w:left="271"/>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660" w:type="dxa"/>
            <w:vAlign w:val="bottom"/>
          </w:tcPr>
          <w:p>
            <w:pPr>
              <w:spacing w:after="0"/>
              <w:rPr>
                <w:sz w:val="24"/>
                <w:szCs w:val="24"/>
                <w:color w:val="auto"/>
              </w:rPr>
            </w:pPr>
          </w:p>
        </w:tc>
        <w:tc>
          <w:tcPr>
            <w:tcW w:w="60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by chief executive officer pursuant to Rule 13a-14(a)/15d-14(a).</w:t>
            </w:r>
          </w:p>
        </w:tc>
        <w:tc>
          <w:tcPr>
            <w:tcW w:w="242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60" w:type="dxa"/>
            <w:vAlign w:val="bottom"/>
            <w:gridSpan w:val="5"/>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920" w:type="dxa"/>
            <w:vAlign w:val="bottom"/>
            <w:tcBorders>
              <w:left w:val="single" w:sz="8" w:color="0000FF"/>
            </w:tcBorders>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0" w:type="dxa"/>
            <w:vAlign w:val="bottom"/>
            <w:gridSpan w:val="4"/>
          </w:tcPr>
          <w:p>
            <w:pPr>
              <w:jc w:val="center"/>
              <w:ind w:left="271"/>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660" w:type="dxa"/>
            <w:vAlign w:val="bottom"/>
          </w:tcPr>
          <w:p>
            <w:pPr>
              <w:spacing w:after="0"/>
              <w:rPr>
                <w:sz w:val="22"/>
                <w:szCs w:val="22"/>
                <w:color w:val="auto"/>
              </w:rPr>
            </w:pPr>
          </w:p>
        </w:tc>
        <w:tc>
          <w:tcPr>
            <w:tcW w:w="84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Certification by chief financial officer pursuant to Rule 13a-14(a)/15d-14(a).</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60" w:type="dxa"/>
            <w:vAlign w:val="bottom"/>
            <w:gridSpan w:val="5"/>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92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0" w:type="dxa"/>
            <w:vAlign w:val="bottom"/>
            <w:gridSpan w:val="4"/>
          </w:tcPr>
          <w:p>
            <w:pPr>
              <w:jc w:val="center"/>
              <w:ind w:left="271"/>
              <w:spacing w:after="0"/>
              <w:rPr>
                <w:sz w:val="20"/>
                <w:szCs w:val="20"/>
                <w:color w:val="auto"/>
              </w:rPr>
            </w:pPr>
            <w:r>
              <w:rPr>
                <w:rFonts w:ascii="Times New Roman" w:cs="Times New Roman" w:eastAsia="Times New Roman" w:hAnsi="Times New Roman"/>
                <w:sz w:val="18"/>
                <w:szCs w:val="18"/>
                <w:color w:val="0000FF"/>
                <w:w w:val="98"/>
              </w:rPr>
              <w:t>*32.</w:t>
            </w:r>
            <w:r>
              <w:rPr>
                <w:rFonts w:ascii="Times New Roman" w:cs="Times New Roman" w:eastAsia="Times New Roman" w:hAnsi="Times New Roman"/>
                <w:sz w:val="18"/>
                <w:szCs w:val="18"/>
                <w:u w:val="single" w:color="auto"/>
                <w:color w:val="0000FF"/>
                <w:w w:val="98"/>
              </w:rPr>
              <w:t>1</w:t>
            </w:r>
          </w:p>
        </w:tc>
        <w:tc>
          <w:tcPr>
            <w:tcW w:w="660" w:type="dxa"/>
            <w:vAlign w:val="bottom"/>
          </w:tcPr>
          <w:p>
            <w:pPr>
              <w:spacing w:after="0"/>
              <w:rPr>
                <w:sz w:val="22"/>
                <w:szCs w:val="22"/>
                <w:color w:val="auto"/>
              </w:rPr>
            </w:pPr>
          </w:p>
        </w:tc>
        <w:tc>
          <w:tcPr>
            <w:tcW w:w="84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60" w:type="dxa"/>
            <w:vAlign w:val="bottom"/>
            <w:gridSpan w:val="5"/>
            <w:shd w:val="clear" w:color="auto" w:fill="0000FF"/>
          </w:tcPr>
          <w:p>
            <w:pPr>
              <w:spacing w:after="0" w:line="20" w:lineRule="exact"/>
              <w:rPr>
                <w:sz w:val="1"/>
                <w:szCs w:val="1"/>
                <w:color w:val="auto"/>
              </w:rPr>
            </w:pPr>
          </w:p>
        </w:tc>
        <w:tc>
          <w:tcPr>
            <w:tcW w:w="318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rPr>
              <w:t>*101.INS</w:t>
            </w:r>
          </w:p>
        </w:tc>
        <w:tc>
          <w:tcPr>
            <w:tcW w:w="84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c>
          <w:tcPr>
            <w:tcW w:w="0" w:type="dxa"/>
            <w:vAlign w:val="bottom"/>
          </w:tcPr>
          <w:p>
            <w:pPr>
              <w:spacing w:after="0"/>
              <w:rPr>
                <w:sz w:val="1"/>
                <w:szCs w:val="1"/>
                <w:color w:val="auto"/>
              </w:rPr>
            </w:pPr>
          </w:p>
        </w:tc>
      </w:tr>
      <w:tr>
        <w:trPr>
          <w:trHeight w:val="292"/>
        </w:trPr>
        <w:tc>
          <w:tcPr>
            <w:tcW w:w="142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rPr>
              <w:t>*101.SCH</w:t>
            </w:r>
          </w:p>
        </w:tc>
        <w:tc>
          <w:tcPr>
            <w:tcW w:w="84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83"/>
        </w:trPr>
        <w:tc>
          <w:tcPr>
            <w:tcW w:w="142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9"/>
              </w:rPr>
              <w:t>*101.CAL</w:t>
            </w:r>
          </w:p>
        </w:tc>
        <w:tc>
          <w:tcPr>
            <w:tcW w:w="84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3"/>
        </w:trPr>
        <w:tc>
          <w:tcPr>
            <w:tcW w:w="14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9"/>
              </w:rPr>
              <w:t>*101.DEF</w:t>
            </w:r>
          </w:p>
        </w:tc>
        <w:tc>
          <w:tcPr>
            <w:tcW w:w="84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4"/>
        </w:trPr>
        <w:tc>
          <w:tcPr>
            <w:tcW w:w="142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9"/>
              </w:rPr>
              <w:t>*101.LAB</w:t>
            </w:r>
          </w:p>
        </w:tc>
        <w:tc>
          <w:tcPr>
            <w:tcW w:w="84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83"/>
        </w:trPr>
        <w:tc>
          <w:tcPr>
            <w:tcW w:w="14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rPr>
              <w:t>*101.PRE</w:t>
            </w:r>
          </w:p>
        </w:tc>
        <w:tc>
          <w:tcPr>
            <w:tcW w:w="84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permitted by Item 601(b)(4)(iii)(A) of Regulation S-K, the Registrant has not filed with this Quarterly Report on Form 10-Q certain instruments defining the rights of holders of long-term debt of the Registrant and its subsidiaries because the total amount of securities authorized under any of such instruments does not exceed 10% of the total assets of the Registrant and its subsidiaries on a consolidated basis. The Registrant agrees to furnish a copy of any such agreements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2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L. Wilson, certify that:</w:t>
      </w:r>
    </w:p>
    <w:p>
      <w:pPr>
        <w:spacing w:after="0" w:line="158"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Quanex Building Products Corporation (the “Registrant”);</w:t>
      </w:r>
    </w:p>
    <w:p>
      <w:pPr>
        <w:spacing w:after="0" w:line="15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1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1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1620" w:hanging="316"/>
        <w:spacing w:after="0" w:line="282" w:lineRule="auto"/>
        <w:tabs>
          <w:tab w:leader="none" w:pos="161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6, 2024</w:t>
      </w:r>
    </w:p>
    <w:p>
      <w:pPr>
        <w:spacing w:after="0" w:line="3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George 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44659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4465955" cy="889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George L. Wilson</w:t>
      </w:r>
    </w:p>
    <w:p>
      <w:pPr>
        <w:ind w:left="40"/>
        <w:spacing w:after="0" w:line="205" w:lineRule="auto"/>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M. Zuehlke, certify that:</w:t>
      </w:r>
    </w:p>
    <w:p>
      <w:pPr>
        <w:spacing w:after="0" w:line="158"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Quanex Building Products Corporation (the “Registrant”);</w:t>
      </w:r>
    </w:p>
    <w:p>
      <w:pPr>
        <w:spacing w:after="0" w:line="15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1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1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1620" w:hanging="316"/>
        <w:spacing w:after="0" w:line="282" w:lineRule="auto"/>
        <w:tabs>
          <w:tab w:leader="none" w:pos="161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6, 2024</w:t>
      </w:r>
    </w:p>
    <w:p>
      <w:pPr>
        <w:spacing w:after="0" w:line="3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44659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4465955" cy="889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Scott M. Zuehlke</w:t>
      </w:r>
    </w:p>
    <w:p>
      <w:pPr>
        <w:ind w:left="40"/>
        <w:spacing w:after="0" w:line="205" w:lineRule="auto"/>
        <w:rPr>
          <w:sz w:val="20"/>
          <w:szCs w:val="20"/>
          <w:color w:val="auto"/>
        </w:rPr>
      </w:pPr>
      <w:r>
        <w:rPr>
          <w:rFonts w:ascii="Times New Roman" w:cs="Times New Roman" w:eastAsia="Times New Roman" w:hAnsi="Times New Roman"/>
          <w:sz w:val="18"/>
          <w:szCs w:val="18"/>
          <w:color w:val="auto"/>
        </w:rPr>
        <w:t>Senior Vice President - Chief Financial Officer and Treasurer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58"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14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hereby certify that the accompanying Quarterly Report on Form 10-Q of Quanex Building Products Corporation for the quarter ended July 31, 2024 fully complies with the requirements of Section 13(a) or 15(d) of the Securities Exchange Act of 1934 and that information contained in such Report fairly presents, in all material respects, the financial condition and results of operations of Quanex Building Products Corporation.</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6, 2024</w:t>
            </w:r>
          </w:p>
        </w:tc>
        <w:tc>
          <w:tcPr>
            <w:tcW w:w="5400" w:type="dxa"/>
            <w:vAlign w:val="bottom"/>
          </w:tcPr>
          <w:p>
            <w:pPr>
              <w:spacing w:after="0"/>
              <w:rPr>
                <w:sz w:val="20"/>
                <w:szCs w:val="20"/>
                <w:color w:val="auto"/>
              </w:rPr>
            </w:pPr>
          </w:p>
        </w:tc>
      </w:tr>
      <w:tr>
        <w:trPr>
          <w:trHeight w:val="513"/>
        </w:trPr>
        <w:tc>
          <w:tcPr>
            <w:tcW w:w="58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 George L. Wilson</w:t>
            </w: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Scott M. Zuehlke</w:t>
            </w:r>
          </w:p>
        </w:tc>
      </w:tr>
      <w:tr>
        <w:trPr>
          <w:trHeight w:val="169"/>
        </w:trPr>
        <w:tc>
          <w:tcPr>
            <w:tcW w:w="54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George L. Wilson</w:t>
            </w:r>
          </w:p>
        </w:tc>
        <w:tc>
          <w:tcPr>
            <w:tcW w:w="440" w:type="dxa"/>
            <w:vAlign w:val="bottom"/>
          </w:tcPr>
          <w:p>
            <w:pPr>
              <w:spacing w:after="0"/>
              <w:rPr>
                <w:sz w:val="14"/>
                <w:szCs w:val="14"/>
                <w:color w:val="auto"/>
              </w:rPr>
            </w:pPr>
          </w:p>
        </w:tc>
        <w:tc>
          <w:tcPr>
            <w:tcW w:w="54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Scott M. Zuehlke</w:t>
            </w:r>
          </w:p>
        </w:tc>
      </w:tr>
      <w:tr>
        <w:trPr>
          <w:trHeight w:val="182"/>
        </w:trPr>
        <w:tc>
          <w:tcPr>
            <w:tcW w:w="5840" w:type="dxa"/>
            <w:vAlign w:val="bottom"/>
            <w:gridSpan w:val="2"/>
          </w:tcPr>
          <w:p>
            <w:pPr>
              <w:jc w:val="center"/>
              <w:ind w:right="420"/>
              <w:spacing w:after="0" w:line="182" w:lineRule="exact"/>
              <w:rPr>
                <w:sz w:val="20"/>
                <w:szCs w:val="20"/>
                <w:color w:val="auto"/>
              </w:rPr>
            </w:pPr>
            <w:r>
              <w:rPr>
                <w:rFonts w:ascii="Times New Roman" w:cs="Times New Roman" w:eastAsia="Times New Roman" w:hAnsi="Times New Roman"/>
                <w:sz w:val="18"/>
                <w:szCs w:val="18"/>
                <w:i w:val="1"/>
                <w:iCs w:val="1"/>
                <w:color w:val="auto"/>
                <w:w w:val="99"/>
              </w:rPr>
              <w:t>Chairman of the Board, President and Chief Executive Officer</w:t>
            </w:r>
          </w:p>
        </w:tc>
        <w:tc>
          <w:tcPr>
            <w:tcW w:w="54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w w:val="98"/>
              </w:rPr>
              <w:t>Senior Vice President—Chief Financial Officer and Treasurer</w:t>
            </w:r>
          </w:p>
        </w:tc>
      </w:tr>
      <w:tr>
        <w:trPr>
          <w:trHeight w:val="236"/>
        </w:trPr>
        <w:tc>
          <w:tcPr>
            <w:tcW w:w="58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65" Type="http://schemas.openxmlformats.org/officeDocument/2006/relationships/hyperlink" Target="https://www.sec.gov/Archives/edgar/data/1423221/000110465924049723/tm2412350d1_ex2-1.htm" TargetMode="External"/><Relationship Id="rId66" Type="http://schemas.openxmlformats.org/officeDocument/2006/relationships/hyperlink" Target="https://www.sec.gov/Archives/edgar/data/1423221/000110465924049723/tm2412350d1_ex2-2.htm" TargetMode="External"/><Relationship Id="rId67" Type="http://schemas.openxmlformats.org/officeDocument/2006/relationships/hyperlink" Target="https://www.sec.gov/Archives/edgar/data/1423221/000110465924049723/tm2412350d1_ex2-3.htm" TargetMode="External"/><Relationship Id="rId68" Type="http://schemas.openxmlformats.org/officeDocument/2006/relationships/hyperlink" Target="https://www.sec.gov/Archives/edgar/data/1423221/000119312516495257/d156158dex31.htm" TargetMode="External"/><Relationship Id="rId69" Type="http://schemas.openxmlformats.org/officeDocument/2006/relationships/hyperlink" Target="https://www.sec.gov/Archives/edgar/data/1423221/000142322120000005/nx01312020ex32.htm" TargetMode="External"/><Relationship Id="rId70" Type="http://schemas.openxmlformats.org/officeDocument/2006/relationships/hyperlink" Target="https://www.sec.gov/Archives/edgar/data/1423221/000095012908000988/h52992a1exv4w1.htm" TargetMode="External"/><Relationship Id="rId71" Type="http://schemas.openxmlformats.org/officeDocument/2006/relationships/hyperlink" Target="https://www.sec.gov/Archives/edgar/data/1423221/000110465922077705/tm2220473d1_ex10-1.htm" TargetMode="External"/><Relationship Id="rId72" Type="http://schemas.openxmlformats.org/officeDocument/2006/relationships/hyperlink" Target="https://www.sec.gov/Archives/edgar/data/1423221/000110465924071335/tm2417183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2024-09-06T15:19:11Z</dcterms:created>
  <dcterms:modified xsi:type="dcterms:W3CDTF">2024-09-06T15:19:11Z</dcterms:modified>
</cp:coreProperties>
</file>