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-224790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4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-657860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5241925</wp:posOffset>
            </wp:positionH>
            <wp:positionV relativeFrom="paragraph">
              <wp:posOffset>-623570</wp:posOffset>
            </wp:positionV>
            <wp:extent cx="57785" cy="636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3961765</wp:posOffset>
            </wp:positionH>
            <wp:positionV relativeFrom="paragraph">
              <wp:posOffset>-623570</wp:posOffset>
            </wp:positionV>
            <wp:extent cx="57785" cy="6369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739775</wp:posOffset>
            </wp:positionV>
            <wp:extent cx="7046595" cy="49809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80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Cornett Paul</w:t>
              </w:r>
            </w:hyperlink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0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Quanex Building Products CORP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NX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Foreign Trading Symbol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top w:val="single" w:sz="8" w:color="0000EE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 BUNKER HILL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11/02/2026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900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-10" w:right="640" w:firstLine="10"/>
        <w:spacing w:after="0" w:line="256" w:lineRule="auto"/>
        <w:tabs>
          <w:tab w:leader="none" w:pos="13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530"/>
        <w:spacing w:after="0"/>
        <w:tabs>
          <w:tab w:leader="none" w:pos="209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530"/>
        <w:spacing w:after="0"/>
        <w:tabs>
          <w:tab w:leader="none" w:pos="209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9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 General Counsel, Secretary</w:t>
      </w: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0"/>
            <w:col w:w="335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77024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5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5,500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19.45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75,573.5244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5,500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21.3247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70,073.5244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jc w:val="center"/>
              <w:ind w:left="4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19.45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11/02/2026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32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7"/>
              </w:rPr>
              <w:t>5,500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87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11/30/2019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11/30/2026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1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 xml:space="preserve">Common   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vertAlign w:val="subscript"/>
              </w:rPr>
              <w:t>5,500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options were exercised pursuant to a Rule 10b5-1 preset diversification program previously adopted by the reporting person on July 1, 2021.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77.915 shares credited to the reporter's account as the result of dividend reinvestments under the Company's Employee Stock Purchase Plan.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1"/>
        <w:spacing w:after="0" w:line="253" w:lineRule="auto"/>
        <w:tabs>
          <w:tab w:leader="none" w:pos="168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is a weighted-average price. The shares were sold in multiple transactions at prices ranging from $21.08 to $21.76, inclusive. The reporting person undertakes to provide, upon request by the SEC staff, the issuer, or a security holder of the issuer, full information regarding the number of shares sold at each separate price.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Paul B. Cornett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11/03/2026</w:t>
            </w:r>
          </w:p>
        </w:tc>
      </w:tr>
      <w:tr>
        <w:trPr>
          <w:trHeight w:val="20"/>
        </w:trPr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1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793319" TargetMode="External"/><Relationship Id="rId14" Type="http://schemas.openxmlformats.org/officeDocument/2006/relationships/hyperlink" Target="http://www.sec.gov/cgi-bin/browse-edgar?action=getcompany&amp;CIK=00014232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2026-11-03T15:24:57Z</dcterms:created>
  <dcterms:modified xsi:type="dcterms:W3CDTF">2026-11-03T15:24:57Z</dcterms:modified>
</cp:coreProperties>
</file>