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413385</wp:posOffset>
            </wp:positionV>
            <wp:extent cx="6604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379095</wp:posOffset>
            </wp:positionV>
            <wp:extent cx="6604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0" cy="8255"/>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w:t>
      </w:r>
    </w:p>
    <w:p>
      <w:pPr>
        <w:spacing w:after="0" w:line="7"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10-K</w:t>
      </w:r>
    </w:p>
    <w:p>
      <w:pPr>
        <w:spacing w:after="0" w:line="15" w:lineRule="exact"/>
        <w:rPr>
          <w:sz w:val="24"/>
          <w:szCs w:val="24"/>
          <w:color w:val="auto"/>
        </w:rPr>
      </w:pPr>
    </w:p>
    <w:p>
      <w:pPr>
        <w:spacing w:after="0" w:line="322" w:lineRule="exact"/>
        <w:tabs>
          <w:tab w:leader="none" w:pos="1000" w:val="left"/>
        </w:tabs>
        <w:rPr>
          <w:sz w:val="20"/>
          <w:szCs w:val="20"/>
          <w:color w:val="auto"/>
        </w:rPr>
      </w:pPr>
      <w:r>
        <w:rPr>
          <w:rFonts w:ascii="Arial" w:cs="Arial" w:eastAsia="Arial" w:hAnsi="Arial"/>
          <w:sz w:val="28"/>
          <w:szCs w:val="28"/>
          <w:color w:val="auto"/>
          <w:vertAlign w:val="subscript"/>
        </w:rPr>
        <w:t>(Mark One)</w:t>
      </w:r>
      <w:r>
        <w:rPr>
          <w:rFonts w:ascii="Arial" w:cs="Arial" w:eastAsia="Arial" w:hAnsi="Arial"/>
          <w:sz w:val="17"/>
          <w:szCs w:val="17"/>
          <w:b w:val="1"/>
          <w:bCs w:val="1"/>
          <w:color w:val="auto"/>
        </w:rPr>
        <w:t xml:space="preserve">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b w:val="1"/>
          <w:bCs w:val="1"/>
          <w:color w:val="auto"/>
        </w:rPr>
        <w:t>ANNUAL REPORT PURSUANT TO SECTION 13 OR 15(d) OF THE SECURITIES EXCHANGE ACT OF 1934</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For the Fiscal Year Ended October 31, 2021</w:t>
      </w:r>
    </w:p>
    <w:p>
      <w:pPr>
        <w:spacing w:after="0" w:line="22"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or</w:t>
      </w:r>
    </w:p>
    <w:p>
      <w:pPr>
        <w:spacing w:after="0" w:line="22"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Commission file number 1-33913</w:t>
      </w:r>
    </w:p>
    <w:p>
      <w:pPr>
        <w:spacing w:after="0" w:line="2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w:t>
      </w:r>
    </w:p>
    <w:p>
      <w:pPr>
        <w:spacing w:after="0" w:line="9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QUANEX BUILDING PRODUCTS CORPORATION</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320" w:top="735" w:right="259" w:bottom="1440" w:gutter="0" w:footer="0" w:header="0"/>
        </w:sectPr>
      </w:pPr>
    </w:p>
    <w:p>
      <w:pPr>
        <w:spacing w:after="0" w:line="28"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26-1561397</w:t>
      </w:r>
    </w:p>
    <w:p>
      <w:pPr>
        <w:spacing w:after="0" w:line="50" w:lineRule="exact"/>
        <w:rPr>
          <w:sz w:val="24"/>
          <w:szCs w:val="24"/>
          <w:color w:val="auto"/>
        </w:rPr>
      </w:pPr>
    </w:p>
    <w:p>
      <w:pPr>
        <w:sectPr>
          <w:pgSz w:w="11900" w:h="16838" w:orient="portrait"/>
          <w:cols w:equalWidth="0" w:num="2">
            <w:col w:w="7140" w:space="720"/>
            <w:col w:w="3460"/>
          </w:cols>
          <w:pgMar w:left="320" w:top="735" w:right="259" w:bottom="1440" w:gutter="0" w:footer="0" w:header="0"/>
          <w:type w:val="continuous"/>
        </w:sectPr>
      </w:pPr>
    </w:p>
    <w:p>
      <w:pPr>
        <w:ind w:left="11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14" w:lineRule="exact"/>
        <w:rPr>
          <w:sz w:val="24"/>
          <w:szCs w:val="24"/>
          <w:color w:val="auto"/>
        </w:rPr>
      </w:pPr>
    </w:p>
    <w:p>
      <w:pPr>
        <w:sectPr>
          <w:pgSz w:w="11900" w:h="16838" w:orient="portrait"/>
          <w:cols w:equalWidth="0" w:num="2">
            <w:col w:w="6480" w:space="720"/>
            <w:col w:w="4120"/>
          </w:cols>
          <w:pgMar w:left="320" w:top="735" w:right="25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Registrant’s telephone number, including area code: (713) 961-4600</w:t>
      </w:r>
    </w:p>
    <w:p>
      <w:pPr>
        <w:spacing w:after="0" w:line="3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_______________________________</w:t>
      </w:r>
    </w:p>
    <w:p>
      <w:pPr>
        <w:spacing w:after="0" w:line="9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20"/>
          </w:cols>
          <w:pgMar w:left="320" w:top="735" w:right="259" w:bottom="1440" w:gutter="0" w:footer="0" w:header="0"/>
          <w:type w:val="continuous"/>
        </w:sectPr>
      </w:pPr>
    </w:p>
    <w:p>
      <w:pPr>
        <w:spacing w:after="0" w:line="44" w:lineRule="exact"/>
        <w:rPr>
          <w:sz w:val="24"/>
          <w:szCs w:val="24"/>
          <w:color w:val="auto"/>
        </w:rPr>
      </w:pPr>
    </w:p>
    <w:p>
      <w:pPr>
        <w:jc w:val="center"/>
        <w:ind w:left="6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ind w:right="10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4" w:lineRule="exact"/>
        <w:rPr>
          <w:sz w:val="24"/>
          <w:szCs w:val="24"/>
          <w:color w:val="auto"/>
        </w:rPr>
      </w:pPr>
    </w:p>
    <w:p>
      <w:pPr>
        <w:sectPr>
          <w:pgSz w:w="11900" w:h="16838" w:orient="portrait"/>
          <w:cols w:equalWidth="0" w:num="3">
            <w:col w:w="4640" w:space="720"/>
            <w:col w:w="1520" w:space="720"/>
            <w:col w:w="3720"/>
          </w:cols>
          <w:pgMar w:left="320" w:top="735" w:right="259" w:bottom="1440" w:gutter="0" w:footer="0" w:header="0"/>
          <w:type w:val="continuous"/>
        </w:sectPr>
      </w:pPr>
    </w:p>
    <w:p>
      <w:pPr>
        <w:ind w:left="3160" w:right="1380" w:hanging="1748"/>
        <w:spacing w:after="0" w:line="335" w:lineRule="auto"/>
        <w:rPr>
          <w:sz w:val="20"/>
          <w:szCs w:val="20"/>
          <w:color w:val="auto"/>
        </w:rPr>
      </w:pPr>
      <w:r>
        <w:rPr>
          <w:rFonts w:ascii="Arial" w:cs="Arial" w:eastAsia="Arial" w:hAnsi="Arial"/>
          <w:sz w:val="18"/>
          <w:szCs w:val="18"/>
          <w:b w:val="1"/>
          <w:bCs w:val="1"/>
          <w:color w:val="auto"/>
        </w:rPr>
        <w:t>Common Stock, $0.01 par value</w:t>
      </w:r>
      <w:r>
        <w:rPr>
          <w:sz w:val="20"/>
          <w:szCs w:val="20"/>
          <w:color w:val="auto"/>
        </w:rPr>
        <w:t xml:space="preserve"> </w:t>
      </w:r>
      <w:r>
        <w:rPr>
          <w:rFonts w:ascii="Arial" w:cs="Arial" w:eastAsia="Arial" w:hAnsi="Arial"/>
          <w:sz w:val="18"/>
          <w:szCs w:val="18"/>
          <w:b w:val="1"/>
          <w:bCs w:val="1"/>
          <w:color w:val="auto"/>
        </w:rPr>
        <w:t xml:space="preserve">NX New York Stock Exchange Securities registered pursuant to Section 12(g) of the Act: NONE </w:t>
      </w:r>
      <w:r>
        <w:rPr>
          <w:rFonts w:ascii="Arial" w:cs="Arial" w:eastAsia="Arial" w:hAnsi="Arial"/>
          <w:sz w:val="18"/>
          <w:szCs w:val="18"/>
          <w:color w:val="auto"/>
        </w:rPr>
        <w:t>_______________________________</w:t>
      </w:r>
    </w:p>
    <w:p>
      <w:pPr>
        <w:sectPr>
          <w:pgSz w:w="11900" w:h="16838" w:orient="portrait"/>
          <w:cols w:equalWidth="0" w:num="1">
            <w:col w:w="11320"/>
          </w:cols>
          <w:pgMar w:left="320" w:top="735" w:right="259" w:bottom="1440" w:gutter="0" w:footer="0" w:header="0"/>
          <w:type w:val="continuous"/>
        </w:sectPr>
      </w:pPr>
    </w:p>
    <w:p>
      <w:pPr>
        <w:spacing w:after="0" w:line="223" w:lineRule="exact"/>
        <w:rPr>
          <w:sz w:val="24"/>
          <w:szCs w:val="24"/>
          <w:color w:val="auto"/>
        </w:rPr>
      </w:pPr>
    </w:p>
    <w:p>
      <w:pPr>
        <w:ind w:left="1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4">
            <w:col w:w="7740" w:space="200"/>
            <w:col w:w="220" w:space="100"/>
            <w:col w:w="160" w:space="180"/>
            <w:col w:w="2720"/>
          </w:cols>
          <w:pgMar w:left="320" w:top="735" w:right="259" w:bottom="1440" w:gutter="0" w:footer="0" w:header="0"/>
          <w:type w:val="continuous"/>
        </w:sectPr>
      </w:pPr>
    </w:p>
    <w:p>
      <w:pPr>
        <w:spacing w:after="0" w:line="37" w:lineRule="exact"/>
        <w:rPr>
          <w:sz w:val="24"/>
          <w:szCs w:val="24"/>
          <w:color w:val="auto"/>
        </w:rPr>
      </w:pPr>
    </w:p>
    <w:p>
      <w:pPr>
        <w:jc w:val="center"/>
        <w:ind w:left="1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sectPr>
          <w:pgSz w:w="11900" w:h="16838" w:orient="portrait"/>
          <w:cols w:equalWidth="0" w:num="4">
            <w:col w:w="7880" w:space="160"/>
            <w:col w:w="240" w:space="80"/>
            <w:col w:w="160" w:space="180"/>
            <w:col w:w="2620"/>
          </w:cols>
          <w:pgMar w:left="320" w:top="735" w:right="259" w:bottom="1440" w:gutter="0" w:footer="0" w:header="0"/>
          <w:type w:val="continuous"/>
        </w:sectPr>
      </w:pPr>
    </w:p>
    <w:p>
      <w:pPr>
        <w:jc w:val="both"/>
        <w:ind w:right="80" w:firstLine="161"/>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5" w:lineRule="exact"/>
        <w:rPr>
          <w:sz w:val="24"/>
          <w:szCs w:val="24"/>
          <w:color w:val="auto"/>
        </w:rPr>
      </w:pPr>
    </w:p>
    <w:p>
      <w:pPr>
        <w:jc w:val="both"/>
        <w:ind w:right="80" w:firstLine="161"/>
        <w:spacing w:after="0" w:line="21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5" w:lineRule="exact"/>
        <w:rPr>
          <w:sz w:val="24"/>
          <w:szCs w:val="24"/>
          <w:color w:val="auto"/>
        </w:rPr>
      </w:pPr>
    </w:p>
    <w:p>
      <w:pPr>
        <w:jc w:val="both"/>
        <w:ind w:right="80" w:firstLine="161"/>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26"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240" w:type="dxa"/>
            <w:vAlign w:val="bottom"/>
          </w:tcPr>
          <w:p>
            <w:pPr>
              <w:ind w:left="160"/>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0" w:type="dxa"/>
            <w:vAlign w:val="bottom"/>
          </w:tcPr>
          <w:p>
            <w:pPr>
              <w:spacing w:after="0"/>
              <w:rPr>
                <w:sz w:val="1"/>
                <w:szCs w:val="1"/>
                <w:color w:val="auto"/>
              </w:rPr>
            </w:pPr>
          </w:p>
        </w:tc>
      </w:tr>
      <w:tr>
        <w:trPr>
          <w:trHeight w:val="228"/>
        </w:trPr>
        <w:tc>
          <w:tcPr>
            <w:tcW w:w="3240" w:type="dxa"/>
            <w:vAlign w:val="bottom"/>
          </w:tcPr>
          <w:p>
            <w:pPr>
              <w:ind w:left="160"/>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60" w:type="dxa"/>
            <w:vAlign w:val="bottom"/>
          </w:tcPr>
          <w:p>
            <w:pPr>
              <w:ind w:left="50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960" w:type="dxa"/>
            <w:vAlign w:val="bottom"/>
          </w:tcPr>
          <w:p>
            <w:pPr>
              <w:ind w:left="500"/>
              <w:spacing w:after="0"/>
              <w:rPr>
                <w:sz w:val="20"/>
                <w:szCs w:val="20"/>
                <w:color w:val="auto"/>
              </w:rPr>
            </w:pPr>
            <w:r>
              <w:rPr>
                <w:rFonts w:ascii="Arial" w:cs="Arial" w:eastAsia="Arial" w:hAnsi="Arial"/>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0" w:type="dxa"/>
            <w:vAlign w:val="bottom"/>
          </w:tcPr>
          <w:p>
            <w:pPr>
              <w:spacing w:after="0"/>
              <w:rPr>
                <w:sz w:val="1"/>
                <w:szCs w:val="1"/>
                <w:color w:val="auto"/>
              </w:rPr>
            </w:pPr>
          </w:p>
        </w:tc>
      </w:tr>
      <w:tr>
        <w:trPr>
          <w:trHeight w:val="161"/>
        </w:trPr>
        <w:tc>
          <w:tcPr>
            <w:tcW w:w="10840" w:type="dxa"/>
            <w:vAlign w:val="bottom"/>
            <w:gridSpan w:val="3"/>
          </w:tcPr>
          <w:p>
            <w:pPr>
              <w:ind w:left="160"/>
              <w:spacing w:after="0" w:line="161" w:lineRule="exact"/>
              <w:rPr>
                <w:sz w:val="20"/>
                <w:szCs w:val="20"/>
                <w:color w:val="auto"/>
              </w:rPr>
            </w:pPr>
            <w:r>
              <w:rPr>
                <w:rFonts w:ascii="Arial" w:cs="Arial" w:eastAsia="Arial" w:hAnsi="Arial"/>
                <w:sz w:val="16"/>
                <w:szCs w:val="16"/>
                <w:color w:val="auto"/>
                <w:w w:val="92"/>
              </w:rPr>
              <w:t>If an emerging growth company, indicate by check mark if the registrant has elected not to use the extended period for complying with any new or revised financial</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0" w:type="dxa"/>
            <w:vAlign w:val="bottom"/>
          </w:tcPr>
          <w:p>
            <w:pPr>
              <w:spacing w:after="0"/>
              <w:rPr>
                <w:sz w:val="1"/>
                <w:szCs w:val="1"/>
                <w:color w:val="auto"/>
              </w:rPr>
            </w:pPr>
          </w:p>
        </w:tc>
      </w:tr>
      <w:tr>
        <w:trPr>
          <w:trHeight w:val="232"/>
        </w:trPr>
        <w:tc>
          <w:tcPr>
            <w:tcW w:w="5880" w:type="dxa"/>
            <w:vAlign w:val="bottom"/>
            <w:gridSpan w:val="2"/>
          </w:tcPr>
          <w:p>
            <w:pPr>
              <w:spacing w:after="0"/>
              <w:rPr>
                <w:sz w:val="20"/>
                <w:szCs w:val="20"/>
                <w:color w:val="auto"/>
              </w:rPr>
            </w:pPr>
            <w:r>
              <w:rPr>
                <w:rFonts w:ascii="Arial" w:cs="Arial" w:eastAsia="Arial" w:hAnsi="Arial"/>
                <w:sz w:val="16"/>
                <w:szCs w:val="16"/>
                <w:color w:val="auto"/>
              </w:rPr>
              <w:t>accounting standards provided pursuant to Section 7(a)(2)(B) of the Securities Act.</w:t>
            </w:r>
          </w:p>
        </w:tc>
        <w:tc>
          <w:tcPr>
            <w:tcW w:w="496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160"/>
        <w:spacing w:after="0" w:line="196" w:lineRule="exact"/>
        <w:tabs>
          <w:tab w:leader="none" w:pos="6960" w:val="left"/>
          <w:tab w:leader="none" w:pos="7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10" w:lineRule="exact"/>
        <w:rPr>
          <w:sz w:val="24"/>
          <w:szCs w:val="24"/>
          <w:color w:val="auto"/>
        </w:rPr>
      </w:pPr>
    </w:p>
    <w:p>
      <w:pPr>
        <w:ind w:right="100" w:firstLine="161"/>
        <w:spacing w:after="0" w:line="216"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80" w:firstLine="161"/>
        <w:spacing w:after="0" w:line="259" w:lineRule="auto"/>
        <w:rPr>
          <w:sz w:val="20"/>
          <w:szCs w:val="20"/>
          <w:color w:val="auto"/>
        </w:rPr>
      </w:pPr>
      <w:r>
        <w:rPr>
          <w:rFonts w:ascii="Arial" w:cs="Arial" w:eastAsia="Arial" w:hAnsi="Arial"/>
          <w:sz w:val="16"/>
          <w:szCs w:val="16"/>
          <w:color w:val="auto"/>
        </w:rPr>
        <w:t>The aggregate market value of the voting and non-voting common equity held by non-affiliates as of April 30, 2021, computed by reference to the closing price for the Common Stock on the New York Stock Exchange, Inc. on that date, was $901,994,657. Such calculation assumes only the registrant’s officers and directors at such date were affiliates of the registrant.</w:t>
      </w:r>
    </w:p>
    <w:p>
      <w:pPr>
        <w:spacing w:after="0" w:line="2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At December 8, 2021 there were outstanding 33,248,039 shares of the registrant’s Common Stock, $0.01 par value.</w:t>
      </w:r>
    </w:p>
    <w:p>
      <w:pPr>
        <w:spacing w:after="0" w:line="1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60"/>
        <w:spacing w:after="0" w:line="260" w:lineRule="auto"/>
        <w:rPr>
          <w:sz w:val="20"/>
          <w:szCs w:val="20"/>
          <w:color w:val="auto"/>
        </w:rPr>
      </w:pPr>
      <w:r>
        <w:rPr>
          <w:rFonts w:ascii="Arial" w:cs="Arial" w:eastAsia="Arial" w:hAnsi="Arial"/>
          <w:sz w:val="16"/>
          <w:szCs w:val="16"/>
          <w:color w:val="auto"/>
        </w:rPr>
        <w:t>Portions of the Registrant’s definitive Proxy Statement for its 2022 Annual Meeting of Stockholders to be filed with the Commission within 120 days of October 31, 2021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510540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36830</wp:posOffset>
            </wp:positionV>
            <wp:extent cx="660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2540</wp:posOffset>
            </wp:positionV>
            <wp:extent cx="660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0" cy="8255"/>
                    </a:xfrm>
                    <a:prstGeom prst="rect">
                      <a:avLst/>
                    </a:prstGeom>
                    <a:noFill/>
                  </pic:spPr>
                </pic:pic>
              </a:graphicData>
            </a:graphic>
          </wp:anchor>
        </w:drawing>
      </w:r>
    </w:p>
    <w:p>
      <w:pPr>
        <w:sectPr>
          <w:pgSz w:w="11900" w:h="16838" w:orient="portrait"/>
          <w:cols w:equalWidth="0" w:num="1">
            <w:col w:w="11320"/>
          </w:cols>
          <w:pgMar w:left="320" w:top="73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8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720" w:type="dxa"/>
            <w:vAlign w:val="bottom"/>
            <w:gridSpan w:val="6"/>
          </w:tcPr>
          <w:p>
            <w:pPr>
              <w:ind w:left="180"/>
              <w:spacing w:after="0"/>
              <w:rPr>
                <w:sz w:val="20"/>
                <w:szCs w:val="20"/>
                <w:color w:val="auto"/>
              </w:rPr>
            </w:pPr>
            <w:r>
              <w:rPr>
                <w:rFonts w:ascii="Arial" w:cs="Arial" w:eastAsia="Arial" w:hAnsi="Arial"/>
                <w:sz w:val="14"/>
                <w:szCs w:val="14"/>
                <w:b w:val="1"/>
                <w:bCs w:val="1"/>
                <w:color w:val="auto"/>
              </w:rPr>
              <w:t>Page</w:t>
            </w:r>
          </w:p>
        </w:tc>
      </w:tr>
      <w:tr>
        <w:trPr>
          <w:trHeight w:val="215"/>
        </w:trPr>
        <w:tc>
          <w:tcPr>
            <w:tcW w:w="840" w:type="dxa"/>
            <w:vAlign w:val="bottom"/>
          </w:tcPr>
          <w:p>
            <w:pPr>
              <w:spacing w:after="0"/>
              <w:rPr>
                <w:sz w:val="18"/>
                <w:szCs w:val="18"/>
                <w:color w:val="auto"/>
              </w:rPr>
            </w:pPr>
          </w:p>
        </w:tc>
        <w:tc>
          <w:tcPr>
            <w:tcW w:w="9680" w:type="dxa"/>
            <w:vAlign w:val="bottom"/>
          </w:tcPr>
          <w:p>
            <w:pPr>
              <w:jc w:val="center"/>
              <w:ind w:right="69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36"/>
        </w:trPr>
        <w:tc>
          <w:tcPr>
            <w:tcW w:w="840" w:type="dxa"/>
            <w:vAlign w:val="bottom"/>
          </w:tcPr>
          <w:p>
            <w:pPr>
              <w:ind w:left="60"/>
              <w:spacing w:after="0"/>
              <w:rPr>
                <w:sz w:val="20"/>
                <w:szCs w:val="20"/>
                <w:color w:val="auto"/>
              </w:rPr>
            </w:pPr>
            <w:r>
              <w:rPr>
                <w:rFonts w:ascii="Arial" w:cs="Arial" w:eastAsia="Arial" w:hAnsi="Arial"/>
                <w:sz w:val="18"/>
                <w:szCs w:val="18"/>
                <w:color w:val="auto"/>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Business</w:t>
            </w:r>
          </w:p>
        </w:tc>
        <w:tc>
          <w:tcPr>
            <w:tcW w:w="360" w:type="dxa"/>
            <w:vAlign w:val="bottom"/>
            <w:gridSpan w:val="3"/>
          </w:tcPr>
          <w:p>
            <w:pPr>
              <w:jc w:val="center"/>
              <w:ind w:left="193"/>
              <w:spacing w:after="0"/>
              <w:rPr>
                <w:rFonts w:ascii="Arial" w:cs="Arial" w:eastAsia="Arial" w:hAnsi="Arial"/>
                <w:sz w:val="18"/>
                <w:szCs w:val="18"/>
                <w:color w:val="3051F2"/>
                <w:w w:val="79"/>
              </w:rPr>
            </w:pPr>
            <w:hyperlink w:anchor="page4">
              <w:r>
                <w:rPr>
                  <w:rFonts w:ascii="Arial" w:cs="Arial" w:eastAsia="Arial" w:hAnsi="Arial"/>
                  <w:sz w:val="18"/>
                  <w:szCs w:val="18"/>
                  <w:color w:val="3051F2"/>
                  <w:w w:val="79"/>
                </w:rPr>
                <w:t>5</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10">
              <w:r>
                <w:rPr>
                  <w:rFonts w:ascii="Arial" w:cs="Arial" w:eastAsia="Arial" w:hAnsi="Arial"/>
                  <w:sz w:val="18"/>
                  <w:szCs w:val="18"/>
                  <w:color w:val="3051F2"/>
                  <w:w w:val="89"/>
                </w:rPr>
                <w:t>10</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1B.</w:t>
            </w:r>
          </w:p>
        </w:tc>
        <w:tc>
          <w:tcPr>
            <w:tcW w:w="968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15">
              <w:r>
                <w:rPr>
                  <w:rFonts w:ascii="Arial" w:cs="Arial" w:eastAsia="Arial" w:hAnsi="Arial"/>
                  <w:sz w:val="18"/>
                  <w:szCs w:val="18"/>
                  <w:color w:val="3051F2"/>
                  <w:w w:val="89"/>
                </w:rPr>
                <w:t>15</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2.</w:t>
            </w:r>
          </w:p>
        </w:tc>
        <w:tc>
          <w:tcPr>
            <w:tcW w:w="968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15">
              <w:r>
                <w:rPr>
                  <w:rFonts w:ascii="Arial" w:cs="Arial" w:eastAsia="Arial" w:hAnsi="Arial"/>
                  <w:sz w:val="18"/>
                  <w:szCs w:val="18"/>
                  <w:color w:val="3051F2"/>
                  <w:w w:val="89"/>
                </w:rPr>
                <w:t>16</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16">
              <w:r>
                <w:rPr>
                  <w:rFonts w:ascii="Arial" w:cs="Arial" w:eastAsia="Arial" w:hAnsi="Arial"/>
                  <w:sz w:val="18"/>
                  <w:szCs w:val="18"/>
                  <w:color w:val="3051F2"/>
                  <w:w w:val="89"/>
                </w:rPr>
                <w:t>16</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4.</w:t>
            </w:r>
          </w:p>
        </w:tc>
        <w:tc>
          <w:tcPr>
            <w:tcW w:w="9680" w:type="dxa"/>
            <w:vAlign w:val="bottom"/>
          </w:tcPr>
          <w:p>
            <w:pPr>
              <w:ind w:left="140"/>
              <w:spacing w:after="0"/>
              <w:rPr>
                <w:rFonts w:ascii="Arial" w:cs="Arial" w:eastAsia="Arial" w:hAnsi="Arial"/>
                <w:sz w:val="18"/>
                <w:szCs w:val="18"/>
                <w:color w:val="auto"/>
              </w:rPr>
            </w:pPr>
            <w:hyperlink w:anchor="page17">
              <w:r>
                <w:rPr>
                  <w:rFonts w:ascii="Arial" w:cs="Arial" w:eastAsia="Arial" w:hAnsi="Arial"/>
                  <w:sz w:val="18"/>
                  <w:szCs w:val="18"/>
                  <w:color w:val="auto"/>
                </w:rPr>
                <w:t>Mine Safety Disclosures</w:t>
              </w:r>
            </w:hyperlink>
          </w:p>
        </w:tc>
        <w:tc>
          <w:tcPr>
            <w:tcW w:w="400" w:type="dxa"/>
            <w:vAlign w:val="bottom"/>
            <w:gridSpan w:val="4"/>
          </w:tcPr>
          <w:p>
            <w:pPr>
              <w:jc w:val="center"/>
              <w:ind w:left="133"/>
              <w:spacing w:after="0"/>
              <w:rPr>
                <w:rFonts w:ascii="Arial" w:cs="Arial" w:eastAsia="Arial" w:hAnsi="Arial"/>
                <w:sz w:val="18"/>
                <w:szCs w:val="18"/>
                <w:color w:val="3051F2"/>
                <w:w w:val="89"/>
              </w:rPr>
            </w:pPr>
            <w:hyperlink w:anchor="page17">
              <w:r>
                <w:rPr>
                  <w:rFonts w:ascii="Arial" w:cs="Arial" w:eastAsia="Arial" w:hAnsi="Arial"/>
                  <w:sz w:val="18"/>
                  <w:szCs w:val="18"/>
                  <w:color w:val="3051F2"/>
                  <w:w w:val="89"/>
                </w:rPr>
                <w:t>17</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Arial" w:cs="Arial" w:eastAsia="Arial" w:hAnsi="Arial"/>
                <w:sz w:val="18"/>
                <w:szCs w:val="18"/>
                <w:b w:val="1"/>
                <w:bCs w:val="1"/>
                <w:color w:val="auto"/>
                <w:w w:val="99"/>
              </w:rPr>
              <w:t>PART 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840" w:type="dxa"/>
            <w:vAlign w:val="bottom"/>
          </w:tcPr>
          <w:p>
            <w:pPr>
              <w:ind w:left="60"/>
              <w:spacing w:after="0"/>
              <w:rPr>
                <w:sz w:val="20"/>
                <w:szCs w:val="20"/>
                <w:color w:val="auto"/>
              </w:rPr>
            </w:pPr>
            <w:r>
              <w:rPr>
                <w:rFonts w:ascii="Arial" w:cs="Arial" w:eastAsia="Arial" w:hAnsi="Arial"/>
                <w:sz w:val="18"/>
                <w:szCs w:val="18"/>
                <w:color w:val="auto"/>
              </w:rPr>
              <w:t>Item 5.</w:t>
            </w:r>
          </w:p>
        </w:tc>
        <w:tc>
          <w:tcPr>
            <w:tcW w:w="968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17">
              <w:r>
                <w:rPr>
                  <w:rFonts w:ascii="Arial" w:cs="Arial" w:eastAsia="Arial" w:hAnsi="Arial"/>
                  <w:sz w:val="18"/>
                  <w:szCs w:val="18"/>
                  <w:color w:val="3051F2"/>
                  <w:w w:val="89"/>
                </w:rPr>
                <w:t>18</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7.</w:t>
            </w:r>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19">
              <w:r>
                <w:rPr>
                  <w:rFonts w:ascii="Arial" w:cs="Arial" w:eastAsia="Arial" w:hAnsi="Arial"/>
                  <w:sz w:val="18"/>
                  <w:szCs w:val="18"/>
                  <w:color w:val="3051F2"/>
                  <w:w w:val="89"/>
                </w:rPr>
                <w:t>20</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7A.</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31">
              <w:r>
                <w:rPr>
                  <w:rFonts w:ascii="Arial" w:cs="Arial" w:eastAsia="Arial" w:hAnsi="Arial"/>
                  <w:sz w:val="18"/>
                  <w:szCs w:val="18"/>
                  <w:color w:val="3051F2"/>
                  <w:w w:val="89"/>
                </w:rPr>
                <w:t>32</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8.</w:t>
            </w:r>
          </w:p>
        </w:tc>
        <w:tc>
          <w:tcPr>
            <w:tcW w:w="968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32">
              <w:r>
                <w:rPr>
                  <w:rFonts w:ascii="Arial" w:cs="Arial" w:eastAsia="Arial" w:hAnsi="Arial"/>
                  <w:sz w:val="18"/>
                  <w:szCs w:val="18"/>
                  <w:color w:val="3051F2"/>
                  <w:w w:val="89"/>
                </w:rPr>
                <w:t>33</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9.</w:t>
            </w:r>
          </w:p>
        </w:tc>
        <w:tc>
          <w:tcPr>
            <w:tcW w:w="9680" w:type="dxa"/>
            <w:vAlign w:val="bottom"/>
          </w:tcPr>
          <w:p>
            <w:pPr>
              <w:ind w:left="140"/>
              <w:spacing w:after="0"/>
              <w:rPr>
                <w:sz w:val="20"/>
                <w:szCs w:val="20"/>
                <w:color w:val="auto"/>
              </w:rPr>
            </w:pPr>
            <w:r>
              <w:rPr>
                <w:rFonts w:ascii="Arial" w:cs="Arial" w:eastAsia="Arial" w:hAnsi="Arial"/>
                <w:sz w:val="18"/>
                <w:szCs w:val="18"/>
                <w:color w:val="auto"/>
              </w:rPr>
              <w:t>Change in and Disagreements with Accountants on Accounting and Financial Disclosure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76">
              <w:r>
                <w:rPr>
                  <w:rFonts w:ascii="Arial" w:cs="Arial" w:eastAsia="Arial" w:hAnsi="Arial"/>
                  <w:sz w:val="18"/>
                  <w:szCs w:val="18"/>
                  <w:color w:val="3051F2"/>
                  <w:w w:val="89"/>
                </w:rPr>
                <w:t>77</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9A.</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77">
              <w:r>
                <w:rPr>
                  <w:rFonts w:ascii="Arial" w:cs="Arial" w:eastAsia="Arial" w:hAnsi="Arial"/>
                  <w:sz w:val="18"/>
                  <w:szCs w:val="18"/>
                  <w:color w:val="3051F2"/>
                  <w:w w:val="89"/>
                </w:rPr>
                <w:t>77</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9B.</w:t>
            </w:r>
          </w:p>
        </w:tc>
        <w:tc>
          <w:tcPr>
            <w:tcW w:w="968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400" w:type="dxa"/>
            <w:vAlign w:val="bottom"/>
            <w:gridSpan w:val="4"/>
          </w:tcPr>
          <w:p>
            <w:pPr>
              <w:jc w:val="center"/>
              <w:ind w:left="133"/>
              <w:spacing w:after="0"/>
              <w:rPr>
                <w:rFonts w:ascii="Arial" w:cs="Arial" w:eastAsia="Arial" w:hAnsi="Arial"/>
                <w:sz w:val="18"/>
                <w:szCs w:val="18"/>
                <w:color w:val="3051F2"/>
                <w:w w:val="89"/>
              </w:rPr>
            </w:pPr>
            <w:hyperlink w:anchor="page77">
              <w:r>
                <w:rPr>
                  <w:rFonts w:ascii="Arial" w:cs="Arial" w:eastAsia="Arial" w:hAnsi="Arial"/>
                  <w:sz w:val="18"/>
                  <w:szCs w:val="18"/>
                  <w:color w:val="3051F2"/>
                  <w:w w:val="89"/>
                </w:rPr>
                <w:t>77</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Arial" w:cs="Arial" w:eastAsia="Arial" w:hAnsi="Arial"/>
                <w:sz w:val="18"/>
                <w:szCs w:val="18"/>
                <w:b w:val="1"/>
                <w:bCs w:val="1"/>
                <w:color w:val="auto"/>
              </w:rPr>
              <w:t>PART III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840" w:type="dxa"/>
            <w:vAlign w:val="bottom"/>
          </w:tcPr>
          <w:p>
            <w:pPr>
              <w:ind w:left="60"/>
              <w:spacing w:after="0"/>
              <w:rPr>
                <w:sz w:val="20"/>
                <w:szCs w:val="20"/>
                <w:color w:val="auto"/>
              </w:rPr>
            </w:pPr>
            <w:r>
              <w:rPr>
                <w:rFonts w:ascii="Arial" w:cs="Arial" w:eastAsia="Arial" w:hAnsi="Arial"/>
                <w:sz w:val="18"/>
                <w:szCs w:val="18"/>
                <w:color w:val="auto"/>
              </w:rPr>
              <w:t>Item 10.</w:t>
            </w:r>
          </w:p>
        </w:tc>
        <w:tc>
          <w:tcPr>
            <w:tcW w:w="968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77">
              <w:r>
                <w:rPr>
                  <w:rFonts w:ascii="Arial" w:cs="Arial" w:eastAsia="Arial" w:hAnsi="Arial"/>
                  <w:sz w:val="18"/>
                  <w:szCs w:val="18"/>
                  <w:color w:val="3051F2"/>
                  <w:w w:val="89"/>
                </w:rPr>
                <w:t>78</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11.</w:t>
            </w:r>
          </w:p>
        </w:tc>
        <w:tc>
          <w:tcPr>
            <w:tcW w:w="968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78">
              <w:r>
                <w:rPr>
                  <w:rFonts w:ascii="Arial" w:cs="Arial" w:eastAsia="Arial" w:hAnsi="Arial"/>
                  <w:sz w:val="18"/>
                  <w:szCs w:val="18"/>
                  <w:color w:val="3051F2"/>
                  <w:w w:val="89"/>
                </w:rPr>
                <w:t>78</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12.</w:t>
            </w:r>
          </w:p>
        </w:tc>
        <w:tc>
          <w:tcPr>
            <w:tcW w:w="968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78">
              <w:r>
                <w:rPr>
                  <w:rFonts w:ascii="Arial" w:cs="Arial" w:eastAsia="Arial" w:hAnsi="Arial"/>
                  <w:sz w:val="18"/>
                  <w:szCs w:val="18"/>
                  <w:color w:val="3051F2"/>
                  <w:w w:val="89"/>
                </w:rPr>
                <w:t>78</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13.</w:t>
            </w:r>
          </w:p>
        </w:tc>
        <w:tc>
          <w:tcPr>
            <w:tcW w:w="968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rFonts w:ascii="Arial" w:cs="Arial" w:eastAsia="Arial" w:hAnsi="Arial"/>
                <w:sz w:val="18"/>
                <w:szCs w:val="18"/>
                <w:color w:val="3051F2"/>
                <w:w w:val="89"/>
              </w:rPr>
            </w:pPr>
            <w:hyperlink w:anchor="page78">
              <w:r>
                <w:rPr>
                  <w:rFonts w:ascii="Arial" w:cs="Arial" w:eastAsia="Arial" w:hAnsi="Arial"/>
                  <w:sz w:val="18"/>
                  <w:szCs w:val="18"/>
                  <w:color w:val="3051F2"/>
                  <w:w w:val="89"/>
                </w:rPr>
                <w:t>78</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840" w:type="dxa"/>
            <w:vAlign w:val="bottom"/>
          </w:tcPr>
          <w:p>
            <w:pPr>
              <w:ind w:left="60"/>
              <w:spacing w:after="0"/>
              <w:rPr>
                <w:sz w:val="20"/>
                <w:szCs w:val="20"/>
                <w:color w:val="auto"/>
              </w:rPr>
            </w:pPr>
            <w:r>
              <w:rPr>
                <w:rFonts w:ascii="Arial" w:cs="Arial" w:eastAsia="Arial" w:hAnsi="Arial"/>
                <w:sz w:val="18"/>
                <w:szCs w:val="18"/>
                <w:color w:val="auto"/>
              </w:rPr>
              <w:t>Item 14.</w:t>
            </w:r>
          </w:p>
        </w:tc>
        <w:tc>
          <w:tcPr>
            <w:tcW w:w="968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400" w:type="dxa"/>
            <w:vAlign w:val="bottom"/>
            <w:gridSpan w:val="4"/>
          </w:tcPr>
          <w:p>
            <w:pPr>
              <w:jc w:val="center"/>
              <w:ind w:left="133"/>
              <w:spacing w:after="0"/>
              <w:rPr>
                <w:rFonts w:ascii="Arial" w:cs="Arial" w:eastAsia="Arial" w:hAnsi="Arial"/>
                <w:sz w:val="18"/>
                <w:szCs w:val="18"/>
                <w:color w:val="3051F2"/>
                <w:w w:val="89"/>
              </w:rPr>
            </w:pPr>
            <w:hyperlink w:anchor="page78">
              <w:r>
                <w:rPr>
                  <w:rFonts w:ascii="Arial" w:cs="Arial" w:eastAsia="Arial" w:hAnsi="Arial"/>
                  <w:sz w:val="18"/>
                  <w:szCs w:val="18"/>
                  <w:color w:val="3051F2"/>
                  <w:w w:val="89"/>
                </w:rPr>
                <w:t>78</w:t>
              </w:r>
            </w:hyperlink>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Arial" w:cs="Arial" w:eastAsia="Arial" w:hAnsi="Arial"/>
                <w:sz w:val="18"/>
                <w:szCs w:val="18"/>
                <w:b w:val="1"/>
                <w:bCs w:val="1"/>
                <w:color w:val="auto"/>
              </w:rPr>
              <w:t>PART IV</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840" w:type="dxa"/>
            <w:vAlign w:val="bottom"/>
          </w:tcPr>
          <w:p>
            <w:pPr>
              <w:ind w:left="60"/>
              <w:spacing w:after="0"/>
              <w:rPr>
                <w:sz w:val="20"/>
                <w:szCs w:val="20"/>
                <w:color w:val="auto"/>
              </w:rPr>
            </w:pPr>
            <w:r>
              <w:rPr>
                <w:rFonts w:ascii="Arial" w:cs="Arial" w:eastAsia="Arial" w:hAnsi="Arial"/>
                <w:sz w:val="18"/>
                <w:szCs w:val="18"/>
                <w:color w:val="auto"/>
              </w:rPr>
              <w:t>Item 15.</w:t>
            </w:r>
          </w:p>
        </w:tc>
        <w:tc>
          <w:tcPr>
            <w:tcW w:w="968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400" w:type="dxa"/>
            <w:vAlign w:val="bottom"/>
            <w:gridSpan w:val="4"/>
          </w:tcPr>
          <w:p>
            <w:pPr>
              <w:jc w:val="center"/>
              <w:ind w:left="133"/>
              <w:spacing w:after="0"/>
              <w:rPr>
                <w:rFonts w:ascii="Arial" w:cs="Arial" w:eastAsia="Arial" w:hAnsi="Arial"/>
                <w:sz w:val="18"/>
                <w:szCs w:val="18"/>
                <w:color w:val="3051F2"/>
                <w:w w:val="89"/>
              </w:rPr>
            </w:pPr>
            <w:hyperlink w:anchor="page78">
              <w:r>
                <w:rPr>
                  <w:rFonts w:ascii="Arial" w:cs="Arial" w:eastAsia="Arial" w:hAnsi="Arial"/>
                  <w:sz w:val="18"/>
                  <w:szCs w:val="18"/>
                  <w:color w:val="3051F2"/>
                  <w:w w:val="89"/>
                </w:rPr>
                <w:t>78</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38"/>
        </w:trPr>
        <w:tc>
          <w:tcPr>
            <w:tcW w:w="8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spacing w:after="0" w:line="275"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6" w:lineRule="exact"/>
        <w:rPr>
          <w:sz w:val="20"/>
          <w:szCs w:val="20"/>
          <w:color w:val="auto"/>
        </w:rPr>
      </w:pPr>
    </w:p>
    <w:p>
      <w:pPr>
        <w:jc w:val="both"/>
        <w:ind w:firstLine="444"/>
        <w:spacing w:after="0" w:line="267"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51" w:lineRule="exact"/>
        <w:rPr>
          <w:sz w:val="20"/>
          <w:szCs w:val="20"/>
          <w:color w:val="auto"/>
        </w:rPr>
      </w:pPr>
    </w:p>
    <w:p>
      <w:pPr>
        <w:ind w:left="660" w:right="20" w:hanging="169"/>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recent COVID-19 pandemic and quarantines) on the economy, demand for our products or our operations, including the responses of governmental authorities to contain such public health issues;</w:t>
      </w:r>
    </w:p>
    <w:p>
      <w:pPr>
        <w:spacing w:after="0" w:line="22" w:lineRule="exact"/>
        <w:rPr>
          <w:rFonts w:ascii="Arial" w:cs="Arial" w:eastAsia="Arial" w:hAnsi="Arial"/>
          <w:sz w:val="18"/>
          <w:szCs w:val="18"/>
          <w:color w:val="auto"/>
        </w:rPr>
      </w:pPr>
    </w:p>
    <w:p>
      <w:pPr>
        <w:ind w:left="660" w:hanging="169"/>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22"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88"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availability and prices of raw material;</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skilled labor;</w:t>
      </w:r>
    </w:p>
    <w:p>
      <w:pPr>
        <w:spacing w:after="0" w:line="88"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88"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88"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88"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88"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 subcontractors, and key customers; and</w:t>
      </w:r>
    </w:p>
    <w:p>
      <w:pPr>
        <w:spacing w:after="0" w:line="75" w:lineRule="exact"/>
        <w:rPr>
          <w:rFonts w:ascii="Arial" w:cs="Arial" w:eastAsia="Arial" w:hAnsi="Arial"/>
          <w:sz w:val="18"/>
          <w:szCs w:val="18"/>
          <w:color w:val="auto"/>
        </w:rPr>
      </w:pPr>
    </w:p>
    <w:p>
      <w:pPr>
        <w:ind w:left="640" w:hanging="1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56" w:lineRule="exact"/>
        <w:rPr>
          <w:sz w:val="20"/>
          <w:szCs w:val="20"/>
          <w:color w:val="auto"/>
        </w:rPr>
      </w:pPr>
    </w:p>
    <w:p>
      <w:pPr>
        <w:ind w:firstLine="444"/>
        <w:spacing w:after="0" w:line="275" w:lineRule="auto"/>
        <w:rPr>
          <w:sz w:val="20"/>
          <w:szCs w:val="20"/>
          <w:color w:val="auto"/>
        </w:rPr>
      </w:pPr>
      <w:r>
        <w:rPr>
          <w:rFonts w:ascii="Arial" w:cs="Arial" w:eastAsia="Arial" w:hAnsi="Arial"/>
          <w:sz w:val="18"/>
          <w:szCs w:val="18"/>
          <w:color w:val="auto"/>
        </w:rPr>
        <w:t>Additional factors that could cause actual results to differ materially are discussed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included elsewhere in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6" w:lineRule="exact"/>
        <w:rPr>
          <w:sz w:val="20"/>
          <w:szCs w:val="20"/>
          <w:color w:val="auto"/>
        </w:rPr>
      </w:pPr>
    </w:p>
    <w:p>
      <w:pPr>
        <w:ind w:firstLine="444"/>
        <w:spacing w:after="0" w:line="275"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650875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information is reliable, we cannot guarantee the accuracy or completeness of the information and have not independently verified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079"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Company</w:t>
      </w:r>
    </w:p>
    <w:p>
      <w:pPr>
        <w:spacing w:after="0" w:line="173"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Quanex was incorporated in Delaware on December 12, 2007, as Quanex Building Products Corporation. We manufacture components for original equipment manufacturers (OEM)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vinyl fencing, water retention barriers, and conservatory roof components.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History</w:t>
      </w:r>
    </w:p>
    <w:p>
      <w:pPr>
        <w:spacing w:after="0" w:line="173"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3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w:t>
      </w:r>
    </w:p>
    <w:p>
      <w:pPr>
        <w:spacing w:after="0" w:line="117" w:lineRule="exact"/>
        <w:rPr>
          <w:sz w:val="20"/>
          <w:szCs w:val="20"/>
          <w:color w:val="auto"/>
        </w:rPr>
      </w:pPr>
    </w:p>
    <w:p>
      <w:pPr>
        <w:jc w:val="both"/>
        <w:ind w:firstLine="403"/>
        <w:spacing w:after="0" w:line="295" w:lineRule="auto"/>
        <w:rPr>
          <w:sz w:val="20"/>
          <w:szCs w:val="20"/>
          <w:color w:val="auto"/>
        </w:rPr>
      </w:pPr>
      <w:r>
        <w:rPr>
          <w:rFonts w:ascii="Arial" w:cs="Arial" w:eastAsia="Arial" w:hAnsi="Arial"/>
          <w:sz w:val="16"/>
          <w:szCs w:val="16"/>
          <w:color w:val="auto"/>
        </w:rPr>
        <w:t>As of October 31, 2021, we operated 28 manufacturing facilities located in 15 states in the U.S., two facilities in the U.K., and one in Germany. These facilities feature efficient plant design and flexible manufacturing processes, enabling us to produce a wide variety of custom engineered products and components primarily focused on the window and door segment of the residential building products markets.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Industry</w:t>
      </w:r>
    </w:p>
    <w:p>
      <w:pPr>
        <w:spacing w:after="0" w:line="17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Our business is largely based in North America and dependent upon the spending and growth activity levels of our customers which include national and regional residential window, door and cabinet manufacturers. Our international presence includes vinyl extruded lineals for large house systems to smaller individual customers. We also have insulating glass businesses in the U.K. and Germany.</w:t>
      </w:r>
    </w:p>
    <w:p>
      <w:pPr>
        <w:spacing w:after="0" w:line="128"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We use data related to housing starts and window shipments in the U.S., as published by or derived from third-party sources, to evaluate the fenestration market. We also use data related to cabinet demand in the U.S. to evaluate the residential cabinet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following table presents calendar-year annual housing starts information as of November 2021 from the National Association of Home Builders (NAHB) (units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440"/>
              <w:spacing w:after="0"/>
              <w:rPr>
                <w:sz w:val="20"/>
                <w:szCs w:val="20"/>
                <w:color w:val="auto"/>
              </w:rPr>
            </w:pPr>
            <w:r>
              <w:rPr>
                <w:rFonts w:ascii="Arial" w:cs="Arial" w:eastAsia="Arial" w:hAnsi="Arial"/>
                <w:sz w:val="14"/>
                <w:szCs w:val="14"/>
                <w:b w:val="1"/>
                <w:bCs w:val="1"/>
                <w:color w:val="auto"/>
              </w:rPr>
              <w:t>Single-family Units</w:t>
            </w:r>
          </w:p>
        </w:tc>
        <w:tc>
          <w:tcPr>
            <w:tcW w:w="2320" w:type="dxa"/>
            <w:vAlign w:val="bottom"/>
            <w:gridSpan w:val="4"/>
          </w:tcPr>
          <w:p>
            <w:pPr>
              <w:ind w:left="460"/>
              <w:spacing w:after="0"/>
              <w:rPr>
                <w:sz w:val="20"/>
                <w:szCs w:val="20"/>
                <w:color w:val="auto"/>
              </w:rPr>
            </w:pPr>
            <w:r>
              <w:rPr>
                <w:rFonts w:ascii="Arial" w:cs="Arial" w:eastAsia="Arial" w:hAnsi="Arial"/>
                <w:sz w:val="14"/>
                <w:szCs w:val="14"/>
                <w:b w:val="1"/>
                <w:bCs w:val="1"/>
                <w:color w:val="auto"/>
              </w:rPr>
              <w:t>Multi-family Units</w:t>
            </w: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Manufactured Units</w:t>
            </w:r>
          </w:p>
        </w:tc>
        <w:tc>
          <w:tcPr>
            <w:tcW w:w="1200" w:type="dxa"/>
            <w:vAlign w:val="bottom"/>
          </w:tcPr>
          <w:p>
            <w:pPr>
              <w:spacing w:after="0"/>
              <w:rPr>
                <w:sz w:val="16"/>
                <w:szCs w:val="16"/>
                <w:color w:val="auto"/>
              </w:rPr>
            </w:pPr>
          </w:p>
        </w:tc>
      </w:tr>
      <w:tr>
        <w:trPr>
          <w:trHeight w:val="187"/>
        </w:trPr>
        <w:tc>
          <w:tcPr>
            <w:tcW w:w="2880" w:type="dxa"/>
            <w:vAlign w:val="bottom"/>
            <w:tcBorders>
              <w:bottom w:val="single" w:sz="8" w:color="auto"/>
            </w:tcBorders>
          </w:tcPr>
          <w:p>
            <w:pPr>
              <w:jc w:val="right"/>
              <w:ind w:right="1160"/>
              <w:spacing w:after="0"/>
              <w:rPr>
                <w:sz w:val="20"/>
                <w:szCs w:val="20"/>
                <w:color w:val="auto"/>
              </w:rPr>
            </w:pPr>
            <w:r>
              <w:rPr>
                <w:rFonts w:ascii="Arial" w:cs="Arial" w:eastAsia="Arial" w:hAnsi="Arial"/>
                <w:sz w:val="14"/>
                <w:szCs w:val="14"/>
                <w:b w:val="1"/>
                <w:bCs w:val="1"/>
                <w:color w:val="auto"/>
              </w:rPr>
              <w:t>Period</w:t>
            </w:r>
          </w:p>
        </w:tc>
        <w:tc>
          <w:tcPr>
            <w:tcW w:w="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Units</w:t>
            </w:r>
          </w:p>
        </w:tc>
      </w:tr>
      <w:tr>
        <w:trPr>
          <w:trHeight w:val="21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Annual Data</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2880" w:type="dxa"/>
            <w:vAlign w:val="bottom"/>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849</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356</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93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1,298</w:t>
            </w:r>
          </w:p>
        </w:tc>
      </w:tr>
      <w:tr>
        <w:trPr>
          <w:trHeight w:val="218"/>
        </w:trPr>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871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1,343</w:t>
            </w:r>
          </w:p>
        </w:tc>
      </w:tr>
      <w:tr>
        <w:trPr>
          <w:trHeight w:val="212"/>
        </w:trPr>
        <w:tc>
          <w:tcPr>
            <w:tcW w:w="2880" w:type="dxa"/>
            <w:vAlign w:val="bottom"/>
          </w:tcPr>
          <w:p>
            <w:pPr>
              <w:jc w:val="right"/>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889</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403</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6"/>
              </w:rPr>
              <w:t>7%</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95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1,387</w:t>
            </w:r>
          </w:p>
        </w:tc>
      </w:tr>
      <w:tr>
        <w:trPr>
          <w:trHeight w:val="218"/>
        </w:trPr>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1,491</w:t>
            </w:r>
          </w:p>
        </w:tc>
      </w:tr>
      <w:tr>
        <w:trPr>
          <w:trHeight w:val="212"/>
        </w:trPr>
        <w:tc>
          <w:tcPr>
            <w:tcW w:w="3120" w:type="dxa"/>
            <w:vAlign w:val="bottom"/>
            <w:gridSpan w:val="2"/>
          </w:tcPr>
          <w:p>
            <w:pPr>
              <w:ind w:left="220"/>
              <w:spacing w:after="0"/>
              <w:rPr>
                <w:sz w:val="20"/>
                <w:szCs w:val="20"/>
                <w:color w:val="auto"/>
              </w:rPr>
            </w:pPr>
            <w:r>
              <w:rPr>
                <w:rFonts w:ascii="Arial" w:cs="Arial" w:eastAsia="Arial" w:hAnsi="Arial"/>
                <w:sz w:val="16"/>
                <w:szCs w:val="16"/>
                <w:b w:val="1"/>
                <w:bCs w:val="1"/>
                <w:i w:val="1"/>
                <w:iCs w:val="1"/>
                <w:color w:val="auto"/>
              </w:rPr>
              <w:t>Annual Data - Forecast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1,111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1,686</w:t>
            </w:r>
          </w:p>
        </w:tc>
      </w:tr>
      <w:tr>
        <w:trPr>
          <w:trHeight w:val="212"/>
        </w:trPr>
        <w:tc>
          <w:tcPr>
            <w:tcW w:w="2880" w:type="dxa"/>
            <w:vAlign w:val="bottom"/>
          </w:tcPr>
          <w:p>
            <w:pPr>
              <w:jc w:val="right"/>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4"/>
              </w:rPr>
              <w:t>1,113</w:t>
            </w: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440</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114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1,667</w:t>
            </w:r>
          </w:p>
        </w:tc>
      </w:tr>
      <w:tr>
        <w:trPr>
          <w:trHeight w:val="218"/>
        </w:trPr>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1,111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1,666</w:t>
            </w:r>
          </w:p>
        </w:tc>
      </w:tr>
    </w:tbl>
    <w:p>
      <w:pPr>
        <w:spacing w:after="0" w:line="241"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Ducker Worldwide LLC, a consulting and research firm, indicated in November 2021 that window shipments in the residential remodeling and replacement (R&amp;R) market are expected to increase approximately 4.5% for the calendar-year 2021 and approximately 4% in 2022 and 3% during 2023. Derived from reports published by Ducker, the overall increase in window shipments for the trailing twelve months ended September 30, 2021 was 8.9%. During this period, new construction activity increased 14.2% and R&amp;R replacement increased 4.7% respectively.</w:t>
      </w:r>
    </w:p>
    <w:p>
      <w:pPr>
        <w:spacing w:after="0" w:line="119" w:lineRule="exact"/>
        <w:rPr>
          <w:sz w:val="20"/>
          <w:szCs w:val="20"/>
          <w:color w:val="auto"/>
        </w:rPr>
      </w:pPr>
    </w:p>
    <w:p>
      <w:pPr>
        <w:jc w:val="both"/>
        <w:ind w:firstLine="403"/>
        <w:spacing w:after="0" w:line="289" w:lineRule="auto"/>
        <w:rPr>
          <w:sz w:val="20"/>
          <w:szCs w:val="20"/>
          <w:color w:val="auto"/>
        </w:rPr>
      </w:pPr>
      <w:r>
        <w:rPr>
          <w:rFonts w:ascii="Arial" w:cs="Arial" w:eastAsia="Arial" w:hAnsi="Arial"/>
          <w:sz w:val="16"/>
          <w:szCs w:val="16"/>
          <w:color w:val="auto"/>
        </w:rPr>
        <w:t>According to data from Catalina Research, a consulting and research firm, U.S. residential cabinet demand is expected to increase through 2022. Projections from Catalina Research as of November 2021 include growth rates for the stock, semi-custom (the cabinet market we primarily operate in)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w w:val="96"/>
              </w:rPr>
              <w:t>custom</w:t>
            </w:r>
          </w:p>
        </w:tc>
        <w:tc>
          <w:tcPr>
            <w:tcW w:w="1760" w:type="dxa"/>
            <w:vAlign w:val="bottom"/>
          </w:tcPr>
          <w:p>
            <w:pPr>
              <w:ind w:left="720"/>
              <w:spacing w:after="0"/>
              <w:rPr>
                <w:sz w:val="20"/>
                <w:szCs w:val="20"/>
                <w:color w:val="auto"/>
              </w:rPr>
            </w:pPr>
            <w:r>
              <w:rPr>
                <w:rFonts w:ascii="Arial" w:cs="Arial" w:eastAsia="Arial" w:hAnsi="Arial"/>
                <w:sz w:val="18"/>
                <w:szCs w:val="18"/>
                <w:color w:val="auto"/>
              </w:rPr>
              <w:t>cabinet</w:t>
            </w:r>
          </w:p>
        </w:tc>
        <w:tc>
          <w:tcPr>
            <w:tcW w:w="1260" w:type="dxa"/>
            <w:vAlign w:val="bottom"/>
          </w:tcPr>
          <w:p>
            <w:pPr>
              <w:ind w:left="260"/>
              <w:spacing w:after="0"/>
              <w:rPr>
                <w:sz w:val="20"/>
                <w:szCs w:val="20"/>
                <w:color w:val="auto"/>
              </w:rPr>
            </w:pPr>
            <w:r>
              <w:rPr>
                <w:rFonts w:ascii="Arial" w:cs="Arial" w:eastAsia="Arial" w:hAnsi="Arial"/>
                <w:sz w:val="18"/>
                <w:szCs w:val="18"/>
                <w:color w:val="auto"/>
              </w:rPr>
              <w:t>markets,</w:t>
            </w:r>
          </w:p>
        </w:tc>
        <w:tc>
          <w:tcPr>
            <w:tcW w:w="860" w:type="dxa"/>
            <w:vAlign w:val="bottom"/>
          </w:tcPr>
          <w:p>
            <w:pPr>
              <w:ind w:left="400"/>
              <w:spacing w:after="0"/>
              <w:rPr>
                <w:sz w:val="20"/>
                <w:szCs w:val="20"/>
                <w:color w:val="auto"/>
              </w:rPr>
            </w:pPr>
            <w:r>
              <w:rPr>
                <w:rFonts w:ascii="Arial" w:cs="Arial" w:eastAsia="Arial" w:hAnsi="Arial"/>
                <w:sz w:val="18"/>
                <w:szCs w:val="18"/>
                <w:color w:val="auto"/>
                <w:w w:val="95"/>
              </w:rPr>
              <w:t>which</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are</w:t>
            </w:r>
          </w:p>
        </w:tc>
        <w:tc>
          <w:tcPr>
            <w:tcW w:w="1540" w:type="dxa"/>
            <w:vAlign w:val="bottom"/>
            <w:gridSpan w:val="3"/>
          </w:tcPr>
          <w:p>
            <w:pPr>
              <w:ind w:left="580"/>
              <w:spacing w:after="0"/>
              <w:rPr>
                <w:sz w:val="20"/>
                <w:szCs w:val="20"/>
                <w:color w:val="auto"/>
              </w:rPr>
            </w:pPr>
            <w:r>
              <w:rPr>
                <w:rFonts w:ascii="Arial" w:cs="Arial" w:eastAsia="Arial" w:hAnsi="Arial"/>
                <w:sz w:val="18"/>
                <w:szCs w:val="18"/>
                <w:color w:val="auto"/>
              </w:rPr>
              <w:t>presented</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in</w:t>
            </w:r>
          </w:p>
        </w:tc>
        <w:tc>
          <w:tcPr>
            <w:tcW w:w="560" w:type="dxa"/>
            <w:vAlign w:val="bottom"/>
          </w:tcPr>
          <w:p>
            <w:pPr>
              <w:ind w:left="300"/>
              <w:spacing w:after="0"/>
              <w:rPr>
                <w:sz w:val="20"/>
                <w:szCs w:val="20"/>
                <w:color w:val="auto"/>
              </w:rPr>
            </w:pPr>
            <w:r>
              <w:rPr>
                <w:rFonts w:ascii="Arial" w:cs="Arial" w:eastAsia="Arial" w:hAnsi="Arial"/>
                <w:sz w:val="18"/>
                <w:szCs w:val="18"/>
                <w:color w:val="auto"/>
                <w:w w:val="95"/>
              </w:rPr>
              <w:t>the</w:t>
            </w: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table</w:t>
            </w:r>
          </w:p>
        </w:tc>
        <w:tc>
          <w:tcPr>
            <w:tcW w:w="980" w:type="dxa"/>
            <w:vAlign w:val="bottom"/>
          </w:tcPr>
          <w:p>
            <w:pPr>
              <w:ind w:left="480"/>
              <w:spacing w:after="0"/>
              <w:rPr>
                <w:sz w:val="20"/>
                <w:szCs w:val="20"/>
                <w:color w:val="auto"/>
              </w:rPr>
            </w:pPr>
            <w:r>
              <w:rPr>
                <w:rFonts w:ascii="Arial" w:cs="Arial" w:eastAsia="Arial" w:hAnsi="Arial"/>
                <w:sz w:val="18"/>
                <w:szCs w:val="18"/>
                <w:color w:val="auto"/>
                <w:w w:val="92"/>
              </w:rPr>
              <w:t>below:</w:t>
            </w:r>
          </w:p>
        </w:tc>
      </w:tr>
      <w:tr>
        <w:trPr>
          <w:trHeight w:val="224"/>
        </w:trPr>
        <w:tc>
          <w:tcPr>
            <w:tcW w:w="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4"/>
              </w:rPr>
              <w:t>Cabinet Market Annual Growth Rates</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83"/>
        </w:trPr>
        <w:tc>
          <w:tcPr>
            <w:tcW w:w="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gridSpan w:val="3"/>
          </w:tcPr>
          <w:p>
            <w:pPr>
              <w:ind w:left="22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Semi-Custom</w:t>
            </w:r>
          </w:p>
        </w:tc>
        <w:tc>
          <w:tcPr>
            <w:tcW w:w="56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Custom</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Overall</w:t>
            </w:r>
          </w:p>
        </w:tc>
      </w:tr>
      <w:tr>
        <w:trPr>
          <w:trHeight w:val="210"/>
        </w:trPr>
        <w:tc>
          <w:tcPr>
            <w:tcW w:w="5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i w:val="1"/>
                <w:iCs w:val="1"/>
                <w:color w:val="auto"/>
              </w:rPr>
              <w:t>Annual Data</w:t>
            </w:r>
          </w:p>
        </w:tc>
        <w:tc>
          <w:tcPr>
            <w:tcW w:w="1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8.5%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5.7%</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center"/>
              <w:ind w:right="79"/>
              <w:spacing w:after="0"/>
              <w:rPr>
                <w:sz w:val="20"/>
                <w:szCs w:val="20"/>
                <w:color w:val="auto"/>
              </w:rPr>
            </w:pPr>
            <w:r>
              <w:rPr>
                <w:rFonts w:ascii="Arial" w:cs="Arial" w:eastAsia="Arial" w:hAnsi="Arial"/>
                <w:sz w:val="16"/>
                <w:szCs w:val="16"/>
                <w:color w:val="auto"/>
                <w:w w:val="93"/>
              </w:rPr>
              <w:t>(0.9)%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6.6%</w:t>
            </w:r>
          </w:p>
        </w:tc>
      </w:tr>
      <w:tr>
        <w:trPr>
          <w:trHeight w:val="218"/>
        </w:trPr>
        <w:tc>
          <w:tcPr>
            <w:tcW w:w="5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7"/>
              </w:rPr>
              <w:t>3.8%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4.9%</w:t>
            </w:r>
          </w:p>
        </w:tc>
      </w:tr>
      <w:tr>
        <w:trPr>
          <w:trHeight w:val="212"/>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(4.9)%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center"/>
              <w:ind w:right="79"/>
              <w:spacing w:after="0"/>
              <w:rPr>
                <w:sz w:val="20"/>
                <w:szCs w:val="20"/>
                <w:color w:val="auto"/>
              </w:rPr>
            </w:pPr>
            <w:r>
              <w:rPr>
                <w:rFonts w:ascii="Arial" w:cs="Arial" w:eastAsia="Arial" w:hAnsi="Arial"/>
                <w:sz w:val="16"/>
                <w:szCs w:val="16"/>
                <w:color w:val="auto"/>
                <w:w w:val="87"/>
              </w:rPr>
              <w:t>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8"/>
        </w:trPr>
        <w:tc>
          <w:tcPr>
            <w:tcW w:w="5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7"/>
              </w:rPr>
              <w:t>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w:t>
            </w:r>
          </w:p>
        </w:tc>
      </w:tr>
      <w:tr>
        <w:trPr>
          <w:trHeight w:val="212"/>
        </w:trPr>
        <w:tc>
          <w:tcPr>
            <w:tcW w:w="58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6"/>
              </w:rPr>
              <w:t>Annual Data - Forecast</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5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17.5%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15.0%</w:t>
            </w:r>
          </w:p>
        </w:tc>
      </w:tr>
      <w:tr>
        <w:trPr>
          <w:trHeight w:val="209"/>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7.2%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5.2%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center"/>
              <w:ind w:right="79"/>
              <w:spacing w:after="0"/>
              <w:rPr>
                <w:sz w:val="20"/>
                <w:szCs w:val="20"/>
                <w:color w:val="auto"/>
              </w:rPr>
            </w:pPr>
            <w:r>
              <w:rPr>
                <w:rFonts w:ascii="Arial" w:cs="Arial" w:eastAsia="Arial" w:hAnsi="Arial"/>
                <w:sz w:val="16"/>
                <w:szCs w:val="16"/>
                <w:color w:val="auto"/>
                <w:w w:val="87"/>
              </w:rPr>
              <w:t>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6.5%</w:t>
            </w:r>
          </w:p>
        </w:tc>
      </w:tr>
    </w:tbl>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noted the following trends which we believe affect our industry:</w:t>
      </w:r>
    </w:p>
    <w:p>
      <w:pPr>
        <w:spacing w:after="0" w:line="115" w:lineRule="exact"/>
        <w:rPr>
          <w:sz w:val="20"/>
          <w:szCs w:val="20"/>
          <w:color w:val="auto"/>
        </w:rPr>
      </w:pPr>
    </w:p>
    <w:p>
      <w:pPr>
        <w:ind w:left="660" w:hanging="169"/>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 growth in the housing market over the past several years has been predominately in new construction which has outpaced the growth in the residential remodeling and replacement sector;</w:t>
      </w:r>
    </w:p>
    <w:p>
      <w:pPr>
        <w:spacing w:after="0" w:line="63" w:lineRule="exact"/>
        <w:rPr>
          <w:rFonts w:ascii="Arial" w:cs="Arial" w:eastAsia="Arial" w:hAnsi="Arial"/>
          <w:sz w:val="18"/>
          <w:szCs w:val="18"/>
          <w:color w:val="auto"/>
        </w:rPr>
      </w:pPr>
    </w:p>
    <w:p>
      <w:pPr>
        <w:ind w:left="660" w:right="20" w:hanging="169"/>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63" w:lineRule="exact"/>
        <w:rPr>
          <w:rFonts w:ascii="Arial" w:cs="Arial" w:eastAsia="Arial" w:hAnsi="Arial"/>
          <w:sz w:val="18"/>
          <w:szCs w:val="18"/>
          <w:color w:val="auto"/>
        </w:rPr>
      </w:pPr>
    </w:p>
    <w:p>
      <w:pPr>
        <w:ind w:left="660" w:hanging="169"/>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supply chain disruptions and inflationary pressures related to transportation, labor, and raw materials have increased causing delays in production and higher prices;</w:t>
      </w:r>
    </w:p>
    <w:p>
      <w:pPr>
        <w:spacing w:after="0" w:line="63" w:lineRule="exact"/>
        <w:rPr>
          <w:rFonts w:ascii="Arial" w:cs="Arial" w:eastAsia="Arial" w:hAnsi="Arial"/>
          <w:sz w:val="18"/>
          <w:szCs w:val="18"/>
          <w:color w:val="auto"/>
        </w:rPr>
      </w:pPr>
    </w:p>
    <w:p>
      <w:pPr>
        <w:ind w:left="660" w:hanging="169"/>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rates in the U.K. and other European nations have changed significantly relative to the United States Dollar due in part to Brexit in the U.K., as well as other international unrest or uncertainties;</w:t>
      </w:r>
    </w:p>
    <w:p>
      <w:pPr>
        <w:spacing w:after="0" w:line="63" w:lineRule="exact"/>
        <w:rPr>
          <w:rFonts w:ascii="Arial" w:cs="Arial" w:eastAsia="Arial" w:hAnsi="Arial"/>
          <w:sz w:val="18"/>
          <w:szCs w:val="18"/>
          <w:color w:val="auto"/>
        </w:rPr>
      </w:pPr>
    </w:p>
    <w:p>
      <w:pPr>
        <w:jc w:val="both"/>
        <w:ind w:left="660" w:hanging="169"/>
        <w:spacing w:after="0" w:line="310"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aluminum, wood and silicone products used by our other businesses; and</w:t>
      </w:r>
    </w:p>
    <w:p>
      <w:pPr>
        <w:spacing w:after="0" w:line="39" w:lineRule="exact"/>
        <w:rPr>
          <w:rFonts w:ascii="Arial" w:cs="Arial" w:eastAsia="Arial" w:hAnsi="Arial"/>
          <w:sz w:val="16"/>
          <w:szCs w:val="16"/>
          <w:color w:val="auto"/>
        </w:rPr>
      </w:pPr>
    </w:p>
    <w:p>
      <w:pPr>
        <w:ind w:left="640" w:hanging="14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energy efficiency standards in Europe should favorably impact sales of our insulating glass spacer products 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short- to mid-term.</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Strategy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vision is to be the preferred supplier to our customers in each market we serve. Our strategy to achieve this vision includes the following:</w:t>
      </w:r>
    </w:p>
    <w:p>
      <w:pPr>
        <w:spacing w:after="0" w:line="127" w:lineRule="exact"/>
        <w:rPr>
          <w:sz w:val="20"/>
          <w:szCs w:val="20"/>
          <w:color w:val="auto"/>
        </w:rPr>
      </w:pPr>
    </w:p>
    <w:p>
      <w:pPr>
        <w:jc w:val="both"/>
        <w:ind w:left="660" w:hanging="169"/>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organic growth with our current customer base and expand our market share with national and regional customers by providing: (1) a quality product; (2) a high level of customer service; (3) product choices at different price points; and (4) new products or enhancements to existing product offerings. These enhancements may include higher thermal efficiency, enhanced functionality, improved weatherability, better appearance and best-in-class quality for our fenestration and cabinet door products;</w:t>
      </w:r>
    </w:p>
    <w:p>
      <w:pPr>
        <w:spacing w:after="0" w:line="77" w:lineRule="exact"/>
        <w:rPr>
          <w:rFonts w:ascii="Arial" w:cs="Arial" w:eastAsia="Arial" w:hAnsi="Arial"/>
          <w:sz w:val="18"/>
          <w:szCs w:val="18"/>
          <w:color w:val="auto"/>
        </w:rPr>
      </w:pPr>
    </w:p>
    <w:p>
      <w:pPr>
        <w:ind w:left="660" w:hanging="169"/>
        <w:spacing w:after="0" w:line="339"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pacing w:after="0" w:line="17" w:lineRule="exact"/>
        <w:rPr>
          <w:rFonts w:ascii="Arial" w:cs="Arial" w:eastAsia="Arial" w:hAnsi="Arial"/>
          <w:sz w:val="16"/>
          <w:szCs w:val="16"/>
          <w:color w:val="auto"/>
        </w:rPr>
      </w:pPr>
    </w:p>
    <w:p>
      <w:pPr>
        <w:ind w:left="640" w:hanging="14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 logistics solutions that provide our customers with just-in-time service which can reduce their processing costs;</w:t>
      </w:r>
    </w:p>
    <w:p>
      <w:pPr>
        <w:spacing w:after="0" w:line="115" w:lineRule="exact"/>
        <w:rPr>
          <w:rFonts w:ascii="Arial" w:cs="Arial" w:eastAsia="Arial" w:hAnsi="Arial"/>
          <w:sz w:val="18"/>
          <w:szCs w:val="18"/>
          <w:color w:val="auto"/>
        </w:rPr>
      </w:pPr>
    </w:p>
    <w:p>
      <w:pPr>
        <w:ind w:left="660" w:hanging="169"/>
        <w:spacing w:after="0" w:line="27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recognizing the importance of sustainability and corporate social responsibility by continually looking for ways to reduce our environmental impact, protect the health and safety of our employees and communities, and engage diverse workers and leaders;</w:t>
      </w:r>
    </w:p>
    <w:p>
      <w:pPr>
        <w:spacing w:after="0" w:line="63" w:lineRule="exact"/>
        <w:rPr>
          <w:rFonts w:ascii="Arial" w:cs="Arial" w:eastAsia="Arial" w:hAnsi="Arial"/>
          <w:sz w:val="18"/>
          <w:szCs w:val="18"/>
          <w:color w:val="auto"/>
        </w:rPr>
      </w:pPr>
    </w:p>
    <w:p>
      <w:pPr>
        <w:ind w:left="660" w:hanging="169"/>
        <w:spacing w:after="0" w:line="339"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17" w:lineRule="exact"/>
        <w:rPr>
          <w:rFonts w:ascii="Arial" w:cs="Arial" w:eastAsia="Arial" w:hAnsi="Arial"/>
          <w:sz w:val="16"/>
          <w:szCs w:val="16"/>
          <w:color w:val="auto"/>
        </w:rPr>
      </w:pPr>
    </w:p>
    <w:p>
      <w:pPr>
        <w:ind w:left="640" w:hanging="14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exit unprofitable service lines or customer relationships.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Strengths</w:t>
      </w:r>
    </w:p>
    <w:p>
      <w:pPr>
        <w:spacing w:after="0" w:line="173" w:lineRule="exact"/>
        <w:rPr>
          <w:sz w:val="20"/>
          <w:szCs w:val="20"/>
          <w:color w:val="auto"/>
        </w:rPr>
      </w:pPr>
    </w:p>
    <w:p>
      <w:pPr>
        <w:jc w:val="both"/>
        <w:ind w:right="20" w:firstLine="403"/>
        <w:spacing w:after="0" w:line="275" w:lineRule="auto"/>
        <w:rPr>
          <w:sz w:val="20"/>
          <w:szCs w:val="20"/>
          <w:color w:val="auto"/>
        </w:rPr>
      </w:pPr>
      <w:r>
        <w:rPr>
          <w:rFonts w:ascii="Arial" w:cs="Arial" w:eastAsia="Arial" w:hAnsi="Arial"/>
          <w:sz w:val="18"/>
          <w:szCs w:val="18"/>
          <w:color w:val="auto"/>
        </w:rPr>
        <w:t>We believe our strengths include design expertise, new technology development capability, high quality manufacturing, just-in-time delivery systems, customer service and the ability to generate unique patented products.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Raw Materials and Supplies</w:t>
      </w:r>
    </w:p>
    <w:p>
      <w:pPr>
        <w:spacing w:after="0" w:line="173" w:lineRule="exact"/>
        <w:rPr>
          <w:sz w:val="20"/>
          <w:szCs w:val="20"/>
          <w:color w:val="auto"/>
        </w:rPr>
      </w:pPr>
    </w:p>
    <w:p>
      <w:pPr>
        <w:jc w:val="both"/>
        <w:ind w:firstLine="403"/>
        <w:spacing w:after="0" w:line="272" w:lineRule="auto"/>
        <w:rPr>
          <w:sz w:val="20"/>
          <w:szCs w:val="20"/>
          <w:color w:val="auto"/>
        </w:rPr>
      </w:pPr>
      <w:r>
        <w:rPr>
          <w:rFonts w:ascii="Arial" w:cs="Arial" w:eastAsia="Arial" w:hAnsi="Arial"/>
          <w:sz w:val="17"/>
          <w:szCs w:val="17"/>
          <w:color w:val="auto"/>
        </w:rPr>
        <w:t>We purchase a diverse range of raw materials, which include PVC resin, epoxy resin, butyl, titanium dioxide (TiO2) desiccant powder, silicone and EPDM rubber compounds, coated and uncoated aluminum sheet and wood (both hardwood and softwood). These raw materials are generally available from several suppliers at market prices. We may enter into sole sourcing arrangements with our suppliers from time to time if we believe we can realize beneficial savings, but only after we have determined that the vendor can reliably supply our raw material requirements. These sole sourcing arrangements generally have termination clauses to protect us if a sole sourced vendor could not provide raw materials timely and on economically feasible terms. We believe there are other qualified suppliers from which we could purchase raw materials and supplies.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Competition</w:t>
      </w:r>
    </w:p>
    <w:p>
      <w:pPr>
        <w:spacing w:after="0" w:line="173"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Our products are sold under highly competitive conditions. We compete with a number of companies, some of which have greater financial resources than us. We believe the primary competitive factors in the markets we serve include price, product quality, delivery and the ability to manufacture to customer specifications. The volume of engineered building products that we manufacture represents a small percentage of annual domestic consumption. Similarly, our subsidiaries in the U.K. compete against some larger vinyl producers and smaller window manufacturers. For our kitchen and bathroom cabinet door business, we believe we are the largest supplier to OEMs in the U.S., but we compete with other national and regional businesses, including OEMs who are vertically integrated.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vehicles, but we primarily serve the residential housing market. Competition is largely based on regional presence, custom engineering, product development, quality, service and price. Primary competitors include, but are not limited to, Veka, Deceuninck, Energi, Vision Extrusions, GED Integrated Solutions, Technoform, Swiss Spacer, Thermix, RiteScreen, Allmetal, Endura, Klinger, Thermoseal and Fenzi Group. Competitors in the vinyl extrusion business in the U.K. include Epwin, Veka, Profine UK Extrustions Ltd., Eurocell and others. Primary competitors in the cabinet door business in the U.S. include Conestoga, Appalachian Wood, Olon, Northern Contours and others.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Sales, Marketing, and Distribution</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sell our products to customers in various countries. Therefore,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limited use of distributors and independent sales agents.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Customers</w:t>
      </w:r>
    </w:p>
    <w:p>
      <w:pPr>
        <w:spacing w:after="0" w:line="17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Credit Losses,” of the accompanying financial statements in this Annual Report on Form 10-K for related disclosure.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Sales Backlog</w:t>
      </w:r>
    </w:p>
    <w:p>
      <w:pPr>
        <w:spacing w:after="0" w:line="173" w:lineRule="exact"/>
        <w:rPr>
          <w:sz w:val="20"/>
          <w:szCs w:val="20"/>
          <w:color w:val="auto"/>
        </w:rPr>
      </w:pPr>
    </w:p>
    <w:p>
      <w:pPr>
        <w:jc w:val="both"/>
        <w:ind w:firstLine="403"/>
        <w:spacing w:after="0" w:line="310" w:lineRule="auto"/>
        <w:rPr>
          <w:sz w:val="20"/>
          <w:szCs w:val="20"/>
          <w:color w:val="auto"/>
        </w:rPr>
      </w:pPr>
      <w:r>
        <w:rPr>
          <w:rFonts w:ascii="Arial" w:cs="Arial" w:eastAsia="Arial" w:hAnsi="Arial"/>
          <w:sz w:val="16"/>
          <w:szCs w:val="16"/>
          <w:color w:val="auto"/>
        </w:rPr>
        <w:t>Given the short lead times involved in our business, we have a backlog of approximately $83 million as of October 31, 2021. The criteria for revenue recognition has not been met with regard to sales backlog, and therefore, we have not recorded revenue or deferred revenue pursuant to these sales orders. If these sales orders result in a sale, we will record revenue during fiscal 2022 in accordance with our revenue recognition accounting policy.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Seasonal Nature of Business</w:t>
      </w:r>
    </w:p>
    <w:p>
      <w:pPr>
        <w:spacing w:after="0" w:line="173" w:lineRule="exact"/>
        <w:rPr>
          <w:sz w:val="20"/>
          <w:szCs w:val="20"/>
          <w:color w:val="auto"/>
        </w:rPr>
      </w:pPr>
    </w:p>
    <w:p>
      <w:pPr>
        <w:jc w:val="both"/>
        <w:ind w:firstLine="403"/>
        <w:spacing w:after="0" w:line="295" w:lineRule="auto"/>
        <w:rPr>
          <w:sz w:val="20"/>
          <w:szCs w:val="20"/>
          <w:color w:val="auto"/>
        </w:rPr>
      </w:pPr>
      <w:r>
        <w:rPr>
          <w:rFonts w:ascii="Arial" w:cs="Arial" w:eastAsia="Arial" w:hAnsi="Arial"/>
          <w:sz w:val="16"/>
          <w:szCs w:val="16"/>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We typically experience more favorable results in the third and fourth quarters of the fiscal year. Our exposure to seasonality was somewhat tempered with the entry into the kitchen and bathroom cabinet door industry, which is focused "inside the house" and less susceptible to inclement weather. Expenses for labor and other costs are generally semi-variable throughout the year.</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Working Capital</w:t>
      </w:r>
    </w:p>
    <w:p>
      <w:pPr>
        <w:spacing w:after="0" w:line="173"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Service Marks, Trademarks, Trade Names, and Patents</w:t>
      </w:r>
    </w:p>
    <w:p>
      <w:pPr>
        <w:spacing w:after="0" w:line="173"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Our federally registered trademarks or service marks include QUANEX, QUANEX and design, “Q” design, TRUSEAL TECHNOLOGIES, DURASEAL, DURALITE, SOLARGAIN,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MIKRON and design, HOMESHIELD, HOMESHIELD and design, STORM SEAL, and TENON. We consider the following marks, design marks and associated trade names to be valuable in the conduct of our business: HOMESHIELD, TRUSEAL TECHNOLOGIES, EDGETECH, MIKRON,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WOODCRAFT and QUANEX. Through Liniar, we hold a number of registered designs, patents and trademarks registered in the U.K., which include: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MODLOK, LINIAR, SUPER CUT, ENERGY PLUS &amp; Device, FLAMSTEAD HOLDINGS &amp; Device, HL PLASTICS &amp; Device, VINTAGE WINDOWS</w:t>
      </w:r>
    </w:p>
    <w:p>
      <w:pPr>
        <w:spacing w:after="0" w:line="20" w:lineRule="exact"/>
        <w:rPr>
          <w:sz w:val="20"/>
          <w:szCs w:val="20"/>
          <w:color w:val="auto"/>
        </w:rPr>
      </w:pPr>
    </w:p>
    <w:p>
      <w:pPr>
        <w:jc w:val="both"/>
        <w:ind w:firstLine="7"/>
        <w:spacing w:after="0" w:line="250" w:lineRule="auto"/>
        <w:tabs>
          <w:tab w:leader="none" w:pos="20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Device, RESURGENCE, FUSE, ELEVATE, SWITCHBOARD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dyes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 numerous patents, the proprietary process technology that has been developed is also considered a source of competitive advantage.</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Environmental and Employee Safety Matters</w:t>
      </w:r>
    </w:p>
    <w:p>
      <w:pPr>
        <w:spacing w:after="0" w:line="173"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 and Environmental Policies</w:t>
      </w:r>
    </w:p>
    <w:p>
      <w:pPr>
        <w:spacing w:after="0" w:line="169"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Director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Remediation</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Compliance Costs</w:t>
      </w:r>
    </w:p>
    <w:p>
      <w:pPr>
        <w:spacing w:after="0" w:line="169"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2022.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Human Capital</w:t>
      </w:r>
    </w:p>
    <w:p>
      <w:pPr>
        <w:spacing w:after="0" w:line="173" w:lineRule="exact"/>
        <w:rPr>
          <w:sz w:val="20"/>
          <w:szCs w:val="20"/>
          <w:color w:val="auto"/>
        </w:rPr>
      </w:pPr>
    </w:p>
    <w:p>
      <w:pPr>
        <w:jc w:val="both"/>
        <w:ind w:firstLine="403"/>
        <w:spacing w:after="0" w:line="242" w:lineRule="auto"/>
        <w:rPr>
          <w:sz w:val="20"/>
          <w:szCs w:val="20"/>
          <w:color w:val="auto"/>
        </w:rPr>
      </w:pPr>
      <w:r>
        <w:rPr>
          <w:rFonts w:ascii="Arial" w:cs="Arial" w:eastAsia="Arial" w:hAnsi="Arial"/>
          <w:sz w:val="18"/>
          <w:szCs w:val="18"/>
          <w:color w:val="auto"/>
        </w:rPr>
        <w:t xml:space="preserve">We track human </w:t>
      </w:r>
      <w:r>
        <w:rPr>
          <w:rFonts w:ascii="Arial" w:cs="Arial" w:eastAsia="Arial" w:hAnsi="Arial"/>
          <w:sz w:val="18"/>
          <w:szCs w:val="18"/>
          <w:color w:val="222222"/>
        </w:rPr>
        <w:t>capital metrics that we consider to be key to our business, including employee headcount, temporary workers, health and safety, and</w:t>
      </w:r>
      <w:r>
        <w:rPr>
          <w:rFonts w:ascii="Arial" w:cs="Arial" w:eastAsia="Arial" w:hAnsi="Arial"/>
          <w:sz w:val="18"/>
          <w:szCs w:val="18"/>
          <w:color w:val="auto"/>
        </w:rPr>
        <w:t xml:space="preserve"> </w:t>
      </w:r>
      <w:r>
        <w:rPr>
          <w:rFonts w:ascii="Arial" w:cs="Arial" w:eastAsia="Arial" w:hAnsi="Arial"/>
          <w:sz w:val="18"/>
          <w:szCs w:val="18"/>
          <w:color w:val="222222"/>
        </w:rPr>
        <w:t xml:space="preserve">turnover. </w:t>
      </w:r>
      <w:r>
        <w:rPr>
          <w:rFonts w:ascii="Arial" w:cs="Arial" w:eastAsia="Arial" w:hAnsi="Arial"/>
          <w:sz w:val="18"/>
          <w:szCs w:val="18"/>
          <w:color w:val="000000"/>
        </w:rPr>
        <w:t>As of October 31, 2021, we had 3,860 employees. Of these employees, 3,083 were domiciled in the U.S., 665 in the U.K., and 112 in Germany.</w:t>
      </w:r>
      <w:r>
        <w:rPr>
          <w:rFonts w:ascii="Arial" w:cs="Arial" w:eastAsia="Arial" w:hAnsi="Arial"/>
          <w:sz w:val="18"/>
          <w:szCs w:val="18"/>
          <w:color w:val="222222"/>
        </w:rPr>
        <w:t xml:space="preserve"> </w:t>
      </w:r>
      <w:r>
        <w:rPr>
          <w:rFonts w:ascii="Arial" w:cs="Arial" w:eastAsia="Arial" w:hAnsi="Arial"/>
          <w:sz w:val="18"/>
          <w:szCs w:val="18"/>
          <w:color w:val="000000"/>
        </w:rPr>
        <w:t>Generally, the total number of employees of Quanex and its subsidiaries does not significantly fluctuate throughout the year. Currently, none of our employees are subject to collective bargaining agreements.</w:t>
      </w:r>
    </w:p>
    <w:p>
      <w:pPr>
        <w:spacing w:after="0" w:line="133"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7"/>
          <w:szCs w:val="17"/>
          <w:color w:val="auto"/>
        </w:rPr>
        <w:t xml:space="preserve">Employee turnover rates are monitored monthly at the division and plant levels. Both voluntary and involuntary terminations, including retirements, are used to calculate the turnover rate. Our human capital objectives include attracting, developing, motivating, rewarding, and retaining our existing and new employees. We offer our employees online training courses and on-the-job training on job duties, safety requirements, and leadership skills. The health and safety of our employees is our high priority and in particular, in response to the COVID-19 pandemic. We have taken additional measures to limit possible infections at the workplace. </w:t>
      </w:r>
      <w:r>
        <w:rPr>
          <w:rFonts w:ascii="Arial" w:cs="Arial" w:eastAsia="Arial" w:hAnsi="Arial"/>
          <w:sz w:val="17"/>
          <w:szCs w:val="17"/>
          <w:color w:val="333333"/>
        </w:rPr>
        <w:t>See Part 2 Item 7, “Management's Discussion and Analysis of Financial Condition and Results of Operations - Notable</w:t>
      </w:r>
      <w:r>
        <w:rPr>
          <w:rFonts w:ascii="Arial" w:cs="Arial" w:eastAsia="Arial" w:hAnsi="Arial"/>
          <w:sz w:val="17"/>
          <w:szCs w:val="17"/>
          <w:color w:val="auto"/>
        </w:rPr>
        <w:t xml:space="preserve"> </w:t>
      </w:r>
      <w:r>
        <w:rPr>
          <w:rFonts w:ascii="Arial" w:cs="Arial" w:eastAsia="Arial" w:hAnsi="Arial"/>
          <w:sz w:val="17"/>
          <w:szCs w:val="17"/>
          <w:color w:val="333333"/>
        </w:rPr>
        <w:t>Items - COVID-19 Impacts,” elsewhere in this Annual Report on Form 10-K for related disclosure.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 Investors</w:t>
      </w:r>
    </w:p>
    <w:p>
      <w:pPr>
        <w:spacing w:after="0" w:line="160"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http://www.quanex.com, as soon 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69" w:lineRule="exact"/>
        <w:rPr>
          <w:sz w:val="20"/>
          <w:szCs w:val="20"/>
          <w:color w:val="auto"/>
        </w:rPr>
      </w:pPr>
    </w:p>
    <w:p>
      <w:pPr>
        <w:jc w:val="both"/>
        <w:ind w:firstLine="403"/>
        <w:spacing w:after="0" w:line="256" w:lineRule="auto"/>
        <w:rPr>
          <w:sz w:val="20"/>
          <w:szCs w:val="20"/>
          <w:color w:val="auto"/>
        </w:rPr>
      </w:pPr>
      <w:r>
        <w:rPr>
          <w:rFonts w:ascii="Arial" w:cs="Arial" w:eastAsia="Arial" w:hAnsi="Arial"/>
          <w:sz w:val="18"/>
          <w:szCs w:val="18"/>
          <w:b w:val="1"/>
          <w:bCs w:val="1"/>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Risks</w:t>
      </w:r>
    </w:p>
    <w:p>
      <w:pPr>
        <w:spacing w:after="0" w:line="16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2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purchase from outside sources significant amounts of raw materials, such as butyl, titanium dioxide, vinyl resin, aluminum, steel, silicone and wood products for use in our manufacturing facilities. Because we do not have long-term contracts for the supply of many of our raw materials, their availability and price are subject to market fluctuation and may be subject to curtailment or change. Any of these factors could affect our ability to timely and cost-effectively manufacture products for our customers.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with, or liabilities under, existing or future environmental laws and regulations could significantly increase our costs of doing business.</w:t>
      </w:r>
    </w:p>
    <w:p>
      <w:pPr>
        <w:spacing w:after="0" w:line="208"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goodwill and indefinite-lived intangible assets may become impaired and could result in a charge to income.</w:t>
      </w:r>
    </w:p>
    <w:p>
      <w:pPr>
        <w:spacing w:after="0" w:line="173"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We recorded goodwill impairment charges in 2019 and could record future impairment charges. Goodwill totaled $149.2 million at October 31, 2021. The results of goodwill impairment testing are described in the accompanying notes to the audited financial statements, Note 6, “Goodwill and Intangible Assets” of the accompanying financial statements in this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w:t>
      </w:r>
    </w:p>
    <w:p>
      <w:pPr>
        <w:spacing w:after="0" w:line="173"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12" w:lineRule="exact"/>
        <w:rPr>
          <w:sz w:val="20"/>
          <w:szCs w:val="20"/>
          <w:color w:val="auto"/>
        </w:rPr>
      </w:pPr>
    </w:p>
    <w:p>
      <w:pPr>
        <w:jc w:val="both"/>
        <w:ind w:firstLine="403"/>
        <w:spacing w:after="0" w:line="295" w:lineRule="auto"/>
        <w:rPr>
          <w:sz w:val="20"/>
          <w:szCs w:val="20"/>
          <w:color w:val="auto"/>
        </w:rPr>
      </w:pPr>
      <w:r>
        <w:rPr>
          <w:rFonts w:ascii="Arial" w:cs="Arial" w:eastAsia="Arial" w:hAnsi="Arial"/>
          <w:sz w:val="16"/>
          <w:szCs w:val="16"/>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 materially impact our profitability. Likewise, when such laws, regulations or initiatives expire, our business may experience a material loss in sales volume or an increase in production costs as a result of the decline in consumer demand.</w:t>
      </w:r>
    </w:p>
    <w:p>
      <w:pPr>
        <w:spacing w:after="0" w:line="10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12"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operations within the U.K. may be negatively affected as a result of the U.K.'s exit from the European Union (E.U.), (commonly referred to as Brexit).</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have operations located within the U.K., and as such, our business and financial results may be negatively impacted as a result of Brexit, resulting primarily from (a) continued depression in the value of the British Pound Sterling as compared to the United States Dollar; and (b) potential price increases or unavailability of supplies purchased by our U.K. businesses from companies located in the E.U. or elsewhere. If the value of the British Pound Sterling continues to fluctuate as a result of Brexit,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unfavorable exchange rate changes may negatively affect the value of our operations and businesses located in the U.K., as translated to our reporting currency, the United States Dollar, in accordance with U.S. GAAP, which may impact the revenue and earnings we report. For more information with respect to Exchange Rate risk applicable to us, please see Part 2 Item 7A. “Market Risk Disclosures,” elsewhere in this Annual Report on Form 10-K. Continued fluctuations in the British Pound Sterling may also result in the imposition of price adjustments by E.U.-based suppliers to our U.K. businesses, as those suppliers seek to compensate for the changes in value of the British Pound Sterling as compared to the European Euro.</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achieve and maintain effective internal controls could have a material adverse effect on our business and on our stock price.</w:t>
      </w:r>
    </w:p>
    <w:p>
      <w:pPr>
        <w:spacing w:after="0" w:line="185"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impact of foreign trade relations and associated tariffs could adversely impact our business.</w:t>
      </w:r>
    </w:p>
    <w:p>
      <w:pPr>
        <w:spacing w:after="0" w:line="173"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We currently source a number of raw materials from international suppliers. Import tariffs, taxes, customs duties and/or other trading regulations imposed by the U.S. government on foreign countries, or by foreign countries on the U.S., could significantly increase the prices we pay for certain raw materials, such as aluminum and wood, that are critical to our ability to manufacture our products. In addition, we may be unable to find a domestic supplier to provide the necessary raw materials on an economical basis in the amounts we require.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Risks</w:t>
      </w:r>
    </w:p>
    <w:p>
      <w:pPr>
        <w:spacing w:after="0" w:line="165" w:lineRule="exact"/>
        <w:rPr>
          <w:sz w:val="20"/>
          <w:szCs w:val="20"/>
          <w:color w:val="auto"/>
        </w:rPr>
      </w:pPr>
    </w:p>
    <w:p>
      <w:pPr>
        <w:jc w:val="both"/>
        <w:ind w:right="20"/>
        <w:spacing w:after="0" w:line="345" w:lineRule="auto"/>
        <w:rPr>
          <w:sz w:val="20"/>
          <w:szCs w:val="20"/>
          <w:color w:val="auto"/>
        </w:rPr>
      </w:pPr>
      <w:r>
        <w:rPr>
          <w:rFonts w:ascii="Arial" w:cs="Arial" w:eastAsia="Arial" w:hAnsi="Arial"/>
          <w:sz w:val="16"/>
          <w:szCs w:val="16"/>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their customers.</w:t>
      </w:r>
    </w:p>
    <w:p>
      <w:pPr>
        <w:spacing w:after="0" w:line="66" w:lineRule="exact"/>
        <w:rPr>
          <w:sz w:val="20"/>
          <w:szCs w:val="20"/>
          <w:color w:val="auto"/>
        </w:rPr>
      </w:pPr>
    </w:p>
    <w:p>
      <w:pPr>
        <w:jc w:val="both"/>
        <w:ind w:firstLine="403"/>
        <w:spacing w:after="0" w:line="292" w:lineRule="auto"/>
        <w:rPr>
          <w:sz w:val="20"/>
          <w:szCs w:val="20"/>
          <w:color w:val="auto"/>
        </w:rPr>
      </w:pPr>
      <w:r>
        <w:rPr>
          <w:rFonts w:ascii="Arial" w:cs="Arial" w:eastAsia="Arial" w:hAnsi="Arial"/>
          <w:sz w:val="16"/>
          <w:szCs w:val="16"/>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 improvements. However, our efforts in this regard may not be successful and our operating margins could be negatively impacted.</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revenues could decline or we may lose business if our customers vertically integrate their operations, diversify their supplier base, or transfer manufacturing capacity to other regions.</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or a shift in regional focus, our revenue, general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credit facility contains certain operational restrictions, reporting requirements, and financial covenants that limit the aggregate availability of funds.</w:t>
      </w:r>
    </w:p>
    <w:p>
      <w:pPr>
        <w:spacing w:after="0" w:line="112"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“Management’s Discussion and Analysis of Financial Conditions and Results of Operations-Liquidity and Capital Resources,” included elsewhere in this Annual Report on Form 10-K.</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may not be able to successfully manage or integrate acquisitions, and if we are unable to do so, then our profitability could be adversely affected.</w:t>
      </w:r>
    </w:p>
    <w:p>
      <w:pPr>
        <w:spacing w:after="0" w:line="112"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cannot provide assurance that we will successfully manage or integrate acquisition targets once we have purchased them. If we acquire a business for which we do not fully understand or appreciate the specific business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data security and privacy risks that could negatively affect our results or operations.</w:t>
      </w:r>
    </w:p>
    <w:p>
      <w:pPr>
        <w:spacing w:after="0" w:line="173" w:lineRule="exact"/>
        <w:rPr>
          <w:sz w:val="20"/>
          <w:szCs w:val="20"/>
          <w:color w:val="auto"/>
        </w:rPr>
      </w:pPr>
    </w:p>
    <w:p>
      <w:pPr>
        <w:jc w:val="both"/>
        <w:ind w:firstLine="403"/>
        <w:spacing w:after="0" w:line="295" w:lineRule="auto"/>
        <w:rPr>
          <w:sz w:val="20"/>
          <w:szCs w:val="20"/>
          <w:color w:val="auto"/>
        </w:rPr>
      </w:pPr>
      <w:r>
        <w:rPr>
          <w:rFonts w:ascii="Arial" w:cs="Arial" w:eastAsia="Arial" w:hAnsi="Arial"/>
          <w:sz w:val="16"/>
          <w:szCs w:val="16"/>
          <w:color w:val="auto"/>
        </w:rPr>
        <w:t>In addition to our own sensitive and proprietary business information, we collect transactional and personal information about our customers and employees. Any breach, including ransomware attacks or other cybersecurity breaches,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 customer relationships, and could also result in unwanted media attention, reputational damage, or the imposition of fines, lawsuits, or significant legal or remediation expenses.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Epidemics, pandemics or other disease outbreaks could significantly disrupt our operations or those of our customers or suppliers.</w:t>
      </w:r>
    </w:p>
    <w:p>
      <w:pPr>
        <w:spacing w:after="0" w:line="185" w:lineRule="exact"/>
        <w:rPr>
          <w:sz w:val="20"/>
          <w:szCs w:val="20"/>
          <w:color w:val="auto"/>
        </w:rPr>
      </w:pPr>
    </w:p>
    <w:p>
      <w:pPr>
        <w:jc w:val="both"/>
        <w:ind w:firstLine="403"/>
        <w:spacing w:after="0" w:line="339" w:lineRule="auto"/>
        <w:rPr>
          <w:sz w:val="20"/>
          <w:szCs w:val="20"/>
          <w:color w:val="auto"/>
        </w:rPr>
      </w:pPr>
      <w:r>
        <w:rPr>
          <w:rFonts w:ascii="Arial" w:cs="Arial" w:eastAsia="Arial" w:hAnsi="Arial"/>
          <w:sz w:val="16"/>
          <w:szCs w:val="16"/>
          <w:color w:val="auto"/>
        </w:rPr>
        <w:t>If the COVID-19 coronavirus continues to disrupt the worldwide economy, or if similar widespread disease outbreaks occur in the future, our business, financial condition and results of operations could be negatively affected to the extent such event harms the economy or region in which we operate.</w:t>
      </w:r>
    </w:p>
    <w:p>
      <w:pPr>
        <w:spacing w:after="0" w:line="71"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Our business could be materially and adversely affected by the occurrence of a widespread health epidemic or pandemic. In particular, any outbreak or resurgence of COVID-19 such as the increased presence and spread of the Omicon variant, Delta variant or any other future variants, or governmental imposition of mandatory or voluntary closures in areas where our manufacturing facilities, suppliers or customers are located, could severely disrupt our operations and result in (a) plant slowdowns or shutdowns, (b) difficulty obtaining necessary supplies, and (c) reduced customer orders and revenues. In addition to this potential direct 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3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The COVID-19 pandemic has had and may continue to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1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We may not have the right personnel in place to achieve our operating goals, and the rural location of some of our operations may make it difficult to locate or hire highly skilled employees.</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operate in some rural areas and small towns where the competition for labor can be fierce, and where the pool of qualified employees may be very small. If we are unable to obtain or retain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failures or catastrophic loss at any of our manufacturing facilities could prevent us from producing our products.</w:t>
      </w:r>
    </w:p>
    <w:p>
      <w:pPr>
        <w:spacing w:after="0" w:line="173"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12"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212"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Our insurance coverage may be inapplicable or inadequate to cover certain liabilities, and our insurance policies may exclude coverage for certain matters.</w:t>
      </w:r>
    </w:p>
    <w:p>
      <w:pPr>
        <w:spacing w:after="0" w:line="112"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high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135" w:lineRule="exact"/>
        <w:rPr>
          <w:sz w:val="20"/>
          <w:szCs w:val="20"/>
          <w:color w:val="auto"/>
        </w:rPr>
      </w:pPr>
    </w:p>
    <w:p>
      <w:pPr>
        <w:ind w:right="220"/>
        <w:spacing w:after="0" w:line="280" w:lineRule="auto"/>
        <w:rPr>
          <w:sz w:val="20"/>
          <w:szCs w:val="20"/>
          <w:color w:val="auto"/>
        </w:rPr>
      </w:pPr>
      <w:r>
        <w:rPr>
          <w:rFonts w:ascii="Arial" w:cs="Arial" w:eastAsia="Arial" w:hAnsi="Arial"/>
          <w:sz w:val="18"/>
          <w:szCs w:val="18"/>
          <w:b w:val="1"/>
          <w:bCs w:val="1"/>
          <w:color w:val="auto"/>
        </w:rPr>
        <w:t>Climate change and related extreme weather events could disrupt our supply chain, decrease customer demand for our products, or damage our manufacturing facilities.</w:t>
      </w:r>
    </w:p>
    <w:p>
      <w:pPr>
        <w:spacing w:after="0" w:line="112" w:lineRule="exact"/>
        <w:rPr>
          <w:sz w:val="20"/>
          <w:szCs w:val="20"/>
          <w:color w:val="auto"/>
        </w:rPr>
      </w:pPr>
    </w:p>
    <w:p>
      <w:pPr>
        <w:jc w:val="both"/>
        <w:ind w:firstLine="403"/>
        <w:spacing w:after="0" w:line="272" w:lineRule="auto"/>
        <w:rPr>
          <w:sz w:val="20"/>
          <w:szCs w:val="20"/>
          <w:color w:val="auto"/>
        </w:rPr>
      </w:pPr>
      <w:r>
        <w:rPr>
          <w:rFonts w:ascii="Arial" w:cs="Arial" w:eastAsia="Arial" w:hAnsi="Arial"/>
          <w:sz w:val="17"/>
          <w:szCs w:val="17"/>
          <w:color w:val="auto"/>
        </w:rPr>
        <w:t>We, along with many of our customers and suppliers, operate manufacturing facilities in areas at risk for extreme weather events such as hurricanes, tornadoes, drought, wildfires, winter storms, or floods. Ongoing climate change has increased the frequency and severity of these events and the related risk of a catastrophic weather event affecting one of our plants, or a plant owned by one of our customers or suppliers. If such an event occurs at a facility belonging to one of our customers, we could see reduced demand for our products. If such an event occurs at a facility belonging to us or one of our suppliers, we may be unable to timely and cost-effectively manufacture products for our customers. These declines in demand or impacts to our ability to manufacture our products could negatively impact our revenues, earnings, cash flow, and other operating results.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114" w:lineRule="exact"/>
        <w:rPr>
          <w:sz w:val="20"/>
          <w:szCs w:val="20"/>
          <w:color w:val="auto"/>
        </w:rPr>
      </w:pPr>
    </w:p>
    <w:p>
      <w:pPr>
        <w:jc w:val="both"/>
        <w:ind w:firstLine="403"/>
        <w:spacing w:after="0" w:line="238" w:lineRule="auto"/>
        <w:rPr>
          <w:sz w:val="20"/>
          <w:szCs w:val="20"/>
          <w:color w:val="auto"/>
        </w:rPr>
      </w:pPr>
      <w:r>
        <w:rPr>
          <w:rFonts w:ascii="Arial" w:cs="Arial" w:eastAsia="Arial" w:hAnsi="Arial"/>
          <w:sz w:val="17"/>
          <w:szCs w:val="17"/>
          <w:color w:val="auto"/>
        </w:rPr>
        <w:t>We file income tax returns, including tax returns for our subsidiaries, with federal, state, local, and foreign jurisdictions. We consider the United States to be our most significant jurisdiction; however, all tax returns are subject to routine compliance review by the taxing authorities in the jurisdictions in which we file tax returns in the ordinary course of business. We make judgments regarding the utilization of existing deferred tax assets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tax positions that have been taken. Changes in federal, state, or local tax laws, adverse tax audit results, or adverse tax rulings on positions taken could have a material adverse effect on the results of our operations, financial condition, or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Investment in Quanex Securities</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27"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the ability to issue additional equity securities, which would lead to dilution of our issued and outstanding common stock.</w:t>
      </w:r>
    </w:p>
    <w:p>
      <w:pPr>
        <w:spacing w:after="0" w:line="173"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37,273,510 were issued at October 31, 2021. These authorized shares can be issued, without stockholder approval, as securities convertible into either common stock or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our principal properties by location, general character and use as of October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Character &amp; Use of Property</w:t>
            </w:r>
          </w:p>
        </w:tc>
      </w:tr>
      <w:tr>
        <w:trPr>
          <w:trHeight w:val="222"/>
        </w:trPr>
        <w:tc>
          <w:tcPr>
            <w:tcW w:w="55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Executive Offices</w:t>
            </w:r>
          </w:p>
        </w:tc>
        <w:tc>
          <w:tcPr>
            <w:tcW w:w="8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Houston, Texas*</w:t>
            </w:r>
          </w:p>
        </w:tc>
        <w:tc>
          <w:tcPr>
            <w:tcW w:w="5580" w:type="dxa"/>
            <w:vAlign w:val="bottom"/>
          </w:tcPr>
          <w:p>
            <w:pPr>
              <w:ind w:left="220"/>
              <w:spacing w:after="0"/>
              <w:rPr>
                <w:sz w:val="20"/>
                <w:szCs w:val="20"/>
                <w:color w:val="auto"/>
              </w:rPr>
            </w:pPr>
            <w:r>
              <w:rPr>
                <w:rFonts w:ascii="Arial" w:cs="Arial" w:eastAsia="Arial" w:hAnsi="Arial"/>
                <w:sz w:val="18"/>
                <w:szCs w:val="18"/>
                <w:color w:val="auto"/>
              </w:rPr>
              <w:t>Executive corporate office</w:t>
            </w:r>
          </w:p>
        </w:tc>
      </w:tr>
      <w:tr>
        <w:trPr>
          <w:trHeight w:val="228"/>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North American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Akron, Ohio*</w:t>
            </w:r>
          </w:p>
        </w:tc>
        <w:tc>
          <w:tcPr>
            <w:tcW w:w="5580" w:type="dxa"/>
            <w:vAlign w:val="bottom"/>
          </w:tcPr>
          <w:p>
            <w:pPr>
              <w:ind w:left="220"/>
              <w:spacing w:after="0"/>
              <w:rPr>
                <w:sz w:val="20"/>
                <w:szCs w:val="20"/>
                <w:color w:val="auto"/>
              </w:rPr>
            </w:pPr>
            <w:r>
              <w:rPr>
                <w:rFonts w:ascii="Arial" w:cs="Arial" w:eastAsia="Arial" w:hAnsi="Arial"/>
                <w:sz w:val="18"/>
                <w:szCs w:val="18"/>
                <w:color w:val="auto"/>
              </w:rPr>
              <w:t>Segment executive office and R&amp;D facility</w:t>
            </w:r>
          </w:p>
        </w:tc>
      </w:tr>
      <w:tr>
        <w:trPr>
          <w:trHeight w:val="228"/>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Rice Lake, Wisconsin</w:t>
            </w:r>
          </w:p>
        </w:tc>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Fenestration products</w:t>
            </w:r>
          </w:p>
        </w:tc>
      </w:tr>
      <w:tr>
        <w:trPr>
          <w:trHeight w:val="228"/>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Cambridge, Ohio*</w:t>
            </w:r>
          </w:p>
        </w:tc>
        <w:tc>
          <w:tcPr>
            <w:tcW w:w="5580" w:type="dxa"/>
            <w:vAlign w:val="bottom"/>
          </w:tcPr>
          <w:p>
            <w:pPr>
              <w:ind w:left="220"/>
              <w:spacing w:after="0"/>
              <w:rPr>
                <w:sz w:val="20"/>
                <w:szCs w:val="20"/>
                <w:color w:val="auto"/>
              </w:rPr>
            </w:pPr>
            <w:r>
              <w:rPr>
                <w:rFonts w:ascii="Arial" w:cs="Arial" w:eastAsia="Arial" w:hAnsi="Arial"/>
                <w:sz w:val="18"/>
                <w:szCs w:val="18"/>
                <w:color w:val="auto"/>
              </w:rPr>
              <w:t>Flexible spacer and solar adhesives</w:t>
            </w:r>
          </w:p>
        </w:tc>
      </w:tr>
      <w:tr>
        <w:trPr>
          <w:trHeight w:val="228"/>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Richmond, Kentucky</w:t>
            </w:r>
          </w:p>
        </w:tc>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Vinyl and composite extrusions</w:t>
            </w:r>
          </w:p>
        </w:tc>
      </w:tr>
      <w:tr>
        <w:trPr>
          <w:trHeight w:val="228"/>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Kent, Washington*</w:t>
            </w:r>
          </w:p>
        </w:tc>
        <w:tc>
          <w:tcPr>
            <w:tcW w:w="5580" w:type="dxa"/>
            <w:vAlign w:val="bottom"/>
          </w:tcPr>
          <w:p>
            <w:pPr>
              <w:ind w:left="220"/>
              <w:spacing w:after="0"/>
              <w:rPr>
                <w:sz w:val="20"/>
                <w:szCs w:val="20"/>
                <w:color w:val="auto"/>
              </w:rPr>
            </w:pPr>
            <w:r>
              <w:rPr>
                <w:rFonts w:ascii="Arial" w:cs="Arial" w:eastAsia="Arial" w:hAnsi="Arial"/>
                <w:sz w:val="18"/>
                <w:szCs w:val="18"/>
                <w:color w:val="auto"/>
              </w:rPr>
              <w:t>Vinyl and composite extrusions</w:t>
            </w:r>
          </w:p>
        </w:tc>
      </w:tr>
      <w:tr>
        <w:trPr>
          <w:trHeight w:val="228"/>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European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Denby, United Kingdom*</w:t>
            </w:r>
          </w:p>
        </w:tc>
        <w:tc>
          <w:tcPr>
            <w:tcW w:w="5580" w:type="dxa"/>
            <w:vAlign w:val="bottom"/>
          </w:tcPr>
          <w:p>
            <w:pPr>
              <w:ind w:left="220"/>
              <w:spacing w:after="0"/>
              <w:rPr>
                <w:sz w:val="20"/>
                <w:szCs w:val="20"/>
                <w:color w:val="auto"/>
              </w:rPr>
            </w:pPr>
            <w:r>
              <w:rPr>
                <w:rFonts w:ascii="Arial" w:cs="Arial" w:eastAsia="Arial" w:hAnsi="Arial"/>
                <w:sz w:val="18"/>
                <w:szCs w:val="18"/>
                <w:color w:val="auto"/>
              </w:rPr>
              <w:t>Vinyl and composite extrusions</w:t>
            </w:r>
          </w:p>
        </w:tc>
      </w:tr>
      <w:tr>
        <w:trPr>
          <w:trHeight w:val="228"/>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Heinsberg, Germany*</w:t>
            </w:r>
          </w:p>
        </w:tc>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Flexible spacer</w:t>
            </w:r>
          </w:p>
        </w:tc>
      </w:tr>
      <w:tr>
        <w:trPr>
          <w:trHeight w:val="228"/>
        </w:trPr>
        <w:tc>
          <w:tcPr>
            <w:tcW w:w="566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North American Cabinet Components Segment</w:t>
            </w:r>
          </w:p>
        </w:tc>
        <w:tc>
          <w:tcPr>
            <w:tcW w:w="5580" w:type="dxa"/>
            <w:vAlign w:val="bottom"/>
          </w:tcPr>
          <w:p>
            <w:pPr>
              <w:spacing w:after="0"/>
              <w:rPr>
                <w:sz w:val="19"/>
                <w:szCs w:val="19"/>
                <w:color w:val="auto"/>
              </w:rPr>
            </w:pPr>
          </w:p>
        </w:tc>
      </w:tr>
      <w:tr>
        <w:trPr>
          <w:trHeight w:val="228"/>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 Cloud, Minnesota</w:t>
            </w:r>
          </w:p>
        </w:tc>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Hardwood doors &amp; components for kitchen and bath</w:t>
            </w:r>
          </w:p>
        </w:tc>
      </w:tr>
      <w:tr>
        <w:trPr>
          <w:trHeight w:val="363"/>
        </w:trPr>
        <w:tc>
          <w:tcPr>
            <w:tcW w:w="5660" w:type="dxa"/>
            <w:vAlign w:val="bottom"/>
            <w:gridSpan w:val="2"/>
          </w:tcPr>
          <w:p>
            <w:pPr>
              <w:ind w:left="420"/>
              <w:spacing w:after="0"/>
              <w:rPr>
                <w:sz w:val="20"/>
                <w:szCs w:val="20"/>
                <w:color w:val="auto"/>
              </w:rPr>
            </w:pPr>
            <w:r>
              <w:rPr>
                <w:rFonts w:ascii="Arial" w:cs="Arial" w:eastAsia="Arial" w:hAnsi="Arial"/>
                <w:sz w:val="18"/>
                <w:szCs w:val="18"/>
                <w:color w:val="auto"/>
              </w:rPr>
              <w:t>* These locations are leased as of October 31, 2021.</w:t>
            </w:r>
          </w:p>
        </w:tc>
        <w:tc>
          <w:tcPr>
            <w:tcW w:w="5580" w:type="dxa"/>
            <w:vAlign w:val="bottom"/>
          </w:tcPr>
          <w:p>
            <w:pPr>
              <w:spacing w:after="0"/>
              <w:rPr>
                <w:sz w:val="24"/>
                <w:szCs w:val="24"/>
                <w:color w:val="auto"/>
              </w:rPr>
            </w:pPr>
          </w:p>
        </w:tc>
      </w:tr>
    </w:tbl>
    <w:p>
      <w:pPr>
        <w:spacing w:after="0" w:line="147"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In addition to the locations identified above, our North American Fenestration Segment maintains 13 additional facilities for the manufacture and distribution of fenestration, spacer and extrusion products within the continental U.S., our European Fenestration Segment maintains one additional location for the production of spacer in the U.K., and our North American Cabinet Components Segment maintains 10 locations to manufacture hardwood doors and other wood components for kitchen and bath cabinets. See Note 1, “Nature of Operations, Basis of Presentation and Significant Accounting Policies - Restructuring,” to the accompanying consolidated financial statements included elsewhere in this Annual Report on Form 10-K.</w:t>
      </w:r>
    </w:p>
    <w:p>
      <w:pPr>
        <w:spacing w:after="0" w:line="120"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believe our operating properties are in good condition and well maintained, and are generally suitable and adequate to carry on our business. In fiscal 2021, on a consolidated basis, our facilities operated at approximately 62% of machine capacity. This capacity utilization is subject to variability by product line, seasonality, and location.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8"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9"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We have been and are currently party to multiple claims, some of which are in litigation, relating to alleged defects in a commercial sealant product that was manufactured and sold during the 2000's. Several claims were resolved during fiscal 2019, 2020 and 2021, and we continue to defend the remaining claims.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403"/>
        <w:spacing w:after="0" w:line="305" w:lineRule="auto"/>
        <w:rPr>
          <w:sz w:val="20"/>
          <w:szCs w:val="20"/>
          <w:color w:val="auto"/>
        </w:rPr>
      </w:pPr>
      <w:r>
        <w:rPr>
          <w:rFonts w:ascii="Arial" w:cs="Arial" w:eastAsia="Arial" w:hAnsi="Arial"/>
          <w:sz w:val="17"/>
          <w:szCs w:val="17"/>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94" w:lineRule="exact"/>
        <w:rPr>
          <w:sz w:val="20"/>
          <w:szCs w:val="20"/>
          <w:color w:val="auto"/>
        </w:rPr>
      </w:pPr>
    </w:p>
    <w:p>
      <w:pPr>
        <w:ind w:firstLine="403"/>
        <w:spacing w:after="0" w:line="275" w:lineRule="auto"/>
        <w:rPr>
          <w:sz w:val="20"/>
          <w:szCs w:val="20"/>
          <w:color w:val="auto"/>
        </w:rPr>
      </w:pPr>
      <w:r>
        <w:rPr>
          <w:rFonts w:ascii="Arial" w:cs="Arial" w:eastAsia="Arial" w:hAnsi="Arial"/>
          <w:sz w:val="18"/>
          <w:szCs w:val="18"/>
          <w:color w:val="auto"/>
        </w:rPr>
        <w:t>For discussion of environmental issues, see Item 1, “Business - Environmental and Employee Safety Matters,” discussed elsewhere in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Our common stock has been listed on the New York Stock Exchange under the ticker symbol NX since April 24, 2008. Electronic copies of our public filings are available on the Securities and Exchange Commission's website (www.sec.gov). There were approximately 1,742 holders of our common stock (excluding individual participants in securities positions listings) on record as of December 8,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certain information regarding equity compensation to our employees, officers and directors under equity compensation plans as of October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Number of securities</w:t>
            </w:r>
          </w:p>
        </w:tc>
        <w:tc>
          <w:tcPr>
            <w:tcW w:w="180" w:type="dxa"/>
            <w:vAlign w:val="bottom"/>
          </w:tcPr>
          <w:p>
            <w:pPr>
              <w:spacing w:after="0"/>
              <w:rPr>
                <w:sz w:val="12"/>
                <w:szCs w:val="12"/>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22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8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available for future issuance under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options, warrants and</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(excluding securities reflected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rights</w:t>
            </w:r>
            <w:r>
              <w:rPr>
                <w:rFonts w:ascii="Arial" w:cs="Arial" w:eastAsia="Arial" w:hAnsi="Arial"/>
                <w:sz w:val="17"/>
                <w:szCs w:val="17"/>
                <w:b w:val="1"/>
                <w:bCs w:val="1"/>
                <w:color w:val="auto"/>
                <w:w w:val="87"/>
                <w:vertAlign w:val="superscript"/>
              </w:rPr>
              <w:t>(1)</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1"/>
              </w:rPr>
              <w:t>warrants and rights</w:t>
            </w:r>
            <w:r>
              <w:rPr>
                <w:rFonts w:ascii="Arial" w:cs="Arial" w:eastAsia="Arial" w:hAnsi="Arial"/>
                <w:sz w:val="17"/>
                <w:szCs w:val="17"/>
                <w:b w:val="1"/>
                <w:bCs w:val="1"/>
                <w:color w:val="auto"/>
                <w:w w:val="91"/>
                <w:vertAlign w:val="superscript"/>
              </w:rPr>
              <w:t>(2)</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218,304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1,164,421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420" w:hanging="9"/>
        <w:spacing w:after="0" w:line="268" w:lineRule="auto"/>
        <w:tabs>
          <w:tab w:leader="none" w:pos="61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Column (a) includes securities that may be issued upon future vesting of performance share awards that have been previously granted to key employees and officers. The number of securities reflected in this column includes the maximum number of shares that would be issued pursuant to these performance share awards assuming the performance measures are achieved. The performance measures may not be achieved.</w:t>
      </w:r>
    </w:p>
    <w:p>
      <w:pPr>
        <w:spacing w:after="0" w:line="125" w:lineRule="exact"/>
        <w:rPr>
          <w:rFonts w:ascii="Arial" w:cs="Arial" w:eastAsia="Arial" w:hAnsi="Arial"/>
          <w:sz w:val="21"/>
          <w:szCs w:val="21"/>
          <w:color w:val="auto"/>
          <w:vertAlign w:val="superscript"/>
        </w:rPr>
      </w:pPr>
    </w:p>
    <w:p>
      <w:pPr>
        <w:jc w:val="both"/>
        <w:ind w:left="420" w:hanging="9"/>
        <w:spacing w:after="0" w:line="233" w:lineRule="auto"/>
        <w:tabs>
          <w:tab w:leader="none" w:pos="61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weighted-average exercise price in column (b) does not include the impacts of the performance share awards or any securities that may be issued thereunder. For additional details, see Note 13, “Stock-Based Compensation,” of the accompanying financial statements in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is a table summarizing the program and the repurchase of shares during the quarter ended October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6"/>
              <w:spacing w:after="0"/>
              <w:rPr>
                <w:sz w:val="20"/>
                <w:szCs w:val="20"/>
                <w:color w:val="auto"/>
              </w:rPr>
            </w:pPr>
            <w:r>
              <w:rPr>
                <w:rFonts w:ascii="Arial" w:cs="Arial" w:eastAsia="Arial" w:hAnsi="Arial"/>
                <w:sz w:val="14"/>
                <w:szCs w:val="14"/>
                <w:b w:val="1"/>
                <w:bCs w:val="1"/>
                <w:color w:val="auto"/>
                <w:w w:val="95"/>
              </w:rPr>
              <w:t>(d) Maximum US Dollars</w:t>
            </w: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 Total Number of</w:t>
            </w:r>
          </w:p>
        </w:tc>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 Average Price Paid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1"/>
                <w:szCs w:val="11"/>
                <w:color w:val="auto"/>
              </w:rPr>
            </w:pPr>
          </w:p>
        </w:tc>
        <w:tc>
          <w:tcPr>
            <w:tcW w:w="18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67"/>
        </w:trPr>
        <w:tc>
          <w:tcPr>
            <w:tcW w:w="16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88"/>
              </w:rPr>
              <w:t>Used to Purchase Shares</w:t>
            </w: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 xml:space="preserve">Shares Purchased </w:t>
            </w:r>
            <w:r>
              <w:rPr>
                <w:rFonts w:ascii="Arial" w:cs="Arial" w:eastAsia="Arial" w:hAnsi="Arial"/>
                <w:sz w:val="15"/>
                <w:szCs w:val="15"/>
                <w:b w:val="1"/>
                <w:bCs w:val="1"/>
                <w:color w:val="auto"/>
                <w:vertAlign w:val="superscript"/>
              </w:rPr>
              <w:t>(1)</w:t>
            </w:r>
          </w:p>
        </w:tc>
        <w:tc>
          <w:tcPr>
            <w:tcW w:w="240" w:type="dxa"/>
            <w:vAlign w:val="bottom"/>
          </w:tcPr>
          <w:p>
            <w:pPr>
              <w:spacing w:after="0"/>
              <w:rPr>
                <w:sz w:val="11"/>
                <w:szCs w:val="11"/>
                <w:color w:val="auto"/>
              </w:rPr>
            </w:pPr>
          </w:p>
        </w:tc>
        <w:tc>
          <w:tcPr>
            <w:tcW w:w="13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per Share</w:t>
            </w:r>
            <w:r>
              <w:rPr>
                <w:rFonts w:ascii="Arial" w:cs="Arial" w:eastAsia="Arial" w:hAnsi="Arial"/>
                <w:sz w:val="15"/>
                <w:szCs w:val="15"/>
                <w:b w:val="1"/>
                <w:bCs w:val="1"/>
                <w:color w:val="auto"/>
                <w:vertAlign w:val="superscript"/>
              </w:rPr>
              <w:t>(1)</w:t>
            </w: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40" w:type="dxa"/>
            <w:vAlign w:val="bottom"/>
          </w:tcPr>
          <w:p>
            <w:pPr>
              <w:spacing w:after="0"/>
              <w:rPr>
                <w:sz w:val="5"/>
                <w:szCs w:val="5"/>
                <w:color w:val="auto"/>
              </w:rPr>
            </w:pPr>
          </w:p>
        </w:tc>
        <w:tc>
          <w:tcPr>
            <w:tcW w:w="45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jc w:val="center"/>
              <w:spacing w:after="0" w:line="68" w:lineRule="exact"/>
              <w:rPr>
                <w:sz w:val="20"/>
                <w:szCs w:val="20"/>
                <w:color w:val="auto"/>
              </w:rPr>
            </w:pPr>
            <w:r>
              <w:rPr>
                <w:rFonts w:ascii="Arial" w:cs="Arial" w:eastAsia="Arial" w:hAnsi="Arial"/>
                <w:sz w:val="7"/>
                <w:szCs w:val="7"/>
                <w:b w:val="1"/>
                <w:bCs w:val="1"/>
                <w:color w:val="auto"/>
              </w:rPr>
              <w:t>Announced Plans or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jc w:val="center"/>
              <w:ind w:right="66"/>
              <w:spacing w:after="0" w:line="68" w:lineRule="exact"/>
              <w:rPr>
                <w:sz w:val="20"/>
                <w:szCs w:val="20"/>
                <w:color w:val="auto"/>
              </w:rPr>
            </w:pPr>
            <w:r>
              <w:rPr>
                <w:rFonts w:ascii="Arial" w:cs="Arial" w:eastAsia="Arial" w:hAnsi="Arial"/>
                <w:sz w:val="7"/>
                <w:szCs w:val="7"/>
                <w:b w:val="1"/>
                <w:bCs w:val="1"/>
                <w:color w:val="auto"/>
              </w:rPr>
              <w:t>Under the Plans or</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458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Programs</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ind w:right="46"/>
              <w:spacing w:after="0" w:line="189" w:lineRule="exact"/>
              <w:rPr>
                <w:sz w:val="20"/>
                <w:szCs w:val="20"/>
                <w:color w:val="auto"/>
              </w:rPr>
            </w:pPr>
            <w:r>
              <w:rPr>
                <w:rFonts w:ascii="Arial" w:cs="Arial" w:eastAsia="Arial" w:hAnsi="Arial"/>
                <w:sz w:val="14"/>
                <w:szCs w:val="14"/>
                <w:b w:val="1"/>
                <w:bCs w:val="1"/>
                <w:color w:val="auto"/>
                <w:w w:val="87"/>
              </w:rPr>
              <w:t>Programs</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222"/>
        </w:trPr>
        <w:tc>
          <w:tcPr>
            <w:tcW w:w="1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2021</w:t>
            </w:r>
          </w:p>
        </w:tc>
        <w:tc>
          <w:tcPr>
            <w:tcW w:w="2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5,441,697</w:t>
            </w:r>
          </w:p>
        </w:tc>
        <w:tc>
          <w:tcPr>
            <w:tcW w:w="0" w:type="dxa"/>
            <w:vAlign w:val="bottom"/>
          </w:tcPr>
          <w:p>
            <w:pPr>
              <w:spacing w:after="0"/>
              <w:rPr>
                <w:sz w:val="1"/>
                <w:szCs w:val="1"/>
                <w:color w:val="auto"/>
              </w:rPr>
            </w:pPr>
          </w:p>
        </w:tc>
      </w:tr>
      <w:tr>
        <w:trPr>
          <w:trHeight w:val="228"/>
        </w:trPr>
        <w:tc>
          <w:tcPr>
            <w:tcW w:w="1640" w:type="dxa"/>
            <w:vAlign w:val="bottom"/>
          </w:tcPr>
          <w:p>
            <w:pPr>
              <w:ind w:left="20"/>
              <w:spacing w:after="0"/>
              <w:rPr>
                <w:sz w:val="20"/>
                <w:szCs w:val="20"/>
                <w:color w:val="auto"/>
              </w:rPr>
            </w:pPr>
            <w:r>
              <w:rPr>
                <w:rFonts w:ascii="Arial" w:cs="Arial" w:eastAsia="Arial" w:hAnsi="Arial"/>
                <w:sz w:val="18"/>
                <w:szCs w:val="18"/>
                <w:color w:val="auto"/>
              </w:rPr>
              <w:t>September 2021</w:t>
            </w:r>
          </w:p>
        </w:tc>
        <w:tc>
          <w:tcPr>
            <w:tcW w:w="4460" w:type="dxa"/>
            <w:vAlign w:val="bottom"/>
            <w:gridSpan w:val="3"/>
          </w:tcPr>
          <w:p>
            <w:pPr>
              <w:jc w:val="right"/>
              <w:spacing w:after="0"/>
              <w:rPr>
                <w:sz w:val="20"/>
                <w:szCs w:val="20"/>
                <w:color w:val="auto"/>
              </w:rPr>
            </w:pPr>
            <w:r>
              <w:rPr>
                <w:rFonts w:ascii="Arial" w:cs="Arial" w:eastAsia="Arial" w:hAnsi="Arial"/>
                <w:sz w:val="18"/>
                <w:szCs w:val="18"/>
                <w:color w:val="auto"/>
              </w:rPr>
              <w:t>199,625</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19"/>
                <w:szCs w:val="19"/>
                <w:color w:val="auto"/>
              </w:rPr>
            </w:pPr>
          </w:p>
        </w:tc>
        <w:tc>
          <w:tcPr>
            <w:tcW w:w="1520" w:type="dxa"/>
            <w:vAlign w:val="bottom"/>
          </w:tcPr>
          <w:p>
            <w:pPr>
              <w:jc w:val="right"/>
              <w:ind w:right="4"/>
              <w:spacing w:after="0"/>
              <w:rPr>
                <w:sz w:val="20"/>
                <w:szCs w:val="20"/>
                <w:color w:val="auto"/>
              </w:rPr>
            </w:pPr>
            <w:r>
              <w:rPr>
                <w:rFonts w:ascii="Arial" w:cs="Arial" w:eastAsia="Arial" w:hAnsi="Arial"/>
                <w:sz w:val="18"/>
                <w:szCs w:val="18"/>
                <w:color w:val="auto"/>
              </w:rPr>
              <w:t>199,625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
              <w:spacing w:after="0"/>
              <w:rPr>
                <w:sz w:val="20"/>
                <w:szCs w:val="20"/>
                <w:color w:val="auto"/>
              </w:rPr>
            </w:pPr>
            <w:r>
              <w:rPr>
                <w:rFonts w:ascii="Arial" w:cs="Arial" w:eastAsia="Arial" w:hAnsi="Arial"/>
                <w:sz w:val="18"/>
                <w:szCs w:val="18"/>
                <w:color w:val="auto"/>
              </w:rPr>
              <w:t>1,029,645</w:t>
            </w: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4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47,378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640" w:type="dxa"/>
            <w:vAlign w:val="bottom"/>
          </w:tcPr>
          <w:p>
            <w:pPr>
              <w:ind w:left="2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247,003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rPr>
              <w:t>247,003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420" w:hanging="9"/>
        <w:spacing w:after="0" w:line="275" w:lineRule="auto"/>
        <w:tabs>
          <w:tab w:leader="none" w:pos="61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On August 30, 2018, our Board of Directors approved a stock repurchase program that authorized the repurchase of up to $60.0 million worth of shares of our common stock. During the years ended October 31, 2021, 2020 and 2019, we purchased 478,311, 450,000 and 583,398 shares, respectively, at a cost of $11.2 million, $7.2 million and $9.6 million, respectively, under this program. As of October 31, 2021, this share repurchase authorization was exhausted and the program is now complete. In December 2021, our Board of Directors approved a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3"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The following chart represents a comparison of the five year total return of our common stock to the Standard &amp; Poor’s 500 Index (S&amp;P 500 Index), the Russell 2000 Index, and a peer group index selected by us, which includes companies offering similar products and services to ours. The companies in our peer group for the year ended October 31, 2021 are AAON Inc., American Woodmark Corp, Apogee Enterprises Inc., Armstrong Flooring Inc., Cornerstone Building Brands Inc., CSW Industrials Inc., Gibraltar Industries Inc., Griffon Corporation, Insteel Industries Inc., L.B. Foster Company, Masonite International Corp, Mueller Water Products, Inc., Patrick Industries Inc., PGT Innovations, Inc., Simpson Manufacturing Company Inc.,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95885</wp:posOffset>
            </wp:positionV>
            <wp:extent cx="5972810" cy="4829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2810" cy="482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INDEXED RETURNS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For the Years Ended</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1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Company Name / Index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10/31/2016</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10/31/2017</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10/31/2018</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10/31/2019</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10/31/2020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10/31/2021</w:t>
            </w:r>
          </w:p>
        </w:tc>
      </w:tr>
      <w:tr>
        <w:trPr>
          <w:trHeight w:val="225"/>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Quanex Building Products Corporation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135.72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92.57</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122.92</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118.46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123.63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132.71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151.73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166.46</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237.90</w:t>
            </w: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127.83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130.22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136.60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136.42</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205.72</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Peer Group</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127.92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117.12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148.38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174.33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242.10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our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xml:space="preserve"> discussed elsewhere within this Annual Report on Form 10-K. For a listing of potential risks and uncertainties which impact our business and industry, see “Item 1A. Risk Factors.” Actual results could differ from our expectations due to several factors which include, but are not limited to: the impact of the ongoing COVID-19 pandemic, market price and demand for our products, economic and competitive conditions, capital expenditures, new technology, regulatory changes and other uncertainties. Unless otherwise required by law, we undertake no obligation to publicly update any forward-looking statements, even if new information becomes available or other events occur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3"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We manufacture components for original equipment manufacturers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vinyl fencing, water retention barriers, and conservatory roof components.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9" w:lineRule="exact"/>
        <w:rPr>
          <w:sz w:val="20"/>
          <w:szCs w:val="20"/>
          <w:color w:val="auto"/>
        </w:rPr>
      </w:pPr>
    </w:p>
    <w:p>
      <w:pPr>
        <w:jc w:val="both"/>
        <w:ind w:firstLine="403"/>
        <w:spacing w:after="0" w:line="285"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consolidated financial statements. Corporate general and administrative expenses allocated during the years ended October 31, 2021, 2020 and 2019 were $21.6 million, $21.7 million and $18.3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Items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Impacts</w:t>
      </w:r>
    </w:p>
    <w:p>
      <w:pPr>
        <w:spacing w:after="0" w:line="169"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403"/>
        <w:spacing w:after="0" w:line="339" w:lineRule="auto"/>
        <w:rPr>
          <w:sz w:val="20"/>
          <w:szCs w:val="20"/>
          <w:color w:val="auto"/>
        </w:rPr>
      </w:pPr>
      <w:r>
        <w:rPr>
          <w:rFonts w:ascii="Arial" w:cs="Arial" w:eastAsia="Arial" w:hAnsi="Arial"/>
          <w:sz w:val="16"/>
          <w:szCs w:val="16"/>
          <w:color w:val="auto"/>
        </w:rPr>
        <w:t>As federal, state and local governments react to the public health crisis, significant uncertainties have been created in the economy. The COVID-19 pandemic and its related effects continue to have a significant adverse affect on many sectors of the economy and we may be further impacted.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response to the COVID-19 pandemic, we have taken the following measures:</w:t>
      </w:r>
    </w:p>
    <w:p>
      <w:pPr>
        <w:spacing w:after="0" w:line="169" w:lineRule="exact"/>
        <w:rPr>
          <w:sz w:val="20"/>
          <w:szCs w:val="20"/>
          <w:color w:val="auto"/>
        </w:rPr>
      </w:pPr>
    </w:p>
    <w:p>
      <w:pPr>
        <w:jc w:val="both"/>
        <w:ind w:left="580" w:hanging="331"/>
        <w:spacing w:after="0" w:line="300" w:lineRule="auto"/>
        <w:tabs>
          <w:tab w:leader="none" w:pos="57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continuing to provide our products to support critical infrastructure needs while following national, state, and local guidelines required to continue operations during the existence of the pandemic and related local declarations of emergency. However, local or regional hotspots of the pandemic could result in other locations being temporarily idled due to the need to deep clean areas where an employee who has tested positive for COVID-19 worked or any similar impacts in our supply chain. We work with our customers to the extent idling affects fulfillment timing.</w:t>
      </w:r>
    </w:p>
    <w:p>
      <w:pPr>
        <w:spacing w:after="0" w:line="101" w:lineRule="exact"/>
        <w:rPr>
          <w:rFonts w:ascii="Arial" w:cs="Arial" w:eastAsia="Arial" w:hAnsi="Arial"/>
          <w:sz w:val="16"/>
          <w:szCs w:val="16"/>
          <w:color w:val="auto"/>
        </w:rPr>
      </w:pPr>
    </w:p>
    <w:p>
      <w:pPr>
        <w:ind w:left="580" w:right="20" w:hanging="331"/>
        <w:spacing w:after="0" w:line="305" w:lineRule="auto"/>
        <w:tabs>
          <w:tab w:leader="none" w:pos="57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taken precautionary measures intended to help minimize the risk of the virus to our employees by implementing social distancing, sanitizing the workspace, and requiring employees to report any COVID-19 symptoms to ensure safety as infection surges dictate.</w:t>
      </w:r>
    </w:p>
    <w:p>
      <w:pPr>
        <w:spacing w:after="0" w:line="94" w:lineRule="exact"/>
        <w:rPr>
          <w:rFonts w:ascii="Arial" w:cs="Arial" w:eastAsia="Arial" w:hAnsi="Arial"/>
          <w:sz w:val="17"/>
          <w:szCs w:val="17"/>
          <w:color w:val="auto"/>
        </w:rPr>
      </w:pPr>
    </w:p>
    <w:p>
      <w:pPr>
        <w:jc w:val="both"/>
        <w:ind w:left="580" w:hanging="331"/>
        <w:spacing w:after="0" w:line="262"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Overview and Outlook</w:t>
      </w:r>
    </w:p>
    <w:p>
      <w:pPr>
        <w:spacing w:after="0" w:line="169"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37" w:lineRule="exact"/>
        <w:rPr>
          <w:sz w:val="20"/>
          <w:szCs w:val="20"/>
          <w:color w:val="auto"/>
        </w:rPr>
      </w:pPr>
    </w:p>
    <w:p>
      <w:pPr>
        <w:jc w:val="both"/>
        <w:ind w:firstLine="403"/>
        <w:spacing w:after="0" w:line="290" w:lineRule="auto"/>
        <w:rPr>
          <w:sz w:val="20"/>
          <w:szCs w:val="20"/>
          <w:color w:val="auto"/>
        </w:rPr>
      </w:pPr>
      <w:r>
        <w:rPr>
          <w:rFonts w:ascii="Arial" w:cs="Arial" w:eastAsia="Arial" w:hAnsi="Arial"/>
          <w:sz w:val="16"/>
          <w:szCs w:val="16"/>
          <w:color w:val="auto"/>
        </w:rPr>
        <w:t>In November 2021, the NAHB forecasted calendar-year housing starts (excluding manufactured units) to be 1.6 million in 2021, 2022 and 2023 calendar-years. The November 2021, Ducker forecast indicated that window shipments in the R&amp;R market are expected to increase approximately 4.5%, 4% and 3% in the calendar-years ended 2021, 2022, 2023, respectively, and window shipments in the new construction market are expected to grow 13%, 2%, and 1% in the calendar-years ended 2021, 2022, and 2023, respectively, resulting in overall window shipment improvements of 8% in 2021, 3% in 2022, and 2% in 2023. Derived from reports published by Ducker, the overall increase in window shipments for the trailing twelve months ended September 30, 2021 was 8.9%. During this period, new construction activities increased 14.2% and R&amp;R increased 4.7%. In November 2021, Catalina Research estimated that residential semi-custom cabinet demand in the U.S. is estimated to increase 13.4% in 2021 and 5.2% in 2022.</w:t>
      </w:r>
    </w:p>
    <w:p>
      <w:pPr>
        <w:spacing w:after="0" w:line="110"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Our U.K. vinyl business (commonly referred to as “Liniar”) is largely focused on the sale of vinyl house systems under the trade name “Liniar” to smaller window manufacturers in the U.K. Liniar is one of the larger providers of vinyl extruded products in the U.K. in terms of volume shipped. Currently, the U.K. is experiencing a shortage in affordable housing, with rising demand due in part to a growing immigrant population. Liniar’s current primary customers are smaller window fabricators, as opposed to the larger OEMs that comprise a large portion of the North American market. These manufacturers seek the quality and technology of the specific products identified by the Liniar trade name. In addition, Liniar services non-fenestration markets including the manufacture of roofing for conservatories, vinyl decking and vinyl water retention barriers used for landscaping. We believe there are growth opportunities within these markets in the U.K. and potential synergies which may enable us to sell complementary products.</w:t>
      </w:r>
    </w:p>
    <w:p>
      <w:pPr>
        <w:spacing w:after="0" w:line="127"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NA Cabinet Components manufactures kitchen and bathroom cabinet doors and components, amongst other products, using a variety of woods from traditional hardwoods to engineered wood products. Currently, most of the revenue in the NA Cabinet Components is earned in the U.S., so domestic housing starts and R&amp;R activity constitute the primary drivers of this business as well. The cabinet door market is stratified as follows: stock (low-cost, low-variations), semi-custom (more customized, just-in-time manufacturing, higher price point) and custom (precise customer specifications, just-in-time manufacturing, high-end price point). NA Cabinet Component's primary market is semi-custom.</w:t>
      </w:r>
    </w:p>
    <w:p>
      <w:pPr>
        <w:spacing w:after="0" w:line="120"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Our business is seasonal, particularly our fenestration business, as inclement weather during the winter months tends to slow down construction, particularly as related to “outside of the house” construction. To some extent, we believe our kitchen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and bathroom cabinet door business lessens the impact of seasonality on our operating results, as the cabinet business is “inside of the house” and less susceptible to weather.</w:t>
      </w:r>
    </w:p>
    <w:p>
      <w:pPr>
        <w:spacing w:after="0" w:line="117"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w:t>
      </w:r>
    </w:p>
    <w:p>
      <w:pPr>
        <w:spacing w:after="0" w:line="128"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 We also began to experience some supply disruptions as high demand reduced availability of raw materials.</w:t>
      </w:r>
    </w:p>
    <w:p>
      <w:pPr>
        <w:spacing w:after="0" w:line="128"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The global economy remains uncertain due to global supply chain interruptions, inflationary pressures,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October 31, 2021 and 2020</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table sets forth our consolidated results of operations for the twelve-month periods ended October 31,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1"/>
              </w:rPr>
              <w:t>For the Years Ended October 31,</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6"/>
                <w:szCs w:val="16"/>
                <w:b w:val="1"/>
                <w:bCs w:val="1"/>
                <w:color w:val="auto"/>
                <w:w w:val="89"/>
              </w:rPr>
              <w:t>2020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2021 vs. 2020</w:t>
            </w:r>
          </w:p>
        </w:tc>
      </w:tr>
      <w:tr>
        <w:trPr>
          <w:trHeight w:val="178"/>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w w:val="95"/>
              </w:rPr>
              <w:t>Amounts</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 of Sales</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Amounts</w:t>
            </w: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 of Sales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95"/>
              </w:rPr>
              <w:t>$ Change</w:t>
            </w: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Variance %</w:t>
            </w:r>
          </w:p>
        </w:tc>
      </w:tr>
      <w:tr>
        <w:trPr>
          <w:trHeight w:val="168"/>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7"/>
              </w:rPr>
              <w:t>(Dollars in millions)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1"/>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1"/>
              </w:rPr>
              <w:t>100%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4"/>
              </w:rPr>
              <w:t>26%</w:t>
            </w:r>
          </w:p>
        </w:tc>
      </w:tr>
      <w:tr>
        <w:trPr>
          <w:trHeight w:val="228"/>
        </w:trPr>
        <w:tc>
          <w:tcPr>
            <w:tcW w:w="486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831.6</w:t>
            </w:r>
          </w:p>
        </w:tc>
        <w:tc>
          <w:tcPr>
            <w:tcW w:w="260" w:type="dxa"/>
            <w:vAlign w:val="bottom"/>
          </w:tcPr>
          <w:p>
            <w:pPr>
              <w:spacing w:after="0"/>
              <w:rPr>
                <w:sz w:val="19"/>
                <w:szCs w:val="19"/>
                <w:color w:val="auto"/>
              </w:rPr>
            </w:pPr>
          </w:p>
        </w:tc>
        <w:tc>
          <w:tcPr>
            <w:tcW w:w="820" w:type="dxa"/>
            <w:vAlign w:val="bottom"/>
          </w:tcPr>
          <w:p>
            <w:pPr>
              <w:jc w:val="center"/>
              <w:ind w:right="52"/>
              <w:spacing w:after="0"/>
              <w:rPr>
                <w:sz w:val="20"/>
                <w:szCs w:val="20"/>
                <w:color w:val="auto"/>
              </w:rPr>
            </w:pPr>
            <w:r>
              <w:rPr>
                <w:rFonts w:ascii="Arial" w:cs="Arial" w:eastAsia="Arial" w:hAnsi="Arial"/>
                <w:sz w:val="18"/>
                <w:szCs w:val="18"/>
                <w:color w:val="auto"/>
                <w:w w:val="88"/>
              </w:rPr>
              <w:t>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658.8</w:t>
            </w:r>
          </w:p>
        </w:tc>
        <w:tc>
          <w:tcPr>
            <w:tcW w:w="280" w:type="dxa"/>
            <w:vAlign w:val="bottom"/>
          </w:tcPr>
          <w:p>
            <w:pPr>
              <w:spacing w:after="0"/>
              <w:rPr>
                <w:sz w:val="19"/>
                <w:szCs w:val="19"/>
                <w:color w:val="auto"/>
              </w:rPr>
            </w:pPr>
          </w:p>
        </w:tc>
        <w:tc>
          <w:tcPr>
            <w:tcW w:w="800" w:type="dxa"/>
            <w:vAlign w:val="bottom"/>
          </w:tcPr>
          <w:p>
            <w:pPr>
              <w:jc w:val="center"/>
              <w:ind w:right="52"/>
              <w:spacing w:after="0"/>
              <w:rPr>
                <w:sz w:val="20"/>
                <w:szCs w:val="20"/>
                <w:color w:val="auto"/>
              </w:rPr>
            </w:pPr>
            <w:r>
              <w:rPr>
                <w:rFonts w:ascii="Arial" w:cs="Arial" w:eastAsia="Arial" w:hAnsi="Arial"/>
                <w:sz w:val="18"/>
                <w:szCs w:val="18"/>
                <w:color w:val="auto"/>
                <w:w w:val="94"/>
              </w:rPr>
              <w:t>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172.8</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95"/>
              </w:rPr>
              <w:t>(26)%</w:t>
            </w:r>
          </w:p>
        </w:tc>
      </w:tr>
      <w:tr>
        <w:trPr>
          <w:trHeight w:val="228"/>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8"/>
              </w:rPr>
              <w:t>11%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5"/>
              </w:rPr>
              <w:t>(29)%</w:t>
            </w:r>
          </w:p>
        </w:tc>
      </w:tr>
      <w:tr>
        <w:trPr>
          <w:trHeight w:val="228"/>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right="52"/>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91"/>
              </w:rPr>
              <w:t>100%</w:t>
            </w:r>
          </w:p>
        </w:tc>
      </w:tr>
      <w:tr>
        <w:trPr>
          <w:trHeight w:val="228"/>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2"/>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2"/>
              </w:rPr>
              <w:t>6%</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4"/>
              </w:rPr>
              <w:t>10%</w:t>
            </w:r>
          </w:p>
        </w:tc>
      </w:tr>
      <w:tr>
        <w:trPr>
          <w:trHeight w:val="222"/>
        </w:trPr>
        <w:tc>
          <w:tcPr>
            <w:tcW w:w="4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19"/>
                <w:szCs w:val="19"/>
                <w:color w:val="auto"/>
              </w:rPr>
            </w:pPr>
          </w:p>
        </w:tc>
        <w:tc>
          <w:tcPr>
            <w:tcW w:w="820" w:type="dxa"/>
            <w:vAlign w:val="bottom"/>
          </w:tcPr>
          <w:p>
            <w:pPr>
              <w:jc w:val="center"/>
              <w:ind w:right="52"/>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94"/>
              </w:rPr>
              <w:t>48%</w:t>
            </w:r>
          </w:p>
        </w:tc>
      </w:tr>
      <w:tr>
        <w:trPr>
          <w:trHeight w:val="228"/>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3"/>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4"/>
              </w:rPr>
              <w:t>(1)%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4"/>
              </w:rPr>
              <w:t>52%</w:t>
            </w:r>
          </w:p>
        </w:tc>
      </w:tr>
      <w:tr>
        <w:trPr>
          <w:trHeight w:val="228"/>
        </w:trPr>
        <w:tc>
          <w:tcPr>
            <w:tcW w:w="48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820" w:type="dxa"/>
            <w:vAlign w:val="bottom"/>
          </w:tcPr>
          <w:p>
            <w:pPr>
              <w:jc w:val="center"/>
              <w:ind w:right="52"/>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91"/>
              </w:rPr>
              <w:t>300%</w:t>
            </w:r>
          </w:p>
        </w:tc>
      </w:tr>
      <w:tr>
        <w:trPr>
          <w:trHeight w:val="228"/>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4"/>
              </w:rPr>
              <w:t>(1)%</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1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5"/>
              </w:rPr>
              <w:t>(96)%</w:t>
            </w:r>
          </w:p>
        </w:tc>
      </w:tr>
      <w:tr>
        <w:trPr>
          <w:trHeight w:val="222"/>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820" w:type="dxa"/>
            <w:vAlign w:val="bottom"/>
          </w:tcPr>
          <w:p>
            <w:pPr>
              <w:jc w:val="center"/>
              <w:ind w:right="52"/>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9"/>
                <w:szCs w:val="19"/>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120" w:type="dxa"/>
            <w:vAlign w:val="bottom"/>
          </w:tcPr>
          <w:p>
            <w:pPr>
              <w:jc w:val="center"/>
              <w:ind w:left="12"/>
              <w:spacing w:after="0"/>
              <w:rPr>
                <w:sz w:val="20"/>
                <w:szCs w:val="20"/>
                <w:color w:val="auto"/>
              </w:rPr>
            </w:pPr>
            <w:r>
              <w:rPr>
                <w:rFonts w:ascii="Arial" w:cs="Arial" w:eastAsia="Arial" w:hAnsi="Arial"/>
                <w:sz w:val="18"/>
                <w:szCs w:val="18"/>
                <w:color w:val="auto"/>
                <w:w w:val="94"/>
              </w:rPr>
              <w:t>48%</w:t>
            </w: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403"/>
        <w:spacing w:after="0" w:line="305" w:lineRule="auto"/>
        <w:rPr>
          <w:sz w:val="20"/>
          <w:szCs w:val="20"/>
          <w:color w:val="auto"/>
        </w:rPr>
      </w:pPr>
      <w:r>
        <w:rPr>
          <w:rFonts w:ascii="Arial" w:cs="Arial" w:eastAsia="Arial" w:hAnsi="Arial"/>
          <w:sz w:val="17"/>
          <w:szCs w:val="17"/>
          <w:color w:val="auto"/>
        </w:rPr>
        <w:t>Our year-over-year results by reportable segment follow. Our comparison of the results for the fiscal years ended October 31, 2020 and 2019 by reportable segment for the prior year comparative periods can be found in the annual report on Form 10-K for the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3"/>
              </w:rPr>
              <w:t>For the Years Ended October 31,</w:t>
            </w:r>
          </w:p>
        </w:tc>
        <w:tc>
          <w:tcPr>
            <w:tcW w:w="1540" w:type="dxa"/>
            <w:vAlign w:val="bottom"/>
            <w:tcBorders>
              <w:bottom w:val="single" w:sz="8" w:color="auto"/>
            </w:tcBorders>
          </w:tcPr>
          <w:p>
            <w:pPr>
              <w:spacing w:after="0"/>
              <w:rPr>
                <w:sz w:val="18"/>
                <w:szCs w:val="18"/>
                <w:color w:val="auto"/>
              </w:rPr>
            </w:pPr>
          </w:p>
        </w:tc>
      </w:tr>
      <w:tr>
        <w:trPr>
          <w:trHeight w:val="209"/>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8"/>
              </w:rPr>
              <w:t>$ Change</w:t>
            </w: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Variance %</w:t>
            </w:r>
          </w:p>
        </w:tc>
      </w:tr>
      <w:tr>
        <w:trPr>
          <w:trHeight w:val="164"/>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483.4</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5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4"/>
              </w:rPr>
              <w:t>20%</w:t>
            </w:r>
          </w:p>
        </w:tc>
      </w:tr>
      <w:tr>
        <w:trPr>
          <w:trHeight w:val="228"/>
        </w:trPr>
        <w:tc>
          <w:tcPr>
            <w:tcW w:w="506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3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450.4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371.8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5"/>
              </w:rPr>
              <w:t>(21)%</w:t>
            </w: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1"/>
              </w:rPr>
              <w:t>(11)%</w:t>
            </w:r>
          </w:p>
        </w:tc>
      </w:tr>
      <w:tr>
        <w:trPr>
          <w:trHeight w:val="228"/>
        </w:trPr>
        <w:tc>
          <w:tcPr>
            <w:tcW w:w="50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1"/>
              </w:rPr>
              <w:t>100%</w:t>
            </w: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4"/>
              </w:rPr>
              <w:t>21%</w:t>
            </w:r>
          </w:p>
        </w:tc>
      </w:tr>
      <w:tr>
        <w:trPr>
          <w:trHeight w:val="222"/>
        </w:trPr>
        <w:tc>
          <w:tcPr>
            <w:tcW w:w="5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4"/>
              </w:rPr>
              <w:t>41%</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01"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$94.9 million, or 20%, for the twelve months ended October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$74.7 million increase in volumes, including a recovery from prior year COVID-19 impacts, and an increase in price and raw material surcharges of $20.2 million.</w:t>
      </w:r>
    </w:p>
    <w:p>
      <w:pPr>
        <w:spacing w:after="0" w:line="128"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$78.6 million, or 21%, for the twelve months ended October 31, 2021 compared to the same period in 2020.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including labor, increased primarily due to higher volumes and price inflation during the period.</w:t>
      </w:r>
    </w:p>
    <w:p>
      <w:pPr>
        <w:spacing w:after="0" w:line="117"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Our selling, general and administrative expenses increased by $5.2 million, or 11%, for the twelve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2021 compared to the same period in 2020. This increase was due primarily to higher compensation, including higher incentive accruals based on financial performance, and benefits year-over-year.</w:t>
      </w:r>
    </w:p>
    <w:p>
      <w:pPr>
        <w:spacing w:after="0" w:line="128"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incurred during the twelve months ended October 31, 2020 relate to facility lease expense for a vinyl</w:t>
      </w:r>
      <w:r>
        <w:rPr>
          <w:rFonts w:ascii="Arial" w:cs="Arial" w:eastAsia="Arial" w:hAnsi="Arial"/>
          <w:sz w:val="18"/>
          <w:szCs w:val="18"/>
          <w:i w:val="1"/>
          <w:iCs w:val="1"/>
          <w:color w:val="auto"/>
        </w:rPr>
        <w:t xml:space="preserve"> </w:t>
      </w:r>
      <w:r>
        <w:rPr>
          <w:rFonts w:ascii="Arial" w:cs="Arial" w:eastAsia="Arial" w:hAnsi="Arial"/>
          <w:sz w:val="18"/>
          <w:szCs w:val="18"/>
          <w:color w:val="auto"/>
        </w:rPr>
        <w:t>extrusion plant in the U.S. which was closed in January 2017. We exited the lease during December 2020.</w:t>
      </w:r>
    </w:p>
    <w:p>
      <w:pPr>
        <w:spacing w:after="0" w:line="117" w:lineRule="exact"/>
        <w:rPr>
          <w:sz w:val="20"/>
          <w:szCs w:val="20"/>
          <w:color w:val="auto"/>
        </w:rPr>
      </w:pPr>
    </w:p>
    <w:p>
      <w:pPr>
        <w:jc w:val="both"/>
        <w:ind w:firstLine="403"/>
        <w:spacing w:after="0" w:line="339"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decreased $5.0 million, or 21%, for the twelve months ended October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2020, reflecting the run-off of depreciation expense related to existing assets and disposals during the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3"/>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8"/>
              </w:rPr>
              <w:t>$ Change</w:t>
            </w: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Variance %</w:t>
            </w:r>
          </w:p>
        </w:tc>
        <w:tc>
          <w:tcPr>
            <w:tcW w:w="0" w:type="dxa"/>
            <w:vAlign w:val="bottom"/>
          </w:tcPr>
          <w:p>
            <w:pPr>
              <w:spacing w:after="0"/>
              <w:rPr>
                <w:sz w:val="1"/>
                <w:szCs w:val="1"/>
                <w:color w:val="auto"/>
              </w:rPr>
            </w:pPr>
          </w:p>
        </w:tc>
      </w:tr>
      <w:tr>
        <w:trPr>
          <w:trHeight w:val="164"/>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251.6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161.1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5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4"/>
              </w:rPr>
              <w:t>56%</w:t>
            </w:r>
          </w:p>
        </w:tc>
        <w:tc>
          <w:tcPr>
            <w:tcW w:w="0" w:type="dxa"/>
            <w:vAlign w:val="bottom"/>
          </w:tcPr>
          <w:p>
            <w:pPr>
              <w:spacing w:after="0"/>
              <w:rPr>
                <w:sz w:val="1"/>
                <w:szCs w:val="1"/>
                <w:color w:val="auto"/>
              </w:rPr>
            </w:pPr>
          </w:p>
        </w:tc>
      </w:tr>
      <w:tr>
        <w:trPr>
          <w:trHeight w:val="228"/>
        </w:trPr>
        <w:tc>
          <w:tcPr>
            <w:tcW w:w="506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3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5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2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540" w:type="dxa"/>
            <w:vAlign w:val="bottom"/>
            <w:tcBorders>
              <w:bottom w:val="single" w:sz="8" w:color="CCEEFF"/>
            </w:tcBorders>
          </w:tcPr>
          <w:p>
            <w:pPr>
              <w:jc w:val="center"/>
              <w:ind w:left="132"/>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4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8"/>
                <w:szCs w:val="18"/>
                <w:color w:val="auto"/>
                <w:w w:val="94"/>
              </w:rPr>
              <w:t>96%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16 %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12 %</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444"/>
        <w:spacing w:after="0" w:line="258"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$90.5 million, or 56%, when comparing the twelve months ended October 31,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was primarily driven by a $70.7 million increase in volumes, including a recovery from prior year COVID-19 impacts and the reopening of manufacturing facilities in the U.K. which were forced to close for several weeks in the second quarter of 2020, $11.8 million of foreign currency rate changes, and $8.0 million of base price increases.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The cost of sales increased $63.2 million, or 58%, for the twelve months ended October 31, 2021 compared to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increased primarily due to higher volumes and price inflation during the period.</w:t>
      </w:r>
    </w:p>
    <w:p>
      <w:pPr>
        <w:spacing w:after="0" w:line="155" w:lineRule="exact"/>
        <w:rPr>
          <w:sz w:val="20"/>
          <w:szCs w:val="20"/>
          <w:color w:val="auto"/>
        </w:rPr>
      </w:pPr>
    </w:p>
    <w:p>
      <w:pPr>
        <w:jc w:val="both"/>
        <w:ind w:right="20" w:firstLine="444"/>
        <w:spacing w:after="0" w:line="275"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Our selling, general and administrative expense increased $7.2 million, or 32%, for the twelve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2021 compared to the same period in 2020. The increase is primarily due to higher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760"/>
        <w:spacing w:after="0" w:line="366" w:lineRule="auto"/>
        <w:rPr>
          <w:sz w:val="20"/>
          <w:szCs w:val="20"/>
          <w:color w:val="auto"/>
        </w:rPr>
      </w:pPr>
      <w:r>
        <w:rPr>
          <w:rFonts w:ascii="Arial" w:cs="Arial" w:eastAsia="Arial" w:hAnsi="Arial"/>
          <w:sz w:val="18"/>
          <w:szCs w:val="18"/>
          <w:color w:val="auto"/>
        </w:rPr>
        <w:t xml:space="preserve">compensation, including higher incentive accruals based on financial performance, general expenses and foreign currency impacts year-over-year. </w:t>
      </w:r>
      <w:r>
        <w:rPr>
          <w:rFonts w:ascii="Arial" w:cs="Arial" w:eastAsia="Arial" w:hAnsi="Arial"/>
          <w:sz w:val="18"/>
          <w:szCs w:val="18"/>
          <w:i w:val="1"/>
          <w:iCs w:val="1"/>
          <w:u w:val="single" w:color="auto"/>
          <w:color w:val="auto"/>
        </w:rPr>
        <w:t>NA Cabinet Components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3"/>
              </w:rPr>
              <w:t>For the Years Ended October 31,</w:t>
            </w:r>
          </w:p>
        </w:tc>
        <w:tc>
          <w:tcPr>
            <w:tcW w:w="1540" w:type="dxa"/>
            <w:vAlign w:val="bottom"/>
            <w:tcBorders>
              <w:bottom w:val="single" w:sz="8" w:color="auto"/>
            </w:tcBorders>
          </w:tcPr>
          <w:p>
            <w:pPr>
              <w:spacing w:after="0"/>
              <w:rPr>
                <w:sz w:val="18"/>
                <w:szCs w:val="18"/>
                <w:color w:val="auto"/>
              </w:rPr>
            </w:pPr>
          </w:p>
        </w:tc>
      </w:tr>
      <w:tr>
        <w:trPr>
          <w:trHeight w:val="209"/>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8"/>
              </w:rPr>
              <w:t>$ Change</w:t>
            </w: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Variance %</w:t>
            </w:r>
          </w:p>
        </w:tc>
      </w:tr>
      <w:tr>
        <w:trPr>
          <w:trHeight w:val="164"/>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246.1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210.1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54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4"/>
              </w:rPr>
              <w:t>17%</w:t>
            </w:r>
          </w:p>
        </w:tc>
      </w:tr>
      <w:tr>
        <w:trPr>
          <w:trHeight w:val="228"/>
        </w:trPr>
        <w:tc>
          <w:tcPr>
            <w:tcW w:w="506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3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211.1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5"/>
              </w:rPr>
              <w:t>(17)%</w:t>
            </w: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1"/>
              </w:rPr>
              <w:t>(11)%</w:t>
            </w:r>
          </w:p>
        </w:tc>
      </w:tr>
      <w:tr>
        <w:trPr>
          <w:trHeight w:val="228"/>
        </w:trPr>
        <w:tc>
          <w:tcPr>
            <w:tcW w:w="50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1"/>
              </w:rPr>
              <w:t>100%</w:t>
            </w: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54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2"/>
              </w:rPr>
              <w:t>3%</w:t>
            </w:r>
          </w:p>
        </w:tc>
      </w:tr>
      <w:tr>
        <w:trPr>
          <w:trHeight w:val="222"/>
        </w:trPr>
        <w:tc>
          <w:tcPr>
            <w:tcW w:w="50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540" w:type="dxa"/>
            <w:vAlign w:val="bottom"/>
          </w:tcPr>
          <w:p>
            <w:pPr>
              <w:jc w:val="center"/>
              <w:ind w:left="152"/>
              <w:spacing w:after="0"/>
              <w:rPr>
                <w:sz w:val="20"/>
                <w:szCs w:val="20"/>
                <w:color w:val="auto"/>
              </w:rPr>
            </w:pPr>
            <w:r>
              <w:rPr>
                <w:rFonts w:ascii="Arial" w:cs="Arial" w:eastAsia="Arial" w:hAnsi="Arial"/>
                <w:sz w:val="18"/>
                <w:szCs w:val="18"/>
                <w:color w:val="auto"/>
                <w:w w:val="91"/>
              </w:rPr>
              <w:t>138%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14"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$36.0 million, or 17%, for the twelve months ended October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$19.8 million increase in price and raw material indexes and a $16.2 million increase in volumes.</w:t>
      </w:r>
    </w:p>
    <w:p>
      <w:pPr>
        <w:spacing w:after="0" w:line="103"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The cost of sales increased $31.3 million, or 17%, for the twelve months ended October 31,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a primarily as a result of higher volumes and rising lumber prices, which are recovered on a lag.</w:t>
      </w:r>
    </w:p>
    <w:p>
      <w:pPr>
        <w:spacing w:after="0" w:line="103"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Our selling, general and administrative expense increased $2.1 million, or 11%, for the twelve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2021 compared to the same period in 2020. The increase is primarily due to higher compensation, including higher incentive accruals based on financial performance, and general expenses year-over-year.</w:t>
      </w:r>
    </w:p>
    <w:p>
      <w:pPr>
        <w:spacing w:after="0" w:line="101"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of $0.3 million in the twelve months ended October 31, 2020 related to severance, equipment moving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charges incurred for a plant closure.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 Change</w:t>
            </w: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Variance %</w:t>
            </w:r>
          </w:p>
        </w:tc>
      </w:tr>
      <w:tr>
        <w:trPr>
          <w:trHeight w:val="164"/>
        </w:trPr>
        <w:tc>
          <w:tcPr>
            <w:tcW w:w="5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gridSpan w:val="4"/>
          </w:tcPr>
          <w:p>
            <w:pPr>
              <w:jc w:val="right"/>
              <w:ind w:right="792"/>
              <w:spacing w:after="0"/>
              <w:rPr>
                <w:sz w:val="20"/>
                <w:szCs w:val="20"/>
                <w:color w:val="auto"/>
              </w:rPr>
            </w:pPr>
            <w:r>
              <w:rPr>
                <w:rFonts w:ascii="Arial" w:cs="Arial" w:eastAsia="Arial" w:hAnsi="Arial"/>
                <w:sz w:val="13"/>
                <w:szCs w:val="13"/>
                <w:b w:val="1"/>
                <w:bCs w:val="1"/>
                <w:color w:val="auto"/>
                <w:w w:val="89"/>
              </w:rPr>
              <w:t>(Dollars in millions)</w:t>
            </w:r>
          </w:p>
        </w:tc>
        <w:tc>
          <w:tcPr>
            <w:tcW w:w="1560" w:type="dxa"/>
            <w:vAlign w:val="bottom"/>
          </w:tcPr>
          <w:p>
            <w:pPr>
              <w:spacing w:after="0"/>
              <w:rPr>
                <w:sz w:val="14"/>
                <w:szCs w:val="14"/>
                <w:color w:val="auto"/>
              </w:rPr>
            </w:pPr>
          </w:p>
        </w:tc>
      </w:tr>
      <w:tr>
        <w:trPr>
          <w:trHeight w:val="23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5"/>
              </w:rPr>
              <w:t>(30)%</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560" w:type="dxa"/>
            <w:vAlign w:val="bottom"/>
          </w:tcPr>
          <w:p>
            <w:pPr>
              <w:jc w:val="center"/>
              <w:ind w:left="172"/>
              <w:spacing w:after="0"/>
              <w:rPr>
                <w:sz w:val="20"/>
                <w:szCs w:val="20"/>
                <w:color w:val="auto"/>
              </w:rPr>
            </w:pPr>
            <w:r>
              <w:rPr>
                <w:rFonts w:ascii="Arial" w:cs="Arial" w:eastAsia="Arial" w:hAnsi="Arial"/>
                <w:sz w:val="18"/>
                <w:szCs w:val="18"/>
                <w:color w:val="auto"/>
                <w:w w:val="94"/>
              </w:rPr>
              <w:t>19%</w:t>
            </w: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5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0"/>
              </w:rPr>
              <w:t>(2,360)%</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center"/>
              <w:ind w:left="172"/>
              <w:spacing w:after="0"/>
              <w:rPr>
                <w:sz w:val="20"/>
                <w:szCs w:val="20"/>
                <w:color w:val="auto"/>
              </w:rPr>
            </w:pPr>
            <w:r>
              <w:rPr>
                <w:rFonts w:ascii="Arial" w:cs="Arial" w:eastAsia="Arial" w:hAnsi="Arial"/>
                <w:sz w:val="18"/>
                <w:szCs w:val="18"/>
                <w:color w:val="auto"/>
                <w:w w:val="99"/>
              </w:rPr>
              <w:t>—%</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56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2"/>
              </w:rPr>
              <w:t>(539)%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41" w:lineRule="exact"/>
        <w:rPr>
          <w:sz w:val="20"/>
          <w:szCs w:val="20"/>
          <w:color w:val="auto"/>
        </w:rPr>
      </w:pPr>
    </w:p>
    <w:p>
      <w:pPr>
        <w:ind w:right="20" w:firstLine="444"/>
        <w:spacing w:after="0" w:line="27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twelve months ended October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for Corporate &amp; Other consists of the elimination of inter-segment sales, profit in inventory, and other costs.</w:t>
      </w:r>
    </w:p>
    <w:p>
      <w:pPr>
        <w:spacing w:after="0" w:line="169" w:lineRule="exact"/>
        <w:rPr>
          <w:sz w:val="20"/>
          <w:szCs w:val="20"/>
          <w:color w:val="auto"/>
        </w:rPr>
      </w:pPr>
    </w:p>
    <w:p>
      <w:pPr>
        <w:jc w:val="both"/>
        <w:ind w:firstLine="444"/>
        <w:spacing w:after="0" w:line="274"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Our selling, general and administrative expenses increased $11.8 million, or 2,360%, for the twelve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October 31, 2021 compared to the same period in 2020. This increase is attributable to $7.3 million of higher compensation expense related to the valuations of our stock based compensation awards and executive bonuses due to financial performance, $4.8 million of medical expenses due to a higher claims experience during the twelve months ended October 31, 2021 compared to the same period in 2020, and $1.4 million of loss on the sale of a plant. These increases were partially offset by a reduction in executive severance and legal charges.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0"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$2.7 million for the twelve months ended October 31,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interest rates and lower overall debt outstanding. The weighted average interest rate for borrowings outstanding for the twelve months ended October 31, 2021 was 1.42% compared with 2.45% for the twelve months ended October 31, 2020.</w:t>
      </w:r>
    </w:p>
    <w:p>
      <w:pPr>
        <w:spacing w:after="0" w:line="128"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net increased $0.6 million for the twelve months ended October 31, 2021 compared to the same period in 2020.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pension benefits year-over-year.</w:t>
      </w:r>
    </w:p>
    <w:p>
      <w:pPr>
        <w:spacing w:after="0" w:line="103"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recorded income tax expense of $23.1 million on pre-tax income of $80.1 million for the twelve months ended October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an effective rate of 28.9%, and income tax expense of $11.8 million on pre-tax income of $50.3 million for the twelve months ended October 31, 2020, an effective rate of 23.5%. The effective rate for the twelve months ended October 31, 2021 was primarily impacted by state income taxes, global intangible low-taxed income, and changes in uncertain tax positions, partially offset by U.S. foreign tax credits. The effective rate for the twelve months ended October 31, 2020 was impacted by the true-up of our accruals and related deferred taxes from prior year filings and settled audits.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Historically, our principal sources of funds have been cash on hand, cash flow from operations, and borrowings under our credit facilities. As of October 31, 2021, we had $40.1 million of cash and cash equivalents, $38.0 million outstanding under our credit facilities, $4.5 million of outstanding letters of credit and $15.5 million outstanding under finance leases. We had $282.5 million available for use under a revolving credit facility at October 31, 2021.</w:t>
      </w:r>
    </w:p>
    <w:p>
      <w:pPr>
        <w:spacing w:after="0" w:line="131" w:lineRule="exact"/>
        <w:rPr>
          <w:sz w:val="20"/>
          <w:szCs w:val="20"/>
          <w:color w:val="auto"/>
        </w:rPr>
      </w:pPr>
    </w:p>
    <w:p>
      <w:pPr>
        <w:jc w:val="both"/>
        <w:ind w:firstLine="403"/>
        <w:spacing w:after="0" w:line="290" w:lineRule="auto"/>
        <w:rPr>
          <w:sz w:val="20"/>
          <w:szCs w:val="20"/>
          <w:color w:val="auto"/>
        </w:rPr>
      </w:pPr>
      <w:r>
        <w:rPr>
          <w:rFonts w:ascii="Arial" w:cs="Arial" w:eastAsia="Arial" w:hAnsi="Arial"/>
          <w:sz w:val="16"/>
          <w:szCs w:val="16"/>
          <w:color w:val="auto"/>
        </w:rPr>
        <w:t>On October 18, 2018, we entered into a $325.0 million revolving credit facility (the “Credit Facility”), under which we borrowed $205.0 million. The proceeds from the Credit Facility, along with additional funding of $10.0 million of cash on hand, were used to repay outstanding borrowings under a previous credit agreement of $213.5 million, to settle outstanding interest accrued under the prior facility, and to pay loan fees which totaled $1.0 million. In addition, we expensed $1.1 million to write-off unamortized deferred financing fees associated with the previous credit agreement. The Credit Facility matures in 2023 (5-year term) and requires interest payments calculated, at our election and depending upon our Consolidated Leverage Ratio, at either a Base Rate plus an applicable margin (0.25% to 1.00%) or the LIBOR Rate plus an applicable margin (1.25% to 2.00%). We included deferred financing fees of $1.5 million as a contra-liability account, and are amortizing this balance straight-line over the term of the facility.</w:t>
      </w:r>
    </w:p>
    <w:p>
      <w:pPr>
        <w:spacing w:after="0" w:line="110"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The weighted average interest rate of borrowings outstanding for the twelve-month periods ended October 31, 2021 and 2020 was 1.42% and 2.45%, respectively. We were in compliance with our debt covenants as of October 31, 2021. For additional details of the Credit Agreement, see “Item 1A. Risk Factors,” included elsewhere within this Annual Report on Form 10-K.</w:t>
      </w:r>
    </w:p>
    <w:p>
      <w:pPr>
        <w:spacing w:after="0" w:line="128"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 through the COVID-19 crisis as it continues to unfold.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years ended October 31, 2021, 2020, and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6"/>
        </w:trPr>
        <w:tc>
          <w:tcPr>
            <w:tcW w:w="57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163"/>
        </w:trPr>
        <w:tc>
          <w:tcPr>
            <w:tcW w:w="5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center"/>
              <w:ind w:right="519"/>
              <w:spacing w:after="0"/>
              <w:rPr>
                <w:sz w:val="20"/>
                <w:szCs w:val="20"/>
                <w:color w:val="auto"/>
              </w:rPr>
            </w:pPr>
            <w:r>
              <w:rPr>
                <w:rFonts w:ascii="Arial" w:cs="Arial" w:eastAsia="Arial" w:hAnsi="Arial"/>
                <w:sz w:val="13"/>
                <w:szCs w:val="13"/>
                <w:b w:val="1"/>
                <w:bCs w:val="1"/>
                <w:color w:val="auto"/>
                <w:w w:val="87"/>
              </w:rPr>
              <w:t>(In millions)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5"/>
        </w:trPr>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provided by operating activities</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91"/>
              </w:rPr>
              <w:t>78.6</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100.8</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1"/>
              </w:rPr>
              <w:t>96.4</w:t>
            </w:r>
          </w:p>
        </w:tc>
      </w:tr>
      <w:tr>
        <w:trPr>
          <w:trHeight w:val="228"/>
        </w:trPr>
        <w:tc>
          <w:tcPr>
            <w:tcW w:w="5700" w:type="dxa"/>
            <w:vAlign w:val="bottom"/>
          </w:tcPr>
          <w:p>
            <w:pPr>
              <w:ind w:left="420"/>
              <w:spacing w:after="0"/>
              <w:rPr>
                <w:sz w:val="20"/>
                <w:szCs w:val="20"/>
                <w:color w:val="auto"/>
              </w:rPr>
            </w:pPr>
            <w:r>
              <w:rPr>
                <w:rFonts w:ascii="Arial" w:cs="Arial" w:eastAsia="Arial" w:hAnsi="Arial"/>
                <w:sz w:val="18"/>
                <w:szCs w:val="18"/>
                <w:color w:val="auto"/>
              </w:rPr>
              <w:t>Cash flows used for investing activities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135"/>
              <w:spacing w:after="0"/>
              <w:rPr>
                <w:sz w:val="20"/>
                <w:szCs w:val="20"/>
                <w:color w:val="auto"/>
              </w:rPr>
            </w:pPr>
            <w:r>
              <w:rPr>
                <w:rFonts w:ascii="Arial" w:cs="Arial" w:eastAsia="Arial" w:hAnsi="Arial"/>
                <w:sz w:val="18"/>
                <w:szCs w:val="18"/>
                <w:color w:val="auto"/>
                <w:w w:val="89"/>
              </w:rPr>
              <w:t>(18.7)</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40" w:type="dxa"/>
            <w:vAlign w:val="bottom"/>
          </w:tcPr>
          <w:p>
            <w:pPr>
              <w:ind w:left="600"/>
              <w:spacing w:after="0"/>
              <w:rPr>
                <w:sz w:val="20"/>
                <w:szCs w:val="20"/>
                <w:color w:val="auto"/>
              </w:rPr>
            </w:pPr>
            <w:r>
              <w:rPr>
                <w:rFonts w:ascii="Arial" w:cs="Arial" w:eastAsia="Arial" w:hAnsi="Arial"/>
                <w:sz w:val="18"/>
                <w:szCs w:val="18"/>
                <w:color w:val="auto"/>
              </w:rPr>
              <w:t>(25.2)</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395"/>
              <w:spacing w:after="0"/>
              <w:rPr>
                <w:sz w:val="20"/>
                <w:szCs w:val="20"/>
                <w:color w:val="auto"/>
              </w:rPr>
            </w:pPr>
            <w:r>
              <w:rPr>
                <w:rFonts w:ascii="Arial" w:cs="Arial" w:eastAsia="Arial" w:hAnsi="Arial"/>
                <w:sz w:val="18"/>
                <w:szCs w:val="18"/>
                <w:color w:val="auto"/>
                <w:w w:val="89"/>
              </w:rPr>
              <w:t>(23.6)</w:t>
            </w:r>
          </w:p>
        </w:tc>
      </w:tr>
      <w:tr>
        <w:trPr>
          <w:trHeight w:val="228"/>
        </w:trPr>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used for financing activities</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9"/>
              </w:rPr>
              <w:t>(71.9)</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(55.1)</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9"/>
              </w:rPr>
              <w:t>(71.3)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Our year-over-year cash flow analysis follows. Our cash flow analysis for the fiscal years ended October 31, 2020 and 2019 for the prior year comparative periods can be found in the annual report on Form 10-K for the year ended October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Operating cash flow for the year ended October 31, 2021 decreased $22.2 million while cash flow for the year ended October 31, 2020 increased by $4.4 million. The decrease in cash provided by operating activities is primarily due to an increase in working capital partially offset by higher net income year-over-year due to increased demand. The increase in working capital was largely driven by an inventory build and raw material price inflation and an increase in accounts receivable.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Cash used for investing activities for the year ended October 31, 2021 decreased $6.5 million compared to the year ended October 31, 2020 due to an increase of $4.8 million in proceeds from the disposition of capital assets and a $1.7 million decrease in capital expenditures.</w:t>
      </w:r>
    </w:p>
    <w:p>
      <w:pPr>
        <w:spacing w:after="0" w:line="117" w:lineRule="exact"/>
        <w:rPr>
          <w:sz w:val="20"/>
          <w:szCs w:val="20"/>
          <w:color w:val="auto"/>
        </w:rPr>
      </w:pPr>
    </w:p>
    <w:p>
      <w:pPr>
        <w:jc w:val="both"/>
        <w:ind w:right="20" w:firstLine="403"/>
        <w:spacing w:after="0" w:line="275" w:lineRule="auto"/>
        <w:rPr>
          <w:sz w:val="20"/>
          <w:szCs w:val="20"/>
          <w:color w:val="auto"/>
        </w:rPr>
      </w:pPr>
      <w:r>
        <w:rPr>
          <w:rFonts w:ascii="Arial" w:cs="Arial" w:eastAsia="Arial" w:hAnsi="Arial"/>
          <w:sz w:val="18"/>
          <w:szCs w:val="18"/>
          <w:color w:val="auto"/>
        </w:rPr>
        <w:t>At October 31, 2021, we had firm purchase commitments of approximately $5.2 million for the purchase or construction of capital assets. We plan to fund these capital expenditures through cash from operations or borrowings under our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In the year ended October 31, 2021, cash used for financing activities was $71.9 million and related primarily to net debt repayments of $65.7 million, share repurchases of $11.2 million and payment of dividends of $10.8 million, partially offset by $16.3 million of proceeds from the exercise of stock options. In the year ended October 31, 2020, cash used for financing activities was $55.1 million and related primarily to net debt repayments of $40.5 million, payment of dividends of $10.5 million, and share repurchases of $7.2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We maintain cash balances in foreign countries which totaled $10.6 million and $16.8 million as of October 31, 2021 and 2020. During the years ended October 31, 2021 and 2020, we repatriated $28.4 million and $31.9 million, respectively, of foreign earnings from our international divisions.</w:t>
      </w:r>
    </w:p>
    <w:p>
      <w:pPr>
        <w:spacing w:after="0" w:line="131"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7"/>
          <w:szCs w:val="17"/>
          <w:color w:val="auto"/>
        </w:rPr>
        <w:t>We believe that we have sufficient funds and adequate financial resources available to meet our anticipated liquidity needs. We expect to use our cash flow from operations to fund operations for the next twelve months and the foreseeable future. We believe these funds should be adequate to provide for our working capital requirements, capital expenditures, and dividends, while continuing to meet our debt service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69"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We maintain our $325.0 million Credit Facility, which contains a revolving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Credit Facility. The applicable margin and commitment fees range from 0.45% to 2.30%, depending upon the type of loan and consolidated leverage ratio. The Credit Facility contains appropriate provisions to substitute LIBOR with a replacement rate upon transition away from LIBOR. These provisions include a temporary conversion of applicable interest for all borrowings outstanding to be calculated as base rate loans until such time that the replacement rate is agreed upon.</w:t>
      </w:r>
    </w:p>
    <w:p>
      <w:pPr>
        <w:spacing w:after="0" w:line="128"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The Credit Facility provides for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Facility.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firstLine="403"/>
        <w:spacing w:after="0" w:line="262"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28"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to conduct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are pledged as collateral for the Credit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56" w:lineRule="exact"/>
        <w:rPr>
          <w:sz w:val="20"/>
          <w:szCs w:val="20"/>
          <w:color w:val="auto"/>
        </w:rPr>
      </w:pPr>
    </w:p>
    <w:p>
      <w:pPr>
        <w:jc w:val="both"/>
        <w:ind w:firstLine="403"/>
        <w:spacing w:after="0" w:line="241" w:lineRule="auto"/>
        <w:rPr>
          <w:sz w:val="20"/>
          <w:szCs w:val="20"/>
          <w:color w:val="auto"/>
        </w:rPr>
      </w:pPr>
      <w:r>
        <w:rPr>
          <w:rFonts w:ascii="Arial" w:cs="Arial" w:eastAsia="Arial" w:hAnsi="Arial"/>
          <w:sz w:val="17"/>
          <w:szCs w:val="17"/>
          <w:color w:val="auto"/>
        </w:rPr>
        <w:t>On August 30, 2018, our Board of Directors approved a stock repurchase program that authorized the repurchase of up to $60.0 million worth of shares of our common stock. Repurchases under the program were made in open market transactions or privately negotiated transactions, subject to market conditions, applicable legal requirements and other relevant factors. During the years ended October 31, 2021, 2020 and 2019, we purchased 478,311, 450,000 and 583,398 shares, respectively, at a cost of $11.2 million, $7.2 million and $9.6 million, respectively, under this program. As of October 31, 2021, this share repurchase authorization was exhausted and the program is now complete.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3" w:lineRule="exact"/>
        <w:rPr>
          <w:sz w:val="20"/>
          <w:szCs w:val="20"/>
          <w:color w:val="auto"/>
        </w:rPr>
      </w:pPr>
    </w:p>
    <w:p>
      <w:pPr>
        <w:jc w:val="both"/>
        <w:ind w:firstLine="403"/>
        <w:spacing w:after="0" w:line="290" w:lineRule="auto"/>
        <w:rPr>
          <w:sz w:val="20"/>
          <w:szCs w:val="20"/>
          <w:color w:val="auto"/>
        </w:rPr>
      </w:pPr>
      <w:r>
        <w:rPr>
          <w:rFonts w:ascii="Arial" w:cs="Arial" w:eastAsia="Arial" w:hAnsi="Arial"/>
          <w:sz w:val="16"/>
          <w:szCs w:val="16"/>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0"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7"/>
          <w:szCs w:val="17"/>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112"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and Intangible Assets with Defined Lives</w:t>
      </w:r>
    </w:p>
    <w:p>
      <w:pPr>
        <w:spacing w:after="0" w:line="169"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7"/>
          <w:szCs w:val="17"/>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periods could result in an impairment charge in the period of the change. No impairment charges were incurred with regard to our property, plant and equipment for the years ended October 31, 2021, 2020 and 2019.</w:t>
      </w:r>
    </w:p>
    <w:p>
      <w:pPr>
        <w:spacing w:after="0" w:line="117"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9"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6"/>
          <w:szCs w:val="16"/>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15"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As a result of quantitative assessments performed during the year ended October 31, 2019, we recorded impairment charges totaling $74.6 million during the year ended October 31, 2019, reducing the goodwill balance applicable to the reporting unit included in our NA Cabinet Components operating segment from $113.7 million to $39.1 million.</w:t>
      </w:r>
    </w:p>
    <w:p>
      <w:pPr>
        <w:spacing w:after="0" w:line="128"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For the year ended October 31, 2020, the World Health Organization's declaration of COVID-19 as a global pandemic also created significant changes in market conditions that were indicators of triggering events which necessitated an evaluation of certain long-term assets, including goodwill, for potential impairment. We performed quantitative assessments based upon undiscounted cash flows we expected to realize associated with these assets over the remaining useful lives of the primary operating assets to the net book value of the long-term assets, including goodwill, and determined that these assets, including goodwill, were not impaired.</w:t>
      </w:r>
    </w:p>
    <w:p>
      <w:pPr>
        <w:spacing w:after="0" w:line="137"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At our annual testing date, August 31, 2021,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the two reporting units in the NA Fenestration segment and one of the two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segment and the EU Fenestration segment that were assessed qualitatively. We also updated the quantitative assessments for the reportable unit in the NA Cabinet Components segment and the second reportable unit in the EU Fenestration segment. We determined the fair value of these reportable units exceeded the carrying value by 17.6% and 113.6%, respectively, and concluded that no impairment was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7"/>
          <w:szCs w:val="17"/>
          <w:color w:val="auto"/>
        </w:rPr>
        <w:t>We operate in various jurisdictions and therefore our income tax expense relates to income taxes in the U.S., U.K., Canada, and Germany, as well as local and state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25"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7"/>
          <w:szCs w:val="17"/>
          <w:color w:val="auto"/>
        </w:rPr>
        <w:t>Annually, we evaluate our tax positions to determine if there have been any changes in uncertain tax positions or if there has been a lapse in the statute of limitations with regard to such positions. Our liability for uncertain tax positions at October 31, 2021 and 2020 totaled $1.4 million and $0.5 million, respectively, and related to certain federal and state tax items regarding the interpretation of tax laws and regulations.</w:t>
      </w:r>
    </w:p>
    <w:p>
      <w:pPr>
        <w:spacing w:after="0" w:line="112"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believe we will have sufficient taxable income in the future to fully utilize our deferred tax assets recorded as of October 31, 2021, net of our valuation allowance. There is a risk that our estimates related to the future use of loss carry forwards and our ability to realize our deferred tax assets may not come to fruition, and that the results could materially impact our financial position and results of operations. Our total gross deferred tax assets at October 31, 2021 and 2020 totaled $13.8 million and $14.3 million, respectively, against which we had recorded a valuation allowance of $1.2 million and $1.5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10"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We record inventory at the lower of cost or net realizable value. Inventories are valued using the first-in first-out (FIFO) method.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2021, 2020 and 2019, our inventory reserves are approximately 3%, 10%, and 5% of gross inventory,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69"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7"/>
          <w:szCs w:val="17"/>
          <w:color w:val="auto"/>
        </w:rPr>
        <w:t>We sponsor a defined benefit pension plan and an unfunded postretirement plan that provides health care and life insurance benefits for a limited pool of eligible retirees and dependents.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The measurement of liabilities related to these plans is based on our assumptions related to future events, including expected return on plan assets and healthcare cost trend rates. The discount rate reflects the rate at which benefits could be effectively settled on the measurement date. We determine our discount rate using a RATE: Link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25"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As of October 31, 2021, our projected benefit obligation (PBO) and accumulated benefit obligation (ABO) each exceeded the fair value of the plan assets by $4.7 million. As a comparison, our PBO and ABO exceeded the fair value of plan assets by $10.7 million as of October 31, 2020. During fiscal 2021, we contributed $0.5 million to the pension plan to meet minimum contribution requirements. Expected contributions are dependent on many variables, including the variability of the market value of the assets as compared to the obligation and other market or regulatory conditions. In addition, we take into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consideration our business investment opportunities and our cash requirements. Accordingly, actual funding may differ greatly from current estimates.</w:t>
      </w:r>
    </w:p>
    <w:p>
      <w:pPr>
        <w:spacing w:after="0" w:line="192"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Under U.S. GAAP, we are not required to immediately recognize the effects of a deviation between actual and assumed experience under our pension plan, or to revise our estimate as a result. This approach allows the favorable and unfavorable effects that fall within an acceptable range to be netted and disclosed as an unrecognized gain or loss. As of October 31, 2021 and 2020, a net actuarial loss of $4.5 million and $9.9 million, respectively, was included in our accumulated other comprehensive (loss) income. There were no net prior service costs or transition obligations for the years ended October 31, 2021 and 2020. The effect on fiscal years after 2021 will depend on the actual experience of the plans.</w:t>
      </w:r>
    </w:p>
    <w:p>
      <w:pPr>
        <w:spacing w:after="0" w:line="120"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Mortality assumptions used to determine the obligations for our pension plans are based on the Pri-2012 base mortality table with MP-2020 mortality improvement scale.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3"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Our contractual obligations and commercial commitments include unconditional purchase obligations which consist of commitments to buy miscellaneous parts, inventory, and expenditures related to capital projects in progress. In addition, during fiscal 2022, we do not expect to need to contribute to our pension plan to meet our minimum contribution requirements. Pension contributions beyond 2022 cannot be determined since the amount of any contribution is heavily dependent on the future economic environment and investment returns on pension plan assets. Obligations are based on current and projected obligations of the plans, performance of the plan assets, if applicable, and the timing and amount of funding contributions. At October 31, 2021, we have recorded a long-term liability for deferred pension benefits totaling $4.7 million. We believe the effect of the plans on liquidity is not significant to our overall financial condition.</w:t>
      </w:r>
    </w:p>
    <w:p>
      <w:pPr>
        <w:spacing w:after="0" w:line="139"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Our supplemental benefit plan and deferred compensation plan liabilities fluctuate based on changes in the market value of certain equity securities, including our common stock. As of October 31, 2021, our liability under the supplemental benefit plan and the deferred compensation plan was approximately $2.9 million and $3.4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have experienced the impact of inflation on our cost of raw materials, labor, freight and overhead, particularly during the year ended October 31, 2021. Although we use contractual price indexing along with periodic base price increases to minimize the effect of inflation on our results, we have not been able to fully recover all of the inflationary cost increases. We cannot provide assurance, however, that our results of operations and financial position will not be materially impacted by inflation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3"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In June 2016, the Financial Accounting Standards Board issued Accounting Standards Update No. 2016-13, Financial Instruments - Credit Losses (Topic 326). This ASU sets forth a “current expected credit loss” model, which requires the measurement of all expected credit losses for financial 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 as pre-existing processes for estimating credit losses for trade receivables aligned with the expected credit loss model.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 Quantitative and Qualitative Disclosures About Market Risk.</w:t>
      </w:r>
    </w:p>
    <w:p>
      <w:pPr>
        <w:spacing w:after="0" w:line="173" w:lineRule="exact"/>
        <w:rPr>
          <w:sz w:val="20"/>
          <w:szCs w:val="20"/>
          <w:color w:val="auto"/>
        </w:rPr>
      </w:pPr>
    </w:p>
    <w:p>
      <w:pPr>
        <w:jc w:val="both"/>
        <w:ind w:firstLine="444"/>
        <w:spacing w:after="0" w:line="300"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October 31, 2021, a hypothetical 1.0% increase or decrease in interest rates could result in approximately $0.4 million of additional pre-tax charges or credit to our operating results. This sensitivity pertains primarily to our outstanding revolving credit facility borrowings outstanding under the Credit Facility as of October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73" w:lineRule="exact"/>
        <w:rPr>
          <w:sz w:val="20"/>
          <w:szCs w:val="20"/>
          <w:color w:val="auto"/>
        </w:rPr>
      </w:pPr>
    </w:p>
    <w:p>
      <w:pPr>
        <w:jc w:val="both"/>
        <w:ind w:firstLine="403"/>
        <w:spacing w:after="0" w:line="290" w:lineRule="auto"/>
        <w:rPr>
          <w:sz w:val="20"/>
          <w:szCs w:val="20"/>
          <w:color w:val="auto"/>
        </w:rPr>
      </w:pPr>
      <w:r>
        <w:rPr>
          <w:rFonts w:ascii="Arial" w:cs="Arial" w:eastAsia="Arial" w:hAnsi="Arial"/>
          <w:sz w:val="16"/>
          <w:szCs w:val="16"/>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derivatives outstanding as of October 31, 2021 or 2020.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net in the accompanying consolidated statements of income (loss). To the extent the gain or loss on the derivative instrument offsets the gain or loss from the remeasurement of the underlying foreign currency balance, changes in exchange rates should have no effect.</w:t>
      </w:r>
    </w:p>
    <w:p>
      <w:pPr>
        <w:spacing w:after="0" w:line="110" w:lineRule="exact"/>
        <w:rPr>
          <w:sz w:val="20"/>
          <w:szCs w:val="20"/>
          <w:color w:val="auto"/>
        </w:rPr>
      </w:pPr>
    </w:p>
    <w:p>
      <w:pPr>
        <w:jc w:val="both"/>
        <w:ind w:firstLine="403"/>
        <w:spacing w:after="0" w:line="310" w:lineRule="auto"/>
        <w:rPr>
          <w:sz w:val="20"/>
          <w:szCs w:val="20"/>
          <w:color w:val="auto"/>
        </w:rPr>
      </w:pPr>
      <w:r>
        <w:rPr>
          <w:rFonts w:ascii="Arial" w:cs="Arial" w:eastAsia="Arial" w:hAnsi="Arial"/>
          <w:sz w:val="16"/>
          <w:szCs w:val="16"/>
          <w:color w:val="auto"/>
        </w:rPr>
        <w:t>On June 23, 2016, citizens of the U.K. voted to exit the European Union (E.U.) (referred to as Brexit). Since the 2016 Brexit vote, we have been impacted by foreign currency fluctuations of the British Pound Sterling and delays within the supply chain for the procurement of raw materials. These have caused fluctuations in foreign currency translation impacts, as well as raw material cost increases from upstream suppliers located outside of the U.K.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6"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88"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88"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4"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8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827"/>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1280" w:type="dxa"/>
            <w:vAlign w:val="bottom"/>
          </w:tcPr>
          <w:p>
            <w:pPr>
              <w:spacing w:after="0"/>
              <w:rPr>
                <w:sz w:val="24"/>
                <w:szCs w:val="24"/>
                <w:color w:val="auto"/>
              </w:rPr>
            </w:pPr>
          </w:p>
        </w:tc>
        <w:tc>
          <w:tcPr>
            <w:tcW w:w="8620" w:type="dxa"/>
            <w:vAlign w:val="bottom"/>
          </w:tcPr>
          <w:p>
            <w:pPr>
              <w:ind w:left="2760"/>
              <w:spacing w:after="0"/>
              <w:rPr>
                <w:sz w:val="20"/>
                <w:szCs w:val="20"/>
                <w:color w:val="auto"/>
              </w:rPr>
            </w:pPr>
            <w:r>
              <w:rPr>
                <w:rFonts w:ascii="Arial" w:cs="Arial" w:eastAsia="Arial" w:hAnsi="Arial"/>
                <w:sz w:val="18"/>
                <w:szCs w:val="18"/>
                <w:b w:val="1"/>
                <w:bCs w:val="1"/>
                <w:color w:val="auto"/>
              </w:rPr>
              <w:t>INDEX TO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Quanex Building Products Corporation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5"/>
        </w:trPr>
        <w:tc>
          <w:tcPr>
            <w:tcW w:w="128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3"/>
              </w:rPr>
              <w:t>Page</w:t>
            </w:r>
          </w:p>
        </w:tc>
      </w:tr>
      <w:tr>
        <w:trPr>
          <w:trHeight w:val="182"/>
        </w:trPr>
        <w:tc>
          <w:tcPr>
            <w:tcW w:w="990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Reports of Independent Registered Public Accounting Firm</w:t>
            </w:r>
          </w:p>
        </w:tc>
        <w:tc>
          <w:tcPr>
            <w:tcW w:w="640" w:type="dxa"/>
            <w:vAlign w:val="bottom"/>
            <w:gridSpan w:val="2"/>
          </w:tcPr>
          <w:p>
            <w:pPr>
              <w:jc w:val="center"/>
              <w:ind w:left="370"/>
              <w:spacing w:after="0" w:line="182"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34</w:t>
              </w:r>
            </w:hyperlink>
          </w:p>
        </w:tc>
        <w:tc>
          <w:tcPr>
            <w:tcW w:w="460" w:type="dxa"/>
            <w:vAlign w:val="bottom"/>
          </w:tcPr>
          <w:p>
            <w:pPr>
              <w:spacing w:after="0"/>
              <w:rPr>
                <w:sz w:val="15"/>
                <w:szCs w:val="15"/>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640" w:type="dxa"/>
            <w:vAlign w:val="bottom"/>
            <w:gridSpan w:val="2"/>
          </w:tcPr>
          <w:p>
            <w:pPr>
              <w:jc w:val="center"/>
              <w:ind w:left="37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460" w:type="dxa"/>
            <w:vAlign w:val="bottom"/>
          </w:tcPr>
          <w:p>
            <w:pPr>
              <w:spacing w:after="0"/>
              <w:rPr>
                <w:sz w:val="18"/>
                <w:szCs w:val="18"/>
                <w:color w:val="auto"/>
              </w:rPr>
            </w:pPr>
          </w:p>
        </w:tc>
      </w:tr>
      <w:tr>
        <w:trPr>
          <w:trHeight w:val="248"/>
        </w:trPr>
        <w:tc>
          <w:tcPr>
            <w:tcW w:w="9900" w:type="dxa"/>
            <w:vAlign w:val="bottom"/>
            <w:gridSpan w:val="2"/>
          </w:tcPr>
          <w:p>
            <w:pPr>
              <w:ind w:left="60"/>
              <w:spacing w:after="0"/>
              <w:rPr>
                <w:sz w:val="20"/>
                <w:szCs w:val="20"/>
                <w:color w:val="auto"/>
              </w:rPr>
            </w:pPr>
            <w:r>
              <w:rPr>
                <w:rFonts w:ascii="Arial" w:cs="Arial" w:eastAsia="Arial" w:hAnsi="Arial"/>
                <w:sz w:val="18"/>
                <w:szCs w:val="18"/>
                <w:color w:val="auto"/>
              </w:rPr>
              <w:t>Consolidated Financial Statements</w:t>
            </w:r>
          </w:p>
        </w:tc>
        <w:tc>
          <w:tcPr>
            <w:tcW w:w="4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r>
      <w:tr>
        <w:trPr>
          <w:trHeight w:val="189"/>
        </w:trPr>
        <w:tc>
          <w:tcPr>
            <w:tcW w:w="9900" w:type="dxa"/>
            <w:vAlign w:val="bottom"/>
            <w:gridSpan w:val="2"/>
          </w:tcPr>
          <w:p>
            <w:pPr>
              <w:ind w:left="380"/>
              <w:spacing w:after="0" w:line="189" w:lineRule="exact"/>
              <w:rPr>
                <w:sz w:val="20"/>
                <w:szCs w:val="20"/>
                <w:color w:val="auto"/>
              </w:rPr>
            </w:pPr>
            <w:r>
              <w:rPr>
                <w:rFonts w:ascii="Arial" w:cs="Arial" w:eastAsia="Arial" w:hAnsi="Arial"/>
                <w:sz w:val="18"/>
                <w:szCs w:val="18"/>
                <w:color w:val="auto"/>
              </w:rPr>
              <w:t>Consolidated Balance Sheets</w:t>
            </w:r>
          </w:p>
        </w:tc>
        <w:tc>
          <w:tcPr>
            <w:tcW w:w="640" w:type="dxa"/>
            <w:vAlign w:val="bottom"/>
            <w:gridSpan w:val="2"/>
          </w:tcPr>
          <w:p>
            <w:pPr>
              <w:jc w:val="center"/>
              <w:ind w:left="370"/>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460" w:type="dxa"/>
            <w:vAlign w:val="bottom"/>
          </w:tcPr>
          <w:p>
            <w:pPr>
              <w:spacing w:after="0"/>
              <w:rPr>
                <w:sz w:val="16"/>
                <w:szCs w:val="16"/>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Consolidated Statements of Income (Loss)</w:t>
            </w:r>
          </w:p>
        </w:tc>
        <w:tc>
          <w:tcPr>
            <w:tcW w:w="640" w:type="dxa"/>
            <w:vAlign w:val="bottom"/>
            <w:gridSpan w:val="2"/>
          </w:tcPr>
          <w:p>
            <w:pPr>
              <w:jc w:val="center"/>
              <w:ind w:left="3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Consolidated Statements of Comprehensive Income (Loss)</w:t>
            </w:r>
          </w:p>
        </w:tc>
        <w:tc>
          <w:tcPr>
            <w:tcW w:w="640" w:type="dxa"/>
            <w:vAlign w:val="bottom"/>
            <w:gridSpan w:val="2"/>
          </w:tcPr>
          <w:p>
            <w:pPr>
              <w:jc w:val="center"/>
              <w:ind w:left="3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Consolidated Statement of Stockholders’ Equity</w:t>
            </w:r>
          </w:p>
        </w:tc>
        <w:tc>
          <w:tcPr>
            <w:tcW w:w="640" w:type="dxa"/>
            <w:vAlign w:val="bottom"/>
            <w:gridSpan w:val="2"/>
          </w:tcPr>
          <w:p>
            <w:pPr>
              <w:jc w:val="center"/>
              <w:ind w:left="3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41</w:t>
              </w:r>
            </w:hyperlink>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Arial" w:cs="Arial" w:eastAsia="Arial" w:hAnsi="Arial"/>
                <w:sz w:val="18"/>
                <w:szCs w:val="18"/>
                <w:color w:val="auto"/>
              </w:rPr>
              <w:t>Consolidated Statements of Cash Flow</w:t>
            </w:r>
          </w:p>
        </w:tc>
        <w:tc>
          <w:tcPr>
            <w:tcW w:w="640" w:type="dxa"/>
            <w:vAlign w:val="bottom"/>
            <w:gridSpan w:val="2"/>
          </w:tcPr>
          <w:p>
            <w:pPr>
              <w:jc w:val="center"/>
              <w:ind w:left="37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42</w:t>
              </w:r>
            </w:hyperlink>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640" w:type="dxa"/>
            <w:vAlign w:val="bottom"/>
            <w:gridSpan w:val="2"/>
          </w:tcPr>
          <w:p>
            <w:pPr>
              <w:jc w:val="center"/>
              <w:ind w:left="3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c>
          <w:tcPr>
            <w:tcW w:w="4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07" w:right="5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Quanex Building Products Corporation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have audited the accompanying consolidated balance sheets of Quanex Building Products Corporation (a Delaware corporation) and subsidiaries (the “Company”) as of October 31, 2021 and 2020, the related consolidated statements of income (loss), comprehensive income (loss), changes in stockholders’ equity, and cash flows for each of the three years in the period ended October 31, 2021, and the related notes (collectively referred to as the “financial statements”). In our opinion, the financial statements present fairly, in all material respects, the financial position of the Company as of October 31, 2021 and 2020, and the results of its operations and its cash flows for each of the three years in the period ended October 31, 2021, in conformity with accounting principles generally accepted in the United States of America.</w:t>
      </w:r>
    </w:p>
    <w:p>
      <w:pPr>
        <w:spacing w:after="0" w:line="20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October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December 17, 2021 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goodwill impairment assessment of the reporting unit included in the North American Cabinet Components operating segment</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As described in Note 1 to the financial statements, the Company performs its annual goodwill impairment test as of August 31. The Company performed a quantitative assessment of the reporting unit included in the North American Cabinet Components operating segment primarily due to the recent impairment of goodwill during the second and fourth quarters of 2019 and the history of a narrow margin of fair value over carrying value in the quantitative assessments performed in prior years. We identified the estimation of the fair value of this reporting unit as a critical audit matter.</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principal considerations for our determination that the estimation of the fair value of this reporting unit is a critical audit matter relates to the income approach which is one method management uses to estimate the fair value of the reporting unit. Auditing the fair value of the reporting unit involved a high degree of auditor judgment, subjectivity and audit effort in evaluating management’s significant assumptions, including future cash flows related to the reporting unit and the weighted average cost of capital (WACC). In addition, the audit effort involved the use of valuation specialists to assist in performing these procedures and evaluating the audit evidence obtained.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estimation of the fair value of this reporting unit included the following, among others.</w:t>
      </w:r>
    </w:p>
    <w:p>
      <w:pPr>
        <w:spacing w:after="0" w:line="223" w:lineRule="exact"/>
        <w:rPr>
          <w:sz w:val="20"/>
          <w:szCs w:val="20"/>
          <w:color w:val="auto"/>
        </w:rPr>
      </w:pPr>
    </w:p>
    <w:p>
      <w:pPr>
        <w:ind w:left="660" w:hanging="330"/>
        <w:spacing w:after="0" w:line="24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tested the effectiveness of controls over goodwill impairment including those over the determination of fair value, including controls relating to management’s development of forecasts of future revenues, earnings, cash flows and WACC.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760" w:hanging="330"/>
        <w:spacing w:after="0" w:line="227"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revenues, earnings and cash flows by comparing actual results to management’s historical forecasts.</w:t>
      </w:r>
    </w:p>
    <w:p>
      <w:pPr>
        <w:jc w:val="both"/>
        <w:ind w:left="760" w:hanging="330"/>
        <w:spacing w:after="0" w:line="218" w:lineRule="auto"/>
        <w:tabs>
          <w:tab w:leader="none" w:pos="749" w:val="left"/>
        </w:tabs>
        <w:numPr>
          <w:ilvl w:val="0"/>
          <w:numId w:val="10"/>
        </w:numPr>
        <w:rPr>
          <w:rFonts w:ascii="Arial" w:cs="Arial" w:eastAsia="Arial" w:hAnsi="Arial"/>
          <w:sz w:val="16"/>
          <w:szCs w:val="16"/>
          <w:color w:val="auto"/>
        </w:rPr>
      </w:pPr>
      <w:r>
        <w:rPr>
          <w:rFonts w:ascii="Arial" w:cs="Arial" w:eastAsia="Arial" w:hAnsi="Arial"/>
          <w:sz w:val="18"/>
          <w:szCs w:val="18"/>
          <w:color w:val="auto"/>
        </w:rPr>
        <w:t>We evaluated the reasonableness of management’s forecasts of revenues, earnings and cash flows by comparing the forecasts to historical revenues, earnings and cash flows, current budgets, our understanding of the current business strategy, communications to the Board of Directors, press releases and industry reports.</w:t>
      </w:r>
    </w:p>
    <w:p>
      <w:pPr>
        <w:ind w:left="760" w:hanging="330"/>
        <w:spacing w:after="0" w:line="253" w:lineRule="auto"/>
        <w:tabs>
          <w:tab w:leader="none" w:pos="7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utilized our valuation specialists to evaluate the reasonableness of the WACC used by management, including the testing of underlying source information and developing a range of independent estimates and comparing those to the rate selected by management.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ANT THORNTON LLP</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 served as the Company's auditor since 2014.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69850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Quanex Building Products Corporation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We have audited the internal control over financial reporting of Quanex Building Products Corporation (a Delaware corporation) and subsidiaries (the “Company”) as of October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October 31,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October 31, 2021, and our report dated December 17, 2021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01"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7"/>
          <w:szCs w:val="17"/>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12"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October 31, 2021 using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Based on this assessment, management has concluded that, as of October 31, 2021,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137" w:lineRule="exact"/>
        <w:rPr>
          <w:sz w:val="20"/>
          <w:szCs w:val="20"/>
          <w:color w:val="auto"/>
        </w:rPr>
      </w:pPr>
    </w:p>
    <w:p>
      <w:pPr>
        <w:jc w:val="both"/>
        <w:ind w:right="20" w:firstLine="403"/>
        <w:spacing w:after="0" w:line="275" w:lineRule="auto"/>
        <w:rPr>
          <w:sz w:val="20"/>
          <w:szCs w:val="20"/>
          <w:color w:val="auto"/>
        </w:rPr>
      </w:pPr>
      <w:r>
        <w:rPr>
          <w:rFonts w:ascii="Arial" w:cs="Arial" w:eastAsia="Arial" w:hAnsi="Arial"/>
          <w:sz w:val="18"/>
          <w:szCs w:val="18"/>
          <w:color w:val="auto"/>
        </w:rPr>
        <w:t>Grant Thornton LLP, the Company’s independent registered public accounting firm, has issued an attestation report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31, 2021 and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3"/>
              </w:rPr>
              <w:t>October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9"/>
        </w:trPr>
        <w:tc>
          <w:tcPr>
            <w:tcW w:w="8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6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7"/>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88"/>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51,621</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Arial" w:cs="Arial" w:eastAsia="Arial" w:hAnsi="Arial"/>
                <w:sz w:val="16"/>
                <w:szCs w:val="16"/>
                <w:color w:val="auto"/>
              </w:rPr>
              <w:t>Accounts receivable, net of allowance for credit losses of $340 and $161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108,309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88,287</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61,181</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249,047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207,306</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Property, plant and equipment, net of accumulated depreciation of $336,493 and $340,144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178,630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184,104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51,824</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149,205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146,154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93,068</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9,129</w:t>
            </w: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717,323</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691,585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86,765</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77,335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38,289</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operating lease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8,196</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7,459</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158,001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130,240</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52,094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116,728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44,873</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Deferred pension and postretirement benefits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10,923</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19,116</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Liability for uncertain tax positions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13,989</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13,424</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297,541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335,826</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no par value, shares authorized 1,000,000 issued and outstanding - none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360" w:type="dxa"/>
            <w:vAlign w:val="bottom"/>
          </w:tcPr>
          <w:p>
            <w:pPr>
              <w:ind w:left="140"/>
              <w:spacing w:after="0" w:line="165" w:lineRule="exact"/>
              <w:rPr>
                <w:sz w:val="20"/>
                <w:szCs w:val="20"/>
                <w:color w:val="auto"/>
              </w:rPr>
            </w:pPr>
            <w:r>
              <w:rPr>
                <w:rFonts w:ascii="Arial" w:cs="Arial" w:eastAsia="Arial" w:hAnsi="Arial"/>
                <w:sz w:val="16"/>
                <w:szCs w:val="16"/>
                <w:color w:val="auto"/>
                <w:w w:val="92"/>
              </w:rPr>
              <w:t>Common stock, $0.01 par value, shares authorized 125,000,000 issued 37,273,510 and 37,296,166 respectively; outstanding</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373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9"/>
        </w:trPr>
        <w:tc>
          <w:tcPr>
            <w:tcW w:w="8360" w:type="dxa"/>
            <w:vAlign w:val="bottom"/>
          </w:tcPr>
          <w:p>
            <w:pPr>
              <w:ind w:left="140"/>
              <w:spacing w:after="0"/>
              <w:rPr>
                <w:sz w:val="20"/>
                <w:szCs w:val="20"/>
                <w:color w:val="auto"/>
              </w:rPr>
            </w:pPr>
            <w:r>
              <w:rPr>
                <w:rFonts w:ascii="Arial" w:cs="Arial" w:eastAsia="Arial" w:hAnsi="Arial"/>
                <w:sz w:val="16"/>
                <w:szCs w:val="16"/>
                <w:color w:val="auto"/>
              </w:rPr>
              <w:t>33,274,785 and 32,804,737, respectively</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paid-in-capital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254,162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253,458</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259,718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213,517</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(33,024)</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Treasury stock at cost, 3,998,725 and 4,491,429 shares, respectively</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(72,701)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(78,565)</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419,782</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355,759</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717,323</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691,585</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October 31, 2021, 2020 and 2019</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6"/>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182"/>
        </w:trPr>
        <w:tc>
          <w:tcPr>
            <w:tcW w:w="6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gridSpan w:val="6"/>
          </w:tcPr>
          <w:p>
            <w:pPr>
              <w:jc w:val="center"/>
              <w:ind w:left="48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880" w:type="dxa"/>
            <w:vAlign w:val="bottom"/>
          </w:tcPr>
          <w:p>
            <w:pPr>
              <w:spacing w:after="0"/>
              <w:rPr>
                <w:sz w:val="15"/>
                <w:szCs w:val="15"/>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1,072,149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851,573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893,841</w:t>
            </w:r>
          </w:p>
        </w:tc>
      </w:tr>
      <w:tr>
        <w:trPr>
          <w:trHeight w:val="212"/>
        </w:trPr>
        <w:tc>
          <w:tcPr>
            <w:tcW w:w="6800" w:type="dxa"/>
            <w:vAlign w:val="bottom"/>
          </w:tcPr>
          <w:p>
            <w:pPr>
              <w:ind w:left="20"/>
              <w:spacing w:after="0"/>
              <w:rPr>
                <w:sz w:val="20"/>
                <w:szCs w:val="20"/>
                <w:color w:val="auto"/>
              </w:rPr>
            </w:pPr>
            <w:r>
              <w:rPr>
                <w:rFonts w:ascii="Arial" w:cs="Arial" w:eastAsia="Arial" w:hAnsi="Arial"/>
                <w:sz w:val="16"/>
                <w:szCs w:val="16"/>
                <w:color w:val="auto"/>
              </w:rPr>
              <w:t>Cost and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sales (excluding 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831,541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658,750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694,420</w:t>
            </w:r>
          </w:p>
        </w:tc>
      </w:tr>
      <w:tr>
        <w:trPr>
          <w:trHeight w:val="212"/>
        </w:trPr>
        <w:tc>
          <w:tcPr>
            <w:tcW w:w="680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115,967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89,707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101,292</w:t>
            </w:r>
          </w:p>
        </w:tc>
      </w:tr>
      <w:tr>
        <w:trPr>
          <w:trHeight w:val="218"/>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2"/>
        </w:trPr>
        <w:tc>
          <w:tcPr>
            <w:tcW w:w="68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42,732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47,229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49,586</w:t>
            </w:r>
          </w:p>
        </w:tc>
      </w:tr>
      <w:tr>
        <w:trPr>
          <w:trHeight w:val="218"/>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impairment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74,600</w:t>
            </w:r>
          </w:p>
        </w:tc>
      </w:tr>
      <w:tr>
        <w:trPr>
          <w:trHeight w:val="206"/>
        </w:trPr>
        <w:tc>
          <w:tcPr>
            <w:tcW w:w="68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81,870</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55,265</w:t>
            </w: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(26,427)</w:t>
            </w:r>
          </w:p>
        </w:tc>
      </w:tr>
      <w:tr>
        <w:trPr>
          <w:trHeight w:val="218"/>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68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(9,643)</w:t>
            </w:r>
          </w:p>
        </w:tc>
      </w:tr>
      <w:tr>
        <w:trPr>
          <w:trHeight w:val="218"/>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6"/>
        </w:trPr>
        <w:tc>
          <w:tcPr>
            <w:tcW w:w="68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80,094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(35,954)</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(23,114)</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(11,804)</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(10,776)</w:t>
            </w:r>
          </w:p>
        </w:tc>
      </w:tr>
      <w:tr>
        <w:trPr>
          <w:trHeight w:val="211"/>
        </w:trPr>
        <w:tc>
          <w:tcPr>
            <w:tcW w:w="68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56,980</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38,496</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(46,730)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2"/>
        </w:trPr>
        <w:tc>
          <w:tcPr>
            <w:tcW w:w="6800" w:type="dxa"/>
            <w:vAlign w:val="bottom"/>
          </w:tcPr>
          <w:p>
            <w:pPr>
              <w:ind w:left="20"/>
              <w:spacing w:after="0"/>
              <w:rPr>
                <w:sz w:val="20"/>
                <w:szCs w:val="20"/>
                <w:color w:val="auto"/>
              </w:rPr>
            </w:pPr>
            <w:r>
              <w:rPr>
                <w:rFonts w:ascii="Arial" w:cs="Arial" w:eastAsia="Arial" w:hAnsi="Arial"/>
                <w:sz w:val="16"/>
                <w:szCs w:val="16"/>
                <w:color w:val="auto"/>
              </w:rPr>
              <w:t>Basic earnings (loss)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72"/>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2"/>
        </w:trPr>
        <w:tc>
          <w:tcPr>
            <w:tcW w:w="6800" w:type="dxa"/>
            <w:vAlign w:val="bottom"/>
          </w:tcPr>
          <w:p>
            <w:pPr>
              <w:ind w:left="20"/>
              <w:spacing w:after="0"/>
              <w:rPr>
                <w:sz w:val="20"/>
                <w:szCs w:val="20"/>
                <w:color w:val="auto"/>
              </w:rPr>
            </w:pPr>
            <w:r>
              <w:rPr>
                <w:rFonts w:ascii="Arial" w:cs="Arial" w:eastAsia="Arial" w:hAnsi="Arial"/>
                <w:sz w:val="16"/>
                <w:szCs w:val="16"/>
                <w:color w:val="auto"/>
              </w:rPr>
              <w:t>Diluted earnings (loss)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72"/>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2"/>
        </w:trPr>
        <w:tc>
          <w:tcPr>
            <w:tcW w:w="680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32,960</w:t>
            </w:r>
          </w:p>
        </w:tc>
      </w:tr>
      <w:tr>
        <w:trPr>
          <w:trHeight w:val="212"/>
        </w:trPr>
        <w:tc>
          <w:tcPr>
            <w:tcW w:w="6800" w:type="dxa"/>
            <w:vAlign w:val="bottom"/>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33,495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32,821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32,960</w:t>
            </w:r>
          </w:p>
        </w:tc>
      </w:tr>
      <w:tr>
        <w:trPr>
          <w:trHeight w:val="272"/>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Cash dividends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0.32</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0.32</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0.32</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line="304" w:lineRule="auto"/>
        <w:rPr>
          <w:sz w:val="20"/>
          <w:szCs w:val="20"/>
          <w:color w:val="auto"/>
        </w:rPr>
      </w:pPr>
      <w:r>
        <w:rPr>
          <w:rFonts w:ascii="Arial" w:cs="Arial" w:eastAsia="Arial" w:hAnsi="Arial"/>
          <w:sz w:val="18"/>
          <w:szCs w:val="18"/>
          <w:b w:val="1"/>
          <w:bCs w:val="1"/>
          <w:color w:val="auto"/>
        </w:rPr>
        <w:t>QUANEX BUILDING PRODUCTS CORPORATION CONSOLIDATED STATEMENTS OF COMPREHENSIVE INCOME (LOSS) For the Years Ended October 31, 2021,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6"/>
        </w:trPr>
        <w:tc>
          <w:tcPr>
            <w:tcW w:w="68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182"/>
        </w:trPr>
        <w:tc>
          <w:tcPr>
            <w:tcW w:w="6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56,980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(46,730)</w:t>
            </w:r>
          </w:p>
        </w:tc>
      </w:tr>
      <w:tr>
        <w:trPr>
          <w:trHeight w:val="212"/>
        </w:trPr>
        <w:tc>
          <w:tcPr>
            <w:tcW w:w="68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gain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r>
      <w:tr>
        <w:trPr>
          <w:trHeight w:val="212"/>
        </w:trPr>
        <w:tc>
          <w:tcPr>
            <w:tcW w:w="6800" w:type="dxa"/>
            <w:vAlign w:val="bottom"/>
          </w:tcPr>
          <w:p>
            <w:pPr>
              <w:ind w:left="140"/>
              <w:spacing w:after="0"/>
              <w:rPr>
                <w:sz w:val="20"/>
                <w:szCs w:val="20"/>
                <w:color w:val="auto"/>
              </w:rPr>
            </w:pPr>
            <w:r>
              <w:rPr>
                <w:rFonts w:ascii="Arial" w:cs="Arial" w:eastAsia="Arial" w:hAnsi="Arial"/>
                <w:sz w:val="16"/>
                <w:szCs w:val="16"/>
                <w:color w:val="auto"/>
              </w:rPr>
              <w:t>Change in pension from net unamortized gain (loss) (pretax)</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(6,572)</w:t>
            </w:r>
          </w:p>
        </w:tc>
      </w:tr>
      <w:tr>
        <w:trPr>
          <w:trHeight w:val="218"/>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pension from net unamortized gain (loss) tax (expense) benefit</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(1,375)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r>
      <w:tr>
        <w:trPr>
          <w:trHeight w:val="206"/>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comprehensive income (loss), net of tax</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11,254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r>
      <w:tr>
        <w:trPr>
          <w:trHeight w:val="231"/>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68,234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39,289</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October 31, 2021, 2020 and 2019</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98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2000" w:type="dxa"/>
            <w:vAlign w:val="bottom"/>
            <w:gridSpan w:val="5"/>
          </w:tcPr>
          <w:p>
            <w:pPr>
              <w:ind w:left="54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Other</w:t>
            </w: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7"/>
              </w:rPr>
              <w:t>Paid-in</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6"/>
              </w:rPr>
              <w:t>Comprehensive</w:t>
            </w: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0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1"/>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Arial" w:cs="Arial" w:eastAsia="Arial" w:hAnsi="Arial"/>
                <w:sz w:val="13"/>
                <w:szCs w:val="13"/>
                <w:b w:val="1"/>
                <w:bCs w:val="1"/>
                <w:color w:val="auto"/>
                <w:w w:val="91"/>
              </w:rPr>
              <w:t>(In thousands, except share amounts)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Balance at October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37,433,817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254,678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395,222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(46,730)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165"/>
        </w:trPr>
        <w:tc>
          <w:tcPr>
            <w:tcW w:w="3040" w:type="dxa"/>
            <w:vAlign w:val="bottom"/>
          </w:tcPr>
          <w:p>
            <w:pPr>
              <w:spacing w:after="0" w:line="165" w:lineRule="exact"/>
              <w:rPr>
                <w:sz w:val="20"/>
                <w:szCs w:val="20"/>
                <w:color w:val="auto"/>
              </w:rPr>
            </w:pPr>
            <w:r>
              <w:rPr>
                <w:rFonts w:ascii="Arial" w:cs="Arial" w:eastAsia="Arial" w:hAnsi="Arial"/>
                <w:sz w:val="16"/>
                <w:szCs w:val="16"/>
                <w:color w:val="auto"/>
                <w:w w:val="93"/>
              </w:rPr>
              <w:t>Change in pension from net unamortized loss</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(4,976)</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(4,976)</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(net of tax benefit of $1,596)</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(583,398)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2"/>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204,770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Other</w:t>
            </w:r>
          </w:p>
        </w:tc>
        <w:tc>
          <w:tcPr>
            <w:tcW w:w="960" w:type="dxa"/>
            <w:vAlign w:val="bottom"/>
          </w:tcPr>
          <w:p>
            <w:pPr>
              <w:jc w:val="right"/>
              <w:spacing w:after="0"/>
              <w:rPr>
                <w:sz w:val="20"/>
                <w:szCs w:val="20"/>
                <w:color w:val="auto"/>
              </w:rPr>
            </w:pPr>
            <w:r>
              <w:rPr>
                <w:rFonts w:ascii="Arial" w:cs="Arial" w:eastAsia="Arial" w:hAnsi="Arial"/>
                <w:sz w:val="16"/>
                <w:szCs w:val="16"/>
                <w:color w:val="auto"/>
              </w:rPr>
              <w:t>(63,415)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October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37,370,402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254,673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(4,348,613)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330,187</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38,496</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165"/>
        </w:trPr>
        <w:tc>
          <w:tcPr>
            <w:tcW w:w="3040" w:type="dxa"/>
            <w:vAlign w:val="bottom"/>
          </w:tcPr>
          <w:p>
            <w:pPr>
              <w:spacing w:after="0" w:line="165" w:lineRule="exact"/>
              <w:rPr>
                <w:sz w:val="20"/>
                <w:szCs w:val="20"/>
                <w:color w:val="auto"/>
              </w:rPr>
            </w:pPr>
            <w:r>
              <w:rPr>
                <w:rFonts w:ascii="Arial" w:cs="Arial" w:eastAsia="Arial" w:hAnsi="Arial"/>
                <w:sz w:val="16"/>
                <w:szCs w:val="16"/>
                <w:color w:val="auto"/>
                <w:w w:val="93"/>
              </w:rPr>
              <w:t>Change in pension from net unamortized loss</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(net of tax of benefit of $91)</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w w:val="92"/>
              </w:rPr>
              <w:t>Expense related to 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purchased, at cost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(7,233)</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Performance share awards vested</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Balance at October 31, 2020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37,296,166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253,458</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213,517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(33,024)</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(4,491,429)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(78,565)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355,759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56,980</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7,152</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7,152</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w w:val="93"/>
              </w:rPr>
              <w:t>Change in pension from net unamortized loss</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4,102</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of tax expense of $1,375)</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Common dividends ($0.32 per share)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(10,779)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Treasury shares purchased, at cost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w w:val="92"/>
              </w:rPr>
              <w:t>Expense related to 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Restricted stock awards granted</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Performance share awards vested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Arial" w:cs="Arial" w:eastAsia="Arial" w:hAnsi="Arial"/>
                <w:sz w:val="16"/>
                <w:szCs w:val="16"/>
                <w:color w:val="auto"/>
              </w:rPr>
              <w:t>Other</w:t>
            </w:r>
          </w:p>
        </w:tc>
        <w:tc>
          <w:tcPr>
            <w:tcW w:w="960" w:type="dxa"/>
            <w:vAlign w:val="bottom"/>
          </w:tcPr>
          <w:p>
            <w:pPr>
              <w:jc w:val="right"/>
              <w:spacing w:after="0"/>
              <w:rPr>
                <w:sz w:val="20"/>
                <w:szCs w:val="20"/>
                <w:color w:val="auto"/>
              </w:rPr>
            </w:pPr>
            <w:r>
              <w:rPr>
                <w:rFonts w:ascii="Arial" w:cs="Arial" w:eastAsia="Arial" w:hAnsi="Arial"/>
                <w:sz w:val="16"/>
                <w:szCs w:val="16"/>
                <w:color w:val="auto"/>
              </w:rPr>
              <w:t>(22,656)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October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37,273,510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254,162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419,782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6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6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the Years Ended October 31, 2021, 2020 and 2019</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182"/>
        </w:trPr>
        <w:tc>
          <w:tcPr>
            <w:tcW w:w="7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56,980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38,496</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(46,730)</w:t>
            </w:r>
          </w:p>
        </w:tc>
      </w:tr>
      <w:tr>
        <w:trPr>
          <w:trHeight w:val="218"/>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47,229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49,586</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disposition of capital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2,045</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Asset impairment charges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74,600</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accounts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(Increase) decrease in inventory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6,119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3,797</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other current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Increase in accounts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8,124</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accrued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(6,760)</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(Decrease) increase in income taxes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3,416</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increase in deferred pension and postretirement benefits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Increase (decrease) in other long-term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06"/>
        </w:trPr>
        <w:tc>
          <w:tcPr>
            <w:tcW w:w="7020" w:type="dxa"/>
            <w:vAlign w:val="bottom"/>
          </w:tcPr>
          <w:p>
            <w:pPr>
              <w:ind w:left="20"/>
              <w:spacing w:after="0"/>
              <w:rPr>
                <w:sz w:val="20"/>
                <w:szCs w:val="20"/>
                <w:color w:val="auto"/>
              </w:rPr>
            </w:pPr>
            <w:r>
              <w:rPr>
                <w:rFonts w:ascii="Arial" w:cs="Arial" w:eastAsia="Arial" w:hAnsi="Arial"/>
                <w:sz w:val="16"/>
                <w:szCs w:val="16"/>
                <w:color w:val="auto"/>
              </w:rPr>
              <w:t>Cash provided by operating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78,588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100,796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96,372</w:t>
            </w:r>
          </w:p>
        </w:tc>
      </w:tr>
      <w:tr>
        <w:trPr>
          <w:trHeight w:val="218"/>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(24,883)</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disposition of capital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r>
      <w:tr>
        <w:trPr>
          <w:trHeight w:val="206"/>
        </w:trPr>
        <w:tc>
          <w:tcPr>
            <w:tcW w:w="7020" w:type="dxa"/>
            <w:vAlign w:val="bottom"/>
          </w:tcPr>
          <w:p>
            <w:pPr>
              <w:ind w:left="20"/>
              <w:spacing w:after="0"/>
              <w:rPr>
                <w:sz w:val="20"/>
                <w:szCs w:val="20"/>
                <w:color w:val="auto"/>
              </w:rPr>
            </w:pPr>
            <w:r>
              <w:rPr>
                <w:rFonts w:ascii="Arial" w:cs="Arial" w:eastAsia="Arial" w:hAnsi="Arial"/>
                <w:sz w:val="16"/>
                <w:szCs w:val="16"/>
                <w:color w:val="auto"/>
              </w:rPr>
              <w:t>Cash used for investing activities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(23,559)</w:t>
            </w:r>
          </w:p>
        </w:tc>
      </w:tr>
      <w:tr>
        <w:trPr>
          <w:trHeight w:val="218"/>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Borrowings under credit facility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83,500</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credit facility borrowings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(136,000)</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Repayments of other long-term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(1,526)</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dividends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Issuance of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3,287</w:t>
            </w:r>
          </w:p>
        </w:tc>
      </w:tr>
      <w:tr>
        <w:trPr>
          <w:trHeight w:val="218"/>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Payroll tax paid to settle shares forfeited upon vesting of stock</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 of treasury stock</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(9,551)</w:t>
            </w: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for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(71,264)</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increase in 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r>
      <w:tr>
        <w:trPr>
          <w:trHeight w:val="21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29,003</w:t>
            </w:r>
          </w:p>
        </w:tc>
      </w:tr>
      <w:tr>
        <w:trPr>
          <w:trHeight w:val="231"/>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51,621</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left="340" w:right="5000" w:hanging="333"/>
        <w:spacing w:after="0" w:line="438" w:lineRule="auto"/>
        <w:tabs>
          <w:tab w:leader="none" w:pos="19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Operations, Basis of Presentation and Significant Accounting Policies </w:t>
      </w:r>
      <w:r>
        <w:rPr>
          <w:rFonts w:ascii="Arial" w:cs="Arial" w:eastAsia="Arial" w:hAnsi="Arial"/>
          <w:sz w:val="18"/>
          <w:szCs w:val="18"/>
          <w:b w:val="1"/>
          <w:bCs w:val="1"/>
          <w:i w:val="1"/>
          <w:iCs w:val="1"/>
          <w:color w:val="auto"/>
        </w:rPr>
        <w:t>Nature of Operations</w:t>
      </w:r>
    </w:p>
    <w:p>
      <w:pPr>
        <w:spacing w:after="0" w:line="1" w:lineRule="exact"/>
        <w:rPr>
          <w:sz w:val="20"/>
          <w:szCs w:val="20"/>
          <w:color w:val="auto"/>
        </w:rPr>
      </w:pPr>
    </w:p>
    <w:p>
      <w:pPr>
        <w:jc w:val="both"/>
        <w:ind w:firstLine="403"/>
        <w:spacing w:after="0" w:line="286" w:lineRule="auto"/>
        <w:rPr>
          <w:sz w:val="20"/>
          <w:szCs w:val="20"/>
          <w:color w:val="auto"/>
        </w:rPr>
      </w:pPr>
      <w:r>
        <w:rPr>
          <w:rFonts w:ascii="Arial" w:cs="Arial" w:eastAsia="Arial" w:hAnsi="Arial"/>
          <w:sz w:val="16"/>
          <w:szCs w:val="16"/>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(1) North American Fenestration (NA Fenestration), (2) European Fenestration (EU Fenestration) and (3) North American Cabinet Components (NA Cabinet Components). For additional discussion of our reportable business segments, see Note 16, “Segment Information.”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14"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In our opinion, these audited financial statements contain all adjustments necessary to fairly present our financial position, results of operations and cash flows for the periods presented.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w:t>
      </w:r>
    </w:p>
    <w:p>
      <w:pPr>
        <w:spacing w:after="0" w:line="11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A summary of our significant accounting policies consistently applied in the preparation of the accompanying consolidated financial statements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42"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Pricing and sales incentives</w:t>
      </w:r>
    </w:p>
    <w:p>
      <w:pPr>
        <w:spacing w:after="0" w:line="16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Shipping and handling cost</w:t>
      </w:r>
      <w:r>
        <w:rPr>
          <w:rFonts w:ascii="Arial" w:cs="Arial" w:eastAsia="Arial" w:hAnsi="Arial"/>
          <w:sz w:val="18"/>
          <w:szCs w:val="18"/>
          <w:b w:val="1"/>
          <w:bCs w:val="1"/>
          <w:i w:val="1"/>
          <w:iCs w:val="1"/>
          <w:color w:val="auto"/>
        </w:rPr>
        <w:t>s</w:t>
      </w:r>
    </w:p>
    <w:p>
      <w:pPr>
        <w:spacing w:after="0" w:line="169" w:lineRule="exact"/>
        <w:rPr>
          <w:sz w:val="20"/>
          <w:szCs w:val="20"/>
          <w:color w:val="auto"/>
        </w:rPr>
      </w:pPr>
    </w:p>
    <w:p>
      <w:pPr>
        <w:jc w:val="both"/>
        <w:ind w:firstLine="403"/>
        <w:spacing w:after="0" w:line="310" w:lineRule="auto"/>
        <w:rPr>
          <w:sz w:val="20"/>
          <w:szCs w:val="20"/>
          <w:color w:val="auto"/>
        </w:rPr>
      </w:pPr>
      <w:r>
        <w:rPr>
          <w:rFonts w:ascii="Arial" w:cs="Arial" w:eastAsia="Arial" w:hAnsi="Arial"/>
          <w:sz w:val="16"/>
          <w:szCs w:val="16"/>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16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produce a wide variety of products that are used in the fenestration industry, including insulating glass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31"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The following table summarizes our product sales for the three years ended October 31, 2021, 2020, and 2019 into groupings by segment which we believe depicts how the nature, amount, timing and uncertainty of our revenues and cash flows are affected by economic factors. For further details regarding our results by segment, refer to Note 16, “Segment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6"/>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82"/>
        </w:trPr>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507,634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427,616</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439,536</w:t>
            </w: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31,106</w:t>
            </w:r>
          </w:p>
        </w:tc>
      </w:tr>
      <w:tr>
        <w:trPr>
          <w:trHeight w:val="228"/>
        </w:trPr>
        <w:tc>
          <w:tcPr>
            <w:tcW w:w="716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19,279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578,332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483,415</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503,837</w:t>
            </w: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199,511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134,432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139,638</w:t>
            </w: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25,359</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251,599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161,054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164,997</w:t>
            </w: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 Cabinet Components: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11,842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13,144</w:t>
            </w: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214,211</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229,644</w:t>
            </w:r>
          </w:p>
        </w:tc>
      </w:tr>
      <w:tr>
        <w:trPr>
          <w:trHeight w:val="228"/>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r>
      <w:tr>
        <w:trPr>
          <w:trHeight w:val="222"/>
        </w:trPr>
        <w:tc>
          <w:tcPr>
            <w:tcW w:w="7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(4,637)</w:t>
            </w:r>
          </w:p>
        </w:tc>
      </w:tr>
      <w:tr>
        <w:trPr>
          <w:trHeight w:val="24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1,072,149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851,573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893,841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Cash equivalents include all highly liquid investments with an original maturity of three months or less. Such securities with an original maturity which exceeds three months are deemed to be short-term investments.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Allowance for Credit Losses</w:t>
      </w:r>
    </w:p>
    <w:p>
      <w:pPr>
        <w:spacing w:after="0" w:line="169"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 ended October 31, 2021, no customers provided more than 10% of our consolidated net sales. For the year ended October 31, 2020, one customer provided more than 10% of our consolidated net sales.</w:t>
      </w:r>
    </w:p>
    <w:p>
      <w:pPr>
        <w:spacing w:after="0" w:line="119"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We have established an allowance for credit losses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2021. Different assumptions or changes in economic circumstances could result in changes to the allowance.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We apply the acquisition method of accounting for business combinations in accordance with U.S. GAAP,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Inventory</w:t>
      </w:r>
    </w:p>
    <w:p>
      <w:pPr>
        <w:spacing w:after="0" w:line="16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record inventory at the lower of cost or net realizable value. Inventories are valued using the first-in first-out (FIFO) method. Fixed costs related to excess manufacturing capacity are evaluated and expensed in the period, to insure that inventory is properly capitalized. Inventory quantities are regularly reviewed and provisions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 and Intangible Assets with Defined Lives</w:t>
      </w:r>
    </w:p>
    <w:p>
      <w:pPr>
        <w:spacing w:after="0" w:line="169" w:lineRule="exact"/>
        <w:rPr>
          <w:sz w:val="20"/>
          <w:szCs w:val="20"/>
          <w:color w:val="auto"/>
        </w:rPr>
      </w:pPr>
    </w:p>
    <w:p>
      <w:pPr>
        <w:jc w:val="both"/>
        <w:ind w:firstLine="403"/>
        <w:spacing w:after="0" w:line="286" w:lineRule="auto"/>
        <w:rPr>
          <w:sz w:val="20"/>
          <w:szCs w:val="20"/>
          <w:color w:val="auto"/>
        </w:rPr>
      </w:pPr>
      <w:r>
        <w:rPr>
          <w:rFonts w:ascii="Arial" w:cs="Arial" w:eastAsia="Arial" w:hAnsi="Arial"/>
          <w:sz w:val="16"/>
          <w:szCs w:val="16"/>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14"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to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115" w:lineRule="exact"/>
        <w:rPr>
          <w:sz w:val="20"/>
          <w:szCs w:val="20"/>
          <w:color w:val="auto"/>
        </w:rPr>
      </w:pPr>
    </w:p>
    <w:p>
      <w:pPr>
        <w:jc w:val="both"/>
        <w:ind w:firstLine="403"/>
        <w:spacing w:after="0" w:line="272" w:lineRule="auto"/>
        <w:rPr>
          <w:sz w:val="20"/>
          <w:szCs w:val="20"/>
          <w:color w:val="auto"/>
        </w:rPr>
      </w:pPr>
      <w:r>
        <w:rPr>
          <w:rFonts w:ascii="Arial" w:cs="Arial" w:eastAsia="Arial" w:hAnsi="Arial"/>
          <w:sz w:val="17"/>
          <w:szCs w:val="17"/>
          <w:color w:val="auto"/>
        </w:rPr>
        <w:t>Changes in market conditions throughout 2019 impacted our long-term forecasts of future operating results with regard to the reduction of significant sales volume to a large customer of our United States (U.S.) vinyl operations, and lower-than-expected operating performance of our NA Cabinet Components business. The World Health Organization's (WHO), declaration of COVID-19 as a global pandemic also created significant changes in market conditions throughout 2020 that have continued into 2021. We determined that these conditions were indicators of a triggering event in 2019 and 2020 which necessitated an evaluation of certain long-term assets used in these businesses for potential impairment. We compared the projected undiscounted cash flows we expected to realize associated with these assets over the remaining useful lives of the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primary operating assets to the net book value of the long-term assets, including goodwill, and determined that these assets were not impaired. There were no corresponding indicators of a triggering event in 2021. Therefore, we did not record an impairment charge related to property, plant and equipment or intangible assets with defined lives during the years ended October 31, 2021, 2020 and 2019.</w:t>
      </w:r>
    </w:p>
    <w:p>
      <w:pPr>
        <w:spacing w:after="0" w:line="128"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 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37"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Property, plant and equipment is stated at cost and is depreciated using the straight-line method over the estimated useful lives of the assets. We capitalize betterments which extend the useful lives or significantly improve the operational efficiency of assets. We expense repair and maintenance costs as incurred.</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useful lives of our primary asset categories at October 31,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Useful Life (in</w:t>
            </w:r>
          </w:p>
        </w:tc>
      </w:tr>
      <w:tr>
        <w:trPr>
          <w:trHeight w:val="187"/>
        </w:trPr>
        <w:tc>
          <w:tcPr>
            <w:tcW w:w="95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Years)</w:t>
            </w:r>
          </w:p>
        </w:tc>
      </w:tr>
      <w:tr>
        <w:trPr>
          <w:trHeight w:val="223"/>
        </w:trPr>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improvements</w:t>
            </w:r>
          </w:p>
        </w:tc>
        <w:tc>
          <w:tcPr>
            <w:tcW w:w="1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7 to 25</w:t>
            </w:r>
          </w:p>
        </w:tc>
      </w:tr>
      <w:tr>
        <w:trPr>
          <w:trHeight w:val="228"/>
        </w:trPr>
        <w:tc>
          <w:tcPr>
            <w:tcW w:w="9500" w:type="dxa"/>
            <w:vAlign w:val="bottom"/>
          </w:tcPr>
          <w:p>
            <w:pPr>
              <w:ind w:left="420"/>
              <w:spacing w:after="0"/>
              <w:rPr>
                <w:sz w:val="20"/>
                <w:szCs w:val="20"/>
                <w:color w:val="auto"/>
              </w:rPr>
            </w:pPr>
            <w:r>
              <w:rPr>
                <w:rFonts w:ascii="Arial" w:cs="Arial" w:eastAsia="Arial" w:hAnsi="Arial"/>
                <w:sz w:val="18"/>
                <w:szCs w:val="18"/>
                <w:color w:val="auto"/>
              </w:rPr>
              <w:t>Buildings</w:t>
            </w:r>
          </w:p>
        </w:tc>
        <w:tc>
          <w:tcPr>
            <w:tcW w:w="1740" w:type="dxa"/>
            <w:vAlign w:val="bottom"/>
          </w:tcPr>
          <w:p>
            <w:pPr>
              <w:ind w:left="800"/>
              <w:spacing w:after="0"/>
              <w:rPr>
                <w:sz w:val="20"/>
                <w:szCs w:val="20"/>
                <w:color w:val="auto"/>
              </w:rPr>
            </w:pPr>
            <w:r>
              <w:rPr>
                <w:rFonts w:ascii="Arial" w:cs="Arial" w:eastAsia="Arial" w:hAnsi="Arial"/>
                <w:sz w:val="18"/>
                <w:szCs w:val="18"/>
                <w:color w:val="auto"/>
              </w:rPr>
              <w:t>25 to 40</w:t>
            </w:r>
          </w:p>
        </w:tc>
      </w:tr>
      <w:tr>
        <w:trPr>
          <w:trHeight w:val="228"/>
        </w:trPr>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 improvements</w:t>
            </w:r>
          </w:p>
        </w:tc>
        <w:tc>
          <w:tcPr>
            <w:tcW w:w="1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5 to 20</w:t>
            </w:r>
          </w:p>
        </w:tc>
      </w:tr>
      <w:tr>
        <w:trPr>
          <w:trHeight w:val="230"/>
        </w:trPr>
        <w:tc>
          <w:tcPr>
            <w:tcW w:w="950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740" w:type="dxa"/>
            <w:vAlign w:val="bottom"/>
          </w:tcPr>
          <w:p>
            <w:pPr>
              <w:ind w:left="820"/>
              <w:spacing w:after="0"/>
              <w:rPr>
                <w:sz w:val="20"/>
                <w:szCs w:val="20"/>
                <w:color w:val="auto"/>
              </w:rPr>
            </w:pPr>
            <w:r>
              <w:rPr>
                <w:rFonts w:ascii="Arial" w:cs="Arial" w:eastAsia="Arial" w:hAnsi="Arial"/>
                <w:sz w:val="18"/>
                <w:szCs w:val="18"/>
                <w:color w:val="auto"/>
              </w:rPr>
              <w:t>2 to 15</w:t>
            </w:r>
          </w:p>
        </w:tc>
      </w:tr>
    </w:tbl>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Leasehold improvements are depreciated over the shorter of their estimated useful lives or the term of the lease.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69"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6"/>
          <w:szCs w:val="16"/>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15"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As a result of quantitative assessments performed during the year ended October 31, 2019, we recorded impairment charges totaling $74.6 million during the year ended October 31, 2019, reducing the goodwill balance applicable to the reporting unit included in our NA Cabinet Components operating segment from $113.7 million to $39.1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287" w:lineRule="auto"/>
        <w:rPr>
          <w:sz w:val="20"/>
          <w:szCs w:val="20"/>
          <w:color w:val="auto"/>
        </w:rPr>
      </w:pPr>
      <w:r>
        <w:rPr>
          <w:rFonts w:ascii="Arial" w:cs="Arial" w:eastAsia="Arial" w:hAnsi="Arial"/>
          <w:sz w:val="16"/>
          <w:szCs w:val="16"/>
          <w:color w:val="auto"/>
        </w:rPr>
        <w:t>At our annual testing date, August 31, 2021,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the two reporting units in the NA Fenestration segment and one of the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these three reporting units. Also, at our annual testing date, we performed a quantitative assessment of the reporting unit in our NA Cabinet Components segment primarily due to the recent impairment of goodwill during the second and fourth quarters of 2019 and the history of a narrow margin of fair value above carrying value in quantitative assessments performed in prior years. We also elected to update the quantitative assessment of the other reportable unit in the EU Fenestration operating segment. We determined that the fair value of these reporting units exceeded their carrying values by approximately 17.6% and 113.6%, respectively. We concluded that no impairment was necessary.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w:t>
      </w:r>
    </w:p>
    <w:p>
      <w:pPr>
        <w:spacing w:after="0" w:line="169"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Impact</w:t>
      </w:r>
    </w:p>
    <w:p>
      <w:pPr>
        <w:spacing w:after="0" w:line="16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and advised aggressive containment action. The COVID-19 pandemic and its impacts are continuing to have an adverse effect on many sectors of the economy. Measures providing for business shutdowns generally exclude certain essential services commonly including critical infrastructure such as construction and the businesses that support that critical infrastructure. To date, we have not experienced significant challenges or expenses implementing crisis management plans intended for containment and prevention.</w:t>
      </w:r>
    </w:p>
    <w:p>
      <w:pPr>
        <w:spacing w:after="0" w:line="137"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The health and safety of our employees are high priority. In response to the COVID-19 pandemic, we have taken additional measures to limit possible infections at the workplace by implementing social distancing, sanitizing the workspace, and requiring employees to report any COVID-19 symptoms to ensure safety as infection surges dictate. We continue to assess and refine these measures on an ongoing basis as public health guidance and applicable laws and regulations continue to evolve.</w:t>
      </w:r>
    </w:p>
    <w:p>
      <w:pPr>
        <w:spacing w:after="0" w:line="131"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7"/>
          <w:szCs w:val="17"/>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w:t>
      </w:r>
    </w:p>
    <w:p>
      <w:pPr>
        <w:spacing w:after="0" w:line="169"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69"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We sponsor a defined benefit pension plan and an unfunded postretirement plan that provides health care and life insurance benefits for a limited pool of eligible retirees and dependents. To measure our liabilities associated with these plans, we make assumptions related to future events, including expected return on plan assets, rate of compensation increases, and healthcare cost trend rates. The discount rate reflects the rate at which benefits could be effectively settled on the measurement date. We determine our discount rate using a RATE: Link Model whereby target yields are developed from bonds across a range of maturity points, and a curve is fitted to those targets. Spot rates (zero coupon bond yields) are developed from the curve and used to discount benefit payments associated with each future year.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9" w:lineRule="exact"/>
        <w:rPr>
          <w:sz w:val="20"/>
          <w:szCs w:val="20"/>
          <w:color w:val="auto"/>
        </w:rPr>
      </w:pPr>
    </w:p>
    <w:p>
      <w:pPr>
        <w:jc w:val="both"/>
        <w:ind w:firstLine="403"/>
        <w:spacing w:after="0" w:line="284" w:lineRule="auto"/>
        <w:rPr>
          <w:sz w:val="20"/>
          <w:szCs w:val="20"/>
          <w:color w:val="auto"/>
        </w:rPr>
      </w:pPr>
      <w:r>
        <w:rPr>
          <w:rFonts w:ascii="Arial" w:cs="Arial" w:eastAsia="Arial" w:hAnsi="Arial"/>
          <w:sz w:val="17"/>
          <w:szCs w:val="17"/>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jc w:val="both"/>
        <w:ind w:firstLine="403"/>
        <w:spacing w:after="0" w:line="267" w:lineRule="auto"/>
        <w:rPr>
          <w:sz w:val="20"/>
          <w:szCs w:val="20"/>
          <w:color w:val="auto"/>
        </w:rPr>
      </w:pPr>
      <w:r>
        <w:rPr>
          <w:rFonts w:ascii="Arial" w:cs="Arial" w:eastAsia="Arial" w:hAnsi="Arial"/>
          <w:sz w:val="17"/>
          <w:szCs w:val="17"/>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w:t>
      </w:r>
    </w:p>
    <w:p>
      <w:pPr>
        <w:spacing w:after="0" w:line="131"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We have recorded a liability for uncertain tax positions which stem from certain federal and state tax items related to the interpretation of tax laws and regulations. We continue to evaluate our positions regarding various state tax interpretations at each reporting date, until the applicable statute of limitations lapse.</w:t>
      </w:r>
    </w:p>
    <w:p>
      <w:pPr>
        <w:spacing w:after="0" w:line="101"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Final regulations were published by the Internal Revenue Service regarding Uniform Capitalization (UNICAP) that became effective during fiscal 2020. On March 27, 2020, the Coronavirus Aid, Relief, and Economic Security (CARES) Act was signed into law. In addition, the Consolidated Appropriations Act, 2021 (CAA) was signed into law on December 27, 2020 and the American Rescue Plan Act of 2021 (American Rescue Plan) was signed into law on March 11, 2021. We evaluated the UNICAP regulations, the CARES Act, the CAA and the American Rescue Plan and determined that there were no material impacts on our condensed consolidated financial statements.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69" w:lineRule="exact"/>
        <w:rPr>
          <w:sz w:val="20"/>
          <w:szCs w:val="20"/>
          <w:color w:val="auto"/>
        </w:rPr>
      </w:pPr>
    </w:p>
    <w:p>
      <w:pPr>
        <w:jc w:val="both"/>
        <w:ind w:firstLine="403"/>
        <w:spacing w:after="0" w:line="272" w:lineRule="auto"/>
        <w:rPr>
          <w:sz w:val="20"/>
          <w:szCs w:val="20"/>
          <w:color w:val="auto"/>
        </w:rPr>
      </w:pPr>
      <w:r>
        <w:rPr>
          <w:rFonts w:ascii="Arial" w:cs="Arial" w:eastAsia="Arial" w:hAnsi="Arial"/>
          <w:sz w:val="17"/>
          <w:szCs w:val="17"/>
          <w:color w:val="auto"/>
        </w:rPr>
        <w:t>We have historically used financial and commodity-based derivative contracts to manage our exposure to fluctuations in foreign currency exchange rates and aluminum prices. All derivatives are measured at fair value on a recurring basis. We have not designated the derivative instruments we use as cash flow hedges under ASC Topic 815 “Derivatives and Hedging”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6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Our consolidated financial statements are presented in our reporting currency, the United States Dollar. Our German and U.K.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37"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Occasionally, we enter into transactions that are denominated in currencies other than our functional currency.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income (loss) under the caption, “Other, net.”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ind w:firstLine="403"/>
        <w:spacing w:after="0" w:line="283" w:lineRule="auto"/>
        <w:rPr>
          <w:sz w:val="20"/>
          <w:szCs w:val="20"/>
          <w:color w:val="auto"/>
        </w:rPr>
      </w:pPr>
      <w:r>
        <w:rPr>
          <w:rFonts w:ascii="Arial" w:cs="Arial" w:eastAsia="Arial" w:hAnsi="Arial"/>
          <w:sz w:val="16"/>
          <w:szCs w:val="16"/>
          <w:color w:val="auto"/>
        </w:rPr>
        <w:t>We have issued stock-based compensation in the form of stock options to directors, employees and officers, and non-vested restricted stock awards to certain key employees and officers. We apply the provisions of ASC Topic 718 “Compensation - Stock Compensation”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26"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2021 and 2020. See Note 13, “Stock-based Compensation.”</w:t>
      </w:r>
    </w:p>
    <w:p>
      <w:pPr>
        <w:spacing w:after="0" w:line="131"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In addition, we have granted performance share awards which use return on net assets as the vesting condition and the awards settle in cash. We use a Monte Carlo simulation model to value the market condition and our stock price on the date of grant to value the internal performance condition and recognize expense ratably over the vesting period of three years. We estimate that the performance measures will be met and shares will vest at target until the year of settlement (third year of cliff vesting). As of October 31, 2021, we have deemed 183,000 performance share awards related to the December 2018 grants as probable to vest.</w:t>
      </w:r>
    </w:p>
    <w:p>
      <w:pPr>
        <w:spacing w:after="0" w:line="137"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We have also granted performance restricted stock units which settle in shares upon vesting. These awards cliff vest upon a three-year service period with the absolute performance of our common stock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use a Monte Carlo simulation model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October 31, 2021, we have deemed 87,919 shares related to the December 2018 grants of performance restricted stock units as probable to vest.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69"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 Data</w:t>
      </w:r>
    </w:p>
    <w:p>
      <w:pPr>
        <w:spacing w:after="0" w:line="169"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supplemental cash flow information for the years ended October 31, 2021, 2020 and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October 31,</w:t>
            </w:r>
          </w:p>
        </w:tc>
        <w:tc>
          <w:tcPr>
            <w:tcW w:w="620" w:type="dxa"/>
            <w:vAlign w:val="bottom"/>
            <w:tcBorders>
              <w:bottom w:val="single" w:sz="8" w:color="auto"/>
            </w:tcBorders>
          </w:tcPr>
          <w:p>
            <w:pPr>
              <w:spacing w:after="0"/>
              <w:rPr>
                <w:sz w:val="20"/>
                <w:szCs w:val="20"/>
                <w:color w:val="auto"/>
              </w:rPr>
            </w:pPr>
          </w:p>
        </w:tc>
      </w:tr>
      <w:tr>
        <w:trPr>
          <w:trHeight w:val="222"/>
        </w:trPr>
        <w:tc>
          <w:tcPr>
            <w:tcW w:w="8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2019</w:t>
            </w: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w:t>
            </w:r>
          </w:p>
        </w:tc>
      </w:tr>
      <w:tr>
        <w:trPr>
          <w:trHeight w:val="228"/>
        </w:trPr>
        <w:tc>
          <w:tcPr>
            <w:tcW w:w="810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5,081</w:t>
            </w:r>
          </w:p>
        </w:tc>
      </w:tr>
      <w:tr>
        <w:trPr>
          <w:trHeight w:val="22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income tax refunds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28"/>
        </w:trPr>
        <w:tc>
          <w:tcPr>
            <w:tcW w:w="8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Noncash investing and financing activities: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8"/>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capitalized expenditures in accounts payable and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participate in any related party transactions during the years ended October 31, 3021, 2020 and 2019.</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69" w:lineRule="exact"/>
        <w:rPr>
          <w:sz w:val="20"/>
          <w:szCs w:val="20"/>
          <w:color w:val="auto"/>
        </w:rPr>
      </w:pPr>
    </w:p>
    <w:p>
      <w:pPr>
        <w:ind w:firstLine="403"/>
        <w:spacing w:after="0" w:line="275" w:lineRule="auto"/>
        <w:rPr>
          <w:sz w:val="20"/>
          <w:szCs w:val="20"/>
          <w:color w:val="auto"/>
        </w:rPr>
      </w:pPr>
      <w:r>
        <w:rPr>
          <w:rFonts w:ascii="Arial" w:cs="Arial" w:eastAsia="Arial" w:hAnsi="Arial"/>
          <w:sz w:val="18"/>
          <w:szCs w:val="18"/>
          <w:color w:val="auto"/>
        </w:rPr>
        <w:t>We have evaluated events occurring after the balance sheet date for possible disclosure as a subsequent event through the date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 and Allowance for Credit Losses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consisted of the following as of October 31, 2021 and 2020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8"/>
          </w:tcPr>
          <w:p>
            <w:pPr>
              <w:jc w:val="right"/>
              <w:ind w:right="190"/>
              <w:spacing w:after="0"/>
              <w:rPr>
                <w:sz w:val="20"/>
                <w:szCs w:val="20"/>
                <w:color w:val="auto"/>
              </w:rPr>
            </w:pPr>
            <w:r>
              <w:rPr>
                <w:rFonts w:ascii="Arial" w:cs="Arial" w:eastAsia="Arial" w:hAnsi="Arial"/>
                <w:sz w:val="14"/>
                <w:szCs w:val="14"/>
                <w:b w:val="1"/>
                <w:bCs w:val="1"/>
                <w:color w:val="auto"/>
              </w:rPr>
              <w:t>October 31,</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2021</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receivables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88,287</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88,448</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Less: Allowance for credit losses</w:t>
            </w: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Accounts receivable, net</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108,309</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88,287</w:t>
            </w:r>
          </w:p>
        </w:tc>
        <w:tc>
          <w:tcPr>
            <w:tcW w:w="12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Arial" w:cs="Arial" w:eastAsia="Arial" w:hAnsi="Arial"/>
                <w:sz w:val="18"/>
                <w:szCs w:val="18"/>
                <w:color w:val="auto"/>
                <w:w w:val="96"/>
              </w:rPr>
              <w:t>The changes in our allowance for credit losses were as follows (in thousands):</w:t>
            </w: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rPr>
              <w:t>Year Ended October 31,</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balance as of November 1, 2020, 2019 and 2018</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420"/>
              <w:spacing w:after="0" w:line="175" w:lineRule="exact"/>
              <w:rPr>
                <w:sz w:val="20"/>
                <w:szCs w:val="20"/>
                <w:color w:val="auto"/>
              </w:rPr>
            </w:pPr>
            <w:r>
              <w:rPr>
                <w:rFonts w:ascii="Arial" w:cs="Arial" w:eastAsia="Arial" w:hAnsi="Arial"/>
                <w:sz w:val="18"/>
                <w:szCs w:val="18"/>
                <w:color w:val="auto"/>
              </w:rPr>
              <w:t>Current period provision for expected credit</w:t>
            </w:r>
          </w:p>
        </w:tc>
        <w:tc>
          <w:tcPr>
            <w:tcW w:w="88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8"/>
                <w:szCs w:val="18"/>
                <w:color w:val="auto"/>
              </w:rPr>
              <w:t>losses</w:t>
            </w:r>
          </w:p>
        </w:tc>
        <w:tc>
          <w:tcPr>
            <w:tcW w:w="8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written off</w:t>
            </w: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8"/>
        </w:trPr>
        <w:tc>
          <w:tcPr>
            <w:tcW w:w="5580" w:type="dxa"/>
            <w:vAlign w:val="bottom"/>
          </w:tcPr>
          <w:p>
            <w:pPr>
              <w:ind w:left="420"/>
              <w:spacing w:after="0"/>
              <w:rPr>
                <w:sz w:val="20"/>
                <w:szCs w:val="20"/>
                <w:color w:val="auto"/>
              </w:rPr>
            </w:pPr>
            <w:r>
              <w:rPr>
                <w:rFonts w:ascii="Arial" w:cs="Arial" w:eastAsia="Arial" w:hAnsi="Arial"/>
                <w:sz w:val="18"/>
                <w:szCs w:val="18"/>
                <w:color w:val="auto"/>
              </w:rPr>
              <w:t>Recoveries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6"/>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Balance as of October 31, 2021, 2020 and 2019</w:t>
            </w:r>
          </w:p>
        </w:tc>
        <w:tc>
          <w:tcPr>
            <w:tcW w:w="8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5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460" w:type="dxa"/>
            <w:vAlign w:val="bottom"/>
            <w:gridSpan w:val="2"/>
          </w:tcPr>
          <w:p>
            <w:pPr>
              <w:ind w:left="420"/>
              <w:spacing w:after="0"/>
              <w:rPr>
                <w:sz w:val="20"/>
                <w:szCs w:val="20"/>
                <w:color w:val="auto"/>
              </w:rPr>
            </w:pPr>
            <w:r>
              <w:rPr>
                <w:rFonts w:ascii="Arial" w:cs="Arial" w:eastAsia="Arial" w:hAnsi="Arial"/>
                <w:sz w:val="18"/>
                <w:szCs w:val="18"/>
                <w:color w:val="auto"/>
                <w:w w:val="90"/>
              </w:rPr>
              <w:t>Inventories consisted of the following at October 31, 2021 and 2020 (in thousands):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October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43,499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95,465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Inventory reserves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540"/>
              <w:spacing w:after="0"/>
              <w:rPr>
                <w:sz w:val="20"/>
                <w:szCs w:val="20"/>
                <w:color w:val="auto"/>
              </w:rPr>
            </w:pPr>
            <w:r>
              <w:rPr>
                <w:rFonts w:ascii="Arial" w:cs="Arial" w:eastAsia="Arial" w:hAnsi="Arial"/>
                <w:sz w:val="18"/>
                <w:szCs w:val="18"/>
                <w:color w:val="auto"/>
              </w:rPr>
              <w:t>Inventories, net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92,529</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420"/>
              <w:spacing w:after="0"/>
              <w:rPr>
                <w:sz w:val="20"/>
                <w:szCs w:val="20"/>
                <w:color w:val="auto"/>
              </w:rPr>
            </w:pPr>
            <w:r>
              <w:rPr>
                <w:rFonts w:ascii="Arial" w:cs="Arial" w:eastAsia="Arial" w:hAnsi="Arial"/>
                <w:sz w:val="18"/>
                <w:szCs w:val="18"/>
                <w:color w:val="auto"/>
                <w:w w:val="96"/>
              </w:rPr>
              <w:t>The changes in our inventory reserve accounts were as follows (in thousands):</w:t>
            </w: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6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Year Ended October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 2019 and 2018</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8"/>
                <w:szCs w:val="18"/>
                <w:color w:val="auto"/>
              </w:rPr>
              <w:t>Charged to cost of sales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2,713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(3,060)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color w:val="auto"/>
                <w:w w:val="93"/>
              </w:rPr>
              <w:t>(19)</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2021, 2020 and 2019</w:t>
            </w: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6,484</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at October 31, 2021 and 2020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w w:val="93"/>
              </w:rPr>
              <w:t>October 31,</w:t>
            </w:r>
          </w:p>
        </w:tc>
        <w:tc>
          <w:tcPr>
            <w:tcW w:w="1080" w:type="dxa"/>
            <w:vAlign w:val="bottom"/>
            <w:tcBorders>
              <w:bottom w:val="single" w:sz="8" w:color="auto"/>
            </w:tcBorders>
          </w:tcPr>
          <w:p>
            <w:pPr>
              <w:spacing w:after="0"/>
              <w:rPr>
                <w:sz w:val="16"/>
                <w:szCs w:val="16"/>
                <w:color w:val="auto"/>
              </w:rPr>
            </w:pPr>
          </w:p>
        </w:tc>
      </w:tr>
      <w:tr>
        <w:trPr>
          <w:trHeight w:val="186"/>
        </w:trPr>
        <w:tc>
          <w:tcPr>
            <w:tcW w:w="73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3"/>
        </w:trPr>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and land improvements</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r>
      <w:tr>
        <w:trPr>
          <w:trHeight w:val="228"/>
        </w:trPr>
        <w:tc>
          <w:tcPr>
            <w:tcW w:w="7380" w:type="dxa"/>
            <w:vAlign w:val="bottom"/>
          </w:tcPr>
          <w:p>
            <w:pPr>
              <w:ind w:left="420"/>
              <w:spacing w:after="0"/>
              <w:rPr>
                <w:sz w:val="20"/>
                <w:szCs w:val="20"/>
                <w:color w:val="auto"/>
              </w:rPr>
            </w:pPr>
            <w:r>
              <w:rPr>
                <w:rFonts w:ascii="Arial" w:cs="Arial" w:eastAsia="Arial" w:hAnsi="Arial"/>
                <w:sz w:val="18"/>
                <w:szCs w:val="18"/>
                <w:color w:val="auto"/>
              </w:rPr>
              <w:t>Buildings and building improvements</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101,740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100,576</w:t>
            </w:r>
          </w:p>
        </w:tc>
      </w:tr>
      <w:tr>
        <w:trPr>
          <w:trHeight w:val="228"/>
        </w:trPr>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and equipment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386,996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398,950</w:t>
            </w:r>
          </w:p>
        </w:tc>
      </w:tr>
      <w:tr>
        <w:trPr>
          <w:trHeight w:val="228"/>
        </w:trPr>
        <w:tc>
          <w:tcPr>
            <w:tcW w:w="73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Construction in progress</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w:t>
            </w:r>
          </w:p>
        </w:tc>
      </w:tr>
      <w:tr>
        <w:trPr>
          <w:trHeight w:val="222"/>
        </w:trPr>
        <w:tc>
          <w:tcPr>
            <w:tcW w:w="73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Property, plant and equipment, gross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515,123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524,248</w:t>
            </w:r>
          </w:p>
        </w:tc>
      </w:tr>
      <w:tr>
        <w:trPr>
          <w:trHeight w:val="228"/>
        </w:trPr>
        <w:tc>
          <w:tcPr>
            <w:tcW w:w="73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336,493</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340,144</w:t>
            </w:r>
          </w:p>
        </w:tc>
      </w:tr>
      <w:tr>
        <w:trPr>
          <w:trHeight w:val="247"/>
        </w:trPr>
        <w:tc>
          <w:tcPr>
            <w:tcW w:w="73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Property, plant and equipment, net</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178,630</w:t>
            </w: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184,104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October 31, 2021, 2020, and 2019 was $28.8 million, $31.8 million and $34.3 million, respectively.</w:t>
      </w:r>
    </w:p>
    <w:p>
      <w:pPr>
        <w:spacing w:after="0" w:line="181"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 October 31, 2021, 2020, and 2019. See further discussion at Note 1, “Nature of Operations, Basis of Presentation and Significant Accounting Policies - Long-Lived Assets - Property, Plant and Equipment and Intangible Assets with Defined Lives.”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93"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01" w:lineRule="exact"/>
        <w:rPr>
          <w:sz w:val="20"/>
          <w:szCs w:val="20"/>
          <w:color w:val="auto"/>
        </w:rPr>
      </w:pPr>
    </w:p>
    <w:p>
      <w:pPr>
        <w:jc w:val="both"/>
        <w:ind w:firstLine="403"/>
        <w:spacing w:after="0" w:line="295" w:lineRule="auto"/>
        <w:rPr>
          <w:sz w:val="20"/>
          <w:szCs w:val="20"/>
          <w:color w:val="auto"/>
        </w:rPr>
      </w:pPr>
      <w:r>
        <w:rPr>
          <w:rFonts w:ascii="Arial" w:cs="Arial" w:eastAsia="Arial" w:hAnsi="Arial"/>
          <w:sz w:val="16"/>
          <w:szCs w:val="16"/>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05"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8"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31"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The ROU asset is measured at the initial amount of the lease liability (calculated as the present value of lease payments over the term of the lease)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and we determined there have been no triggering events for impairment.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table below presents the lease-related assets and liabilities recorded on the balance sheet at October 31, 2021 and 2020 (in thousands):</w:t>
      </w:r>
    </w:p>
    <w:p>
      <w:pPr>
        <w:spacing w:after="0" w:line="74"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October 31,</w:t>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Leases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Assets</w:t>
      </w:r>
    </w:p>
    <w:p>
      <w:pPr>
        <w:ind w:left="240"/>
        <w:spacing w:after="0" w:line="228" w:lineRule="auto"/>
        <w:rPr>
          <w:sz w:val="20"/>
          <w:szCs w:val="20"/>
          <w:color w:val="auto"/>
        </w:rPr>
      </w:pPr>
      <w:r>
        <w:rPr>
          <w:rFonts w:ascii="Arial" w:cs="Arial" w:eastAsia="Arial" w:hAnsi="Arial"/>
          <w:sz w:val="33"/>
          <w:szCs w:val="33"/>
          <w:color w:val="auto"/>
          <w:vertAlign w:val="subscript"/>
        </w:rPr>
        <w:t>assets</w:t>
      </w:r>
      <w:r>
        <w:rPr>
          <w:rFonts w:ascii="Arial" w:cs="Arial" w:eastAsia="Arial" w:hAnsi="Arial"/>
          <w:sz w:val="17"/>
          <w:szCs w:val="17"/>
          <w:color w:val="auto"/>
        </w:rPr>
        <w:t>Operating lease</w:t>
      </w:r>
    </w:p>
    <w:p>
      <w:pPr>
        <w:spacing w:after="0" w:line="40" w:lineRule="exact"/>
        <w:rPr>
          <w:sz w:val="20"/>
          <w:szCs w:val="20"/>
          <w:color w:val="auto"/>
        </w:rPr>
      </w:pPr>
    </w:p>
    <w:p>
      <w:pPr>
        <w:ind w:left="420" w:firstLine="215"/>
        <w:spacing w:after="0" w:line="444" w:lineRule="auto"/>
        <w:rPr>
          <w:sz w:val="20"/>
          <w:szCs w:val="20"/>
          <w:color w:val="auto"/>
        </w:rPr>
      </w:pPr>
      <w:r>
        <w:rPr>
          <w:rFonts w:ascii="Arial" w:cs="Arial" w:eastAsia="Arial" w:hAnsi="Arial"/>
          <w:sz w:val="15"/>
          <w:szCs w:val="15"/>
          <w:color w:val="auto"/>
        </w:rPr>
        <w:t xml:space="preserve">Finance lease assets </w:t>
      </w:r>
      <w:r>
        <w:rPr>
          <w:rFonts w:ascii="Arial" w:cs="Arial" w:eastAsia="Arial" w:hAnsi="Arial"/>
          <w:sz w:val="15"/>
          <w:szCs w:val="15"/>
          <w:b w:val="1"/>
          <w:bCs w:val="1"/>
          <w:color w:val="auto"/>
        </w:rPr>
        <w:t>Total lease assets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Borders>
              <w:bottom w:val="single" w:sz="8" w:color="auto"/>
            </w:tcBorders>
          </w:tcPr>
          <w:p>
            <w:pPr>
              <w:ind w:left="420"/>
              <w:spacing w:after="0" w:line="194" w:lineRule="exact"/>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2020</w:t>
            </w:r>
          </w:p>
        </w:tc>
      </w:tr>
      <w:tr>
        <w:trPr>
          <w:trHeight w:val="410"/>
        </w:trPr>
        <w:tc>
          <w:tcPr>
            <w:tcW w:w="4340" w:type="dxa"/>
            <w:vAlign w:val="bottom"/>
            <w:gridSpan w:val="2"/>
          </w:tcPr>
          <w:p>
            <w:pPr>
              <w:ind w:left="420"/>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52,708</w:t>
            </w:r>
          </w:p>
        </w:tc>
        <w:tc>
          <w:tcPr>
            <w:tcW w:w="12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51,824</w:t>
            </w:r>
          </w:p>
        </w:tc>
      </w:tr>
      <w:tr>
        <w:trPr>
          <w:trHeight w:val="295"/>
        </w:trPr>
        <w:tc>
          <w:tcPr>
            <w:tcW w:w="4340" w:type="dxa"/>
            <w:vAlign w:val="bottom"/>
            <w:gridSpan w:val="2"/>
          </w:tcPr>
          <w:p>
            <w:pPr>
              <w:ind w:left="420"/>
              <w:spacing w:after="0"/>
              <w:rPr>
                <w:sz w:val="20"/>
                <w:szCs w:val="20"/>
                <w:color w:val="auto"/>
              </w:rPr>
            </w:pPr>
            <w:r>
              <w:rPr>
                <w:rFonts w:ascii="Arial" w:cs="Arial" w:eastAsia="Arial" w:hAnsi="Arial"/>
                <w:sz w:val="18"/>
                <w:szCs w:val="18"/>
                <w:color w:val="auto"/>
                <w:w w:val="99"/>
              </w:rPr>
              <w:t>Property, plant and equipment (less accumulated</w:t>
            </w:r>
          </w:p>
        </w:tc>
        <w:tc>
          <w:tcPr>
            <w:tcW w:w="8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16,921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15,609</w:t>
            </w:r>
          </w:p>
        </w:tc>
      </w:tr>
      <w:tr>
        <w:trPr>
          <w:trHeight w:val="188"/>
        </w:trPr>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depreciation of $2,300 and $1,089)</w:t>
            </w: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42"/>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67,433</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-426085</wp:posOffset>
            </wp:positionV>
            <wp:extent cx="7132955" cy="221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22161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-784225</wp:posOffset>
            </wp:positionV>
            <wp:extent cx="7132955" cy="136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080" w:space="22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34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2"/>
        </w:trPr>
        <w:tc>
          <w:tcPr>
            <w:tcW w:w="2340" w:type="dxa"/>
            <w:vAlign w:val="bottom"/>
          </w:tcPr>
          <w:p>
            <w:pPr>
              <w:ind w:left="420"/>
              <w:spacing w:after="0" w:line="201" w:lineRule="exact"/>
              <w:rPr>
                <w:sz w:val="20"/>
                <w:szCs w:val="20"/>
                <w:color w:val="auto"/>
              </w:rPr>
            </w:pPr>
            <w:r>
              <w:rPr>
                <w:rFonts w:ascii="Arial" w:cs="Arial" w:eastAsia="Arial" w:hAnsi="Arial"/>
                <w:sz w:val="18"/>
                <w:szCs w:val="18"/>
                <w:b w:val="1"/>
                <w:bCs w:val="1"/>
                <w:color w:val="auto"/>
              </w:rPr>
              <w:t>Liabilities</w:t>
            </w:r>
          </w:p>
        </w:tc>
        <w:tc>
          <w:tcPr>
            <w:tcW w:w="4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23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Current</w:t>
            </w:r>
          </w:p>
        </w:tc>
        <w:tc>
          <w:tcPr>
            <w:tcW w:w="4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2340" w:type="dxa"/>
            <w:vAlign w:val="bottom"/>
          </w:tcPr>
          <w:p>
            <w:pPr>
              <w:ind w:left="760"/>
              <w:spacing w:after="0" w:line="201" w:lineRule="exact"/>
              <w:rPr>
                <w:sz w:val="20"/>
                <w:szCs w:val="20"/>
                <w:color w:val="auto"/>
              </w:rPr>
            </w:pPr>
            <w:r>
              <w:rPr>
                <w:rFonts w:ascii="Arial" w:cs="Arial" w:eastAsia="Arial" w:hAnsi="Arial"/>
                <w:sz w:val="18"/>
                <w:szCs w:val="18"/>
                <w:color w:val="auto"/>
              </w:rPr>
              <w:t>Operating</w:t>
            </w:r>
          </w:p>
        </w:tc>
        <w:tc>
          <w:tcPr>
            <w:tcW w:w="4300" w:type="dxa"/>
            <w:vAlign w:val="bottom"/>
          </w:tcPr>
          <w:p>
            <w:pPr>
              <w:ind w:left="380"/>
              <w:spacing w:after="0" w:line="201" w:lineRule="exact"/>
              <w:rPr>
                <w:sz w:val="20"/>
                <w:szCs w:val="20"/>
                <w:color w:val="auto"/>
              </w:rPr>
            </w:pPr>
            <w:r>
              <w:rPr>
                <w:rFonts w:ascii="Arial" w:cs="Arial" w:eastAsia="Arial" w:hAnsi="Arial"/>
                <w:sz w:val="18"/>
                <w:szCs w:val="18"/>
                <w:color w:val="auto"/>
              </w:rPr>
              <w:t>Current operating lease liabilities</w:t>
            </w:r>
          </w:p>
        </w:tc>
        <w:tc>
          <w:tcPr>
            <w:tcW w:w="110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8,196</w:t>
            </w:r>
          </w:p>
        </w:tc>
        <w:tc>
          <w:tcPr>
            <w:tcW w:w="120" w:type="dxa"/>
            <w:vAlign w:val="bottom"/>
          </w:tcPr>
          <w:p>
            <w:pPr>
              <w:spacing w:after="0"/>
              <w:rPr>
                <w:sz w:val="17"/>
                <w:szCs w:val="17"/>
                <w:color w:val="auto"/>
              </w:rPr>
            </w:pPr>
          </w:p>
        </w:tc>
        <w:tc>
          <w:tcPr>
            <w:tcW w:w="11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7,459</w:t>
            </w:r>
          </w:p>
        </w:tc>
      </w:tr>
      <w:tr>
        <w:trPr>
          <w:trHeight w:val="228"/>
        </w:trPr>
        <w:tc>
          <w:tcPr>
            <w:tcW w:w="23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Finance</w:t>
            </w:r>
          </w:p>
        </w:tc>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02"/>
        </w:trPr>
        <w:tc>
          <w:tcPr>
            <w:tcW w:w="2340" w:type="dxa"/>
            <w:vAlign w:val="bottom"/>
          </w:tcPr>
          <w:p>
            <w:pPr>
              <w:ind w:left="540"/>
              <w:spacing w:after="0" w:line="201" w:lineRule="exact"/>
              <w:rPr>
                <w:sz w:val="20"/>
                <w:szCs w:val="20"/>
                <w:color w:val="auto"/>
              </w:rPr>
            </w:pPr>
            <w:r>
              <w:rPr>
                <w:rFonts w:ascii="Arial" w:cs="Arial" w:eastAsia="Arial" w:hAnsi="Arial"/>
                <w:sz w:val="18"/>
                <w:szCs w:val="18"/>
                <w:color w:val="auto"/>
              </w:rPr>
              <w:t>Noncurrent</w:t>
            </w:r>
          </w:p>
        </w:tc>
        <w:tc>
          <w:tcPr>
            <w:tcW w:w="4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23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Operating</w:t>
            </w:r>
          </w:p>
        </w:tc>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44,873</w:t>
            </w:r>
          </w:p>
        </w:tc>
      </w:tr>
      <w:tr>
        <w:trPr>
          <w:trHeight w:val="202"/>
        </w:trPr>
        <w:tc>
          <w:tcPr>
            <w:tcW w:w="2340" w:type="dxa"/>
            <w:vAlign w:val="bottom"/>
            <w:tcBorders>
              <w:bottom w:val="single" w:sz="8" w:color="CCEEFF"/>
            </w:tcBorders>
          </w:tcPr>
          <w:p>
            <w:pPr>
              <w:ind w:left="760"/>
              <w:spacing w:after="0" w:line="201" w:lineRule="exact"/>
              <w:rPr>
                <w:sz w:val="20"/>
                <w:szCs w:val="20"/>
                <w:color w:val="auto"/>
              </w:rPr>
            </w:pPr>
            <w:r>
              <w:rPr>
                <w:rFonts w:ascii="Arial" w:cs="Arial" w:eastAsia="Arial" w:hAnsi="Arial"/>
                <w:sz w:val="18"/>
                <w:szCs w:val="18"/>
                <w:color w:val="auto"/>
              </w:rPr>
              <w:t>Finance</w:t>
            </w:r>
          </w:p>
        </w:tc>
        <w:tc>
          <w:tcPr>
            <w:tcW w:w="4300" w:type="dxa"/>
            <w:vAlign w:val="bottom"/>
            <w:tcBorders>
              <w:bottom w:val="single" w:sz="8" w:color="CCEEFF"/>
            </w:tcBorders>
          </w:tcPr>
          <w:p>
            <w:pPr>
              <w:ind w:left="380"/>
              <w:spacing w:after="0" w:line="201" w:lineRule="exact"/>
              <w:rPr>
                <w:sz w:val="20"/>
                <w:szCs w:val="20"/>
                <w:color w:val="auto"/>
              </w:rPr>
            </w:pPr>
            <w:r>
              <w:rPr>
                <w:rFonts w:ascii="Arial" w:cs="Arial" w:eastAsia="Arial" w:hAnsi="Arial"/>
                <w:sz w:val="18"/>
                <w:szCs w:val="18"/>
                <w:color w:val="auto"/>
              </w:rPr>
              <w:t>Long-term debt</w:t>
            </w:r>
          </w:p>
        </w:tc>
        <w:tc>
          <w:tcPr>
            <w:tcW w:w="1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14,335</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14,236</w:t>
            </w:r>
          </w:p>
        </w:tc>
      </w:tr>
      <w:tr>
        <w:trPr>
          <w:trHeight w:val="247"/>
        </w:trPr>
        <w:tc>
          <w:tcPr>
            <w:tcW w:w="2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lease liabilities</w:t>
            </w:r>
          </w:p>
        </w:tc>
        <w:tc>
          <w:tcPr>
            <w:tcW w:w="4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67,530</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components of lease costs for the year ended October 31, 2021 and 2020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 October 31,</w:t>
            </w:r>
          </w:p>
        </w:tc>
        <w:tc>
          <w:tcPr>
            <w:tcW w:w="1200" w:type="dxa"/>
            <w:vAlign w:val="bottom"/>
            <w:tcBorders>
              <w:bottom w:val="single" w:sz="8" w:color="auto"/>
            </w:tcBorders>
          </w:tcPr>
          <w:p>
            <w:pPr>
              <w:spacing w:after="0"/>
              <w:rPr>
                <w:sz w:val="15"/>
                <w:szCs w:val="15"/>
                <w:color w:val="auto"/>
              </w:rPr>
            </w:pPr>
          </w:p>
        </w:tc>
      </w:tr>
      <w:tr>
        <w:trPr>
          <w:trHeight w:val="180"/>
        </w:trPr>
        <w:tc>
          <w:tcPr>
            <w:tcW w:w="7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196"/>
        </w:trPr>
        <w:tc>
          <w:tcPr>
            <w:tcW w:w="72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Operating lease cost</w:t>
            </w:r>
          </w:p>
        </w:tc>
        <w:tc>
          <w:tcPr>
            <w:tcW w:w="1200" w:type="dxa"/>
            <w:vAlign w:val="bottom"/>
            <w:shd w:val="clear" w:color="auto" w:fill="CCEEFF"/>
          </w:tcPr>
          <w:p>
            <w:pPr>
              <w:jc w:val="right"/>
              <w:ind w:right="101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10,125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8,866</w:t>
            </w:r>
          </w:p>
        </w:tc>
      </w:tr>
      <w:tr>
        <w:trPr>
          <w:trHeight w:val="202"/>
        </w:trPr>
        <w:tc>
          <w:tcPr>
            <w:tcW w:w="7200" w:type="dxa"/>
            <w:vAlign w:val="bottom"/>
          </w:tcPr>
          <w:p>
            <w:pPr>
              <w:ind w:left="140"/>
              <w:spacing w:after="0" w:line="201" w:lineRule="exact"/>
              <w:rPr>
                <w:sz w:val="20"/>
                <w:szCs w:val="20"/>
                <w:color w:val="auto"/>
              </w:rPr>
            </w:pPr>
            <w:r>
              <w:rPr>
                <w:rFonts w:ascii="Arial" w:cs="Arial" w:eastAsia="Arial" w:hAnsi="Arial"/>
                <w:sz w:val="18"/>
                <w:szCs w:val="18"/>
                <w:color w:val="auto"/>
              </w:rPr>
              <w:t>Finance lease cost</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7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leased assets</w:t>
            </w: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1,181</w:t>
            </w:r>
          </w:p>
        </w:tc>
      </w:tr>
      <w:tr>
        <w:trPr>
          <w:trHeight w:val="202"/>
        </w:trPr>
        <w:tc>
          <w:tcPr>
            <w:tcW w:w="7200" w:type="dxa"/>
            <w:vAlign w:val="bottom"/>
          </w:tcPr>
          <w:p>
            <w:pPr>
              <w:ind w:left="340"/>
              <w:spacing w:after="0" w:line="201" w:lineRule="exact"/>
              <w:rPr>
                <w:sz w:val="20"/>
                <w:szCs w:val="20"/>
                <w:color w:val="auto"/>
              </w:rPr>
            </w:pPr>
            <w:r>
              <w:rPr>
                <w:rFonts w:ascii="Arial" w:cs="Arial" w:eastAsia="Arial" w:hAnsi="Arial"/>
                <w:sz w:val="18"/>
                <w:szCs w:val="18"/>
                <w:color w:val="auto"/>
              </w:rPr>
              <w:t>Interest on lease liabilities</w:t>
            </w:r>
          </w:p>
        </w:tc>
        <w:tc>
          <w:tcPr>
            <w:tcW w:w="120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561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557</w:t>
            </w:r>
          </w:p>
        </w:tc>
      </w:tr>
      <w:tr>
        <w:trPr>
          <w:trHeight w:val="202"/>
        </w:trPr>
        <w:tc>
          <w:tcPr>
            <w:tcW w:w="7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Variable lease costs</w:t>
            </w:r>
          </w:p>
        </w:tc>
        <w:tc>
          <w:tcPr>
            <w:tcW w:w="1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748</w:t>
            </w:r>
          </w:p>
        </w:tc>
      </w:tr>
      <w:tr>
        <w:trPr>
          <w:trHeight w:val="195"/>
        </w:trPr>
        <w:tc>
          <w:tcPr>
            <w:tcW w:w="720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Total lease cost</w:t>
            </w:r>
          </w:p>
        </w:tc>
        <w:tc>
          <w:tcPr>
            <w:tcW w:w="1200" w:type="dxa"/>
            <w:vAlign w:val="bottom"/>
            <w:tcBorders>
              <w:bottom w:val="single" w:sz="8" w:color="auto"/>
            </w:tcBorders>
          </w:tcPr>
          <w:p>
            <w:pPr>
              <w:jc w:val="right"/>
              <w:ind w:right="1016"/>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12,834</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5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11,352</w:t>
            </w:r>
          </w:p>
        </w:tc>
      </w:tr>
      <w:tr>
        <w:trPr>
          <w:trHeight w:val="20"/>
        </w:trPr>
        <w:tc>
          <w:tcPr>
            <w:tcW w:w="7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supplemental cash flow information related to leases for the year ended October 31, 2021 and 2020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October 31,</w:t>
            </w:r>
          </w:p>
        </w:tc>
        <w:tc>
          <w:tcPr>
            <w:tcW w:w="1220" w:type="dxa"/>
            <w:vAlign w:val="bottom"/>
            <w:tcBorders>
              <w:bottom w:val="single" w:sz="8" w:color="auto"/>
            </w:tcBorders>
          </w:tcPr>
          <w:p>
            <w:pPr>
              <w:spacing w:after="0"/>
              <w:rPr>
                <w:sz w:val="15"/>
                <w:szCs w:val="15"/>
                <w:color w:val="auto"/>
              </w:rPr>
            </w:pPr>
          </w:p>
        </w:tc>
      </w:tr>
      <w:tr>
        <w:trPr>
          <w:trHeight w:val="180"/>
        </w:trPr>
        <w:tc>
          <w:tcPr>
            <w:tcW w:w="7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183"/>
        </w:trPr>
        <w:tc>
          <w:tcPr>
            <w:tcW w:w="7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7180" w:type="dxa"/>
            <w:vAlign w:val="bottom"/>
          </w:tcPr>
          <w:p>
            <w:pPr>
              <w:ind w:left="20"/>
              <w:spacing w:after="0" w:line="201" w:lineRule="exact"/>
              <w:rPr>
                <w:sz w:val="20"/>
                <w:szCs w:val="20"/>
                <w:color w:val="auto"/>
              </w:rPr>
            </w:pPr>
            <w:r>
              <w:rPr>
                <w:rFonts w:ascii="Arial" w:cs="Arial" w:eastAsia="Arial" w:hAnsi="Arial"/>
                <w:sz w:val="18"/>
                <w:szCs w:val="18"/>
                <w:color w:val="auto"/>
              </w:rPr>
              <w:t>Finance leases - financing cash flows</w:t>
            </w:r>
          </w:p>
        </w:tc>
        <w:tc>
          <w:tcPr>
            <w:tcW w:w="1220" w:type="dxa"/>
            <w:vAlign w:val="bottom"/>
          </w:tcPr>
          <w:p>
            <w:pPr>
              <w:jc w:val="right"/>
              <w:ind w:right="1013"/>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1,003</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1,092</w:t>
            </w: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Finance leases - operating cash flows</w:t>
            </w:r>
          </w:p>
        </w:tc>
        <w:tc>
          <w:tcPr>
            <w:tcW w:w="1220" w:type="dxa"/>
            <w:vAlign w:val="bottom"/>
            <w:shd w:val="clear" w:color="auto" w:fill="CCEEFF"/>
          </w:tcPr>
          <w:p>
            <w:pPr>
              <w:jc w:val="right"/>
              <w:ind w:right="1013"/>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557</w:t>
            </w:r>
          </w:p>
        </w:tc>
      </w:tr>
      <w:tr>
        <w:trPr>
          <w:trHeight w:val="202"/>
        </w:trPr>
        <w:tc>
          <w:tcPr>
            <w:tcW w:w="7180" w:type="dxa"/>
            <w:vAlign w:val="bottom"/>
          </w:tcPr>
          <w:p>
            <w:pPr>
              <w:ind w:left="20"/>
              <w:spacing w:after="0" w:line="201" w:lineRule="exact"/>
              <w:rPr>
                <w:sz w:val="20"/>
                <w:szCs w:val="20"/>
                <w:color w:val="auto"/>
              </w:rPr>
            </w:pPr>
            <w:r>
              <w:rPr>
                <w:rFonts w:ascii="Arial" w:cs="Arial" w:eastAsia="Arial" w:hAnsi="Arial"/>
                <w:sz w:val="18"/>
                <w:szCs w:val="18"/>
                <w:color w:val="auto"/>
              </w:rPr>
              <w:t>Operating leases - operating cash flows</w:t>
            </w:r>
          </w:p>
        </w:tc>
        <w:tc>
          <w:tcPr>
            <w:tcW w:w="1220" w:type="dxa"/>
            <w:vAlign w:val="bottom"/>
          </w:tcPr>
          <w:p>
            <w:pPr>
              <w:jc w:val="right"/>
              <w:ind w:right="1013"/>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9,621</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8,681</w:t>
            </w:r>
          </w:p>
        </w:tc>
      </w:tr>
      <w:tr>
        <w:trPr>
          <w:trHeight w:val="269"/>
        </w:trPr>
        <w:tc>
          <w:tcPr>
            <w:tcW w:w="7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02"/>
        </w:trPr>
        <w:tc>
          <w:tcPr>
            <w:tcW w:w="7180" w:type="dxa"/>
            <w:vAlign w:val="bottom"/>
          </w:tcPr>
          <w:p>
            <w:pPr>
              <w:ind w:left="20"/>
              <w:spacing w:after="0" w:line="201" w:lineRule="exact"/>
              <w:rPr>
                <w:sz w:val="20"/>
                <w:szCs w:val="20"/>
                <w:color w:val="auto"/>
              </w:rPr>
            </w:pPr>
            <w:r>
              <w:rPr>
                <w:rFonts w:ascii="Arial" w:cs="Arial" w:eastAsia="Arial" w:hAnsi="Arial"/>
                <w:sz w:val="18"/>
                <w:szCs w:val="18"/>
                <w:color w:val="auto"/>
              </w:rPr>
              <w:t>Right-of-use assets obtained in exchange for lease liabilities:</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Operating leases</w:t>
            </w:r>
          </w:p>
        </w:tc>
        <w:tc>
          <w:tcPr>
            <w:tcW w:w="1220" w:type="dxa"/>
            <w:vAlign w:val="bottom"/>
            <w:shd w:val="clear" w:color="auto" w:fill="CCEEFF"/>
          </w:tcPr>
          <w:p>
            <w:pPr>
              <w:jc w:val="right"/>
              <w:ind w:right="1013"/>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8,737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19,559</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03"/>
        <w:spacing w:after="0" w:line="275" w:lineRule="auto"/>
        <w:rPr>
          <w:sz w:val="20"/>
          <w:szCs w:val="20"/>
          <w:color w:val="auto"/>
        </w:rPr>
      </w:pPr>
      <w:r>
        <w:rPr>
          <w:rFonts w:ascii="Arial" w:cs="Arial" w:eastAsia="Arial" w:hAnsi="Arial"/>
          <w:sz w:val="18"/>
          <w:szCs w:val="18"/>
          <w:color w:val="auto"/>
        </w:rPr>
        <w:t>The table below presents the weighted average remaining lease terms and weighted average discount rates for the Company's leases as of October 31, 2021 and 2020:</w:t>
      </w:r>
    </w:p>
    <w:p>
      <w:pPr>
        <w:spacing w:after="0" w:line="95"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October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2020</w:t>
            </w:r>
          </w:p>
        </w:tc>
      </w:tr>
      <w:tr>
        <w:trPr>
          <w:trHeight w:val="183"/>
        </w:trPr>
        <w:tc>
          <w:tcPr>
            <w:tcW w:w="69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Weighted average remaining lease term (in years)</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28"/>
        </w:trPr>
        <w:tc>
          <w:tcPr>
            <w:tcW w:w="69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8"/>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69"/>
        </w:trPr>
        <w:tc>
          <w:tcPr>
            <w:tcW w:w="6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Weighted average discount rate</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2"/>
        </w:trPr>
        <w:tc>
          <w:tcPr>
            <w:tcW w:w="6980" w:type="dxa"/>
            <w:vAlign w:val="bottom"/>
          </w:tcPr>
          <w:p>
            <w:pPr>
              <w:ind w:left="20"/>
              <w:spacing w:after="0" w:line="201" w:lineRule="exact"/>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Arial" w:cs="Arial" w:eastAsia="Arial" w:hAnsi="Arial"/>
                <w:sz w:val="18"/>
                <w:szCs w:val="18"/>
                <w:color w:val="auto"/>
              </w:rPr>
              <w:t>3.23 %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3.52 %</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Financing leases</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3.62 %</w:t>
            </w:r>
          </w:p>
        </w:tc>
      </w:tr>
      <w:tr>
        <w:trPr>
          <w:trHeight w:val="457"/>
        </w:trPr>
        <w:tc>
          <w:tcPr>
            <w:tcW w:w="7480" w:type="dxa"/>
            <w:vAlign w:val="bottom"/>
            <w:gridSpan w:val="3"/>
          </w:tcPr>
          <w:p>
            <w:pPr>
              <w:ind w:left="420"/>
              <w:spacing w:after="0"/>
              <w:rPr>
                <w:sz w:val="20"/>
                <w:szCs w:val="20"/>
                <w:color w:val="auto"/>
              </w:rPr>
            </w:pPr>
            <w:r>
              <w:rPr>
                <w:rFonts w:ascii="Arial" w:cs="Arial" w:eastAsia="Arial" w:hAnsi="Arial"/>
                <w:sz w:val="18"/>
                <w:szCs w:val="18"/>
                <w:color w:val="auto"/>
                <w:w w:val="89"/>
              </w:rPr>
              <w:t>The table below presents the maturity of the lease liabilities as of October 31, 2021 (in thousands):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3"/>
        </w:trPr>
        <w:tc>
          <w:tcPr>
            <w:tcW w:w="69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88"/>
              </w:rPr>
              <w:t>Operating Leases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6"/>
              </w:rPr>
              <w:t>Finance Leases</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rPr>
              <w:t>9,747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1,638</w:t>
            </w:r>
          </w:p>
        </w:tc>
      </w:tr>
      <w:tr>
        <w:trPr>
          <w:trHeight w:val="202"/>
        </w:trPr>
        <w:tc>
          <w:tcPr>
            <w:tcW w:w="6980" w:type="dxa"/>
            <w:vAlign w:val="bottom"/>
          </w:tcPr>
          <w:p>
            <w:pPr>
              <w:ind w:left="20"/>
              <w:spacing w:after="0" w:line="201"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9,337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1,549</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8,594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1,466</w:t>
            </w:r>
          </w:p>
        </w:tc>
      </w:tr>
      <w:tr>
        <w:trPr>
          <w:trHeight w:val="202"/>
        </w:trPr>
        <w:tc>
          <w:tcPr>
            <w:tcW w:w="6980" w:type="dxa"/>
            <w:vAlign w:val="bottom"/>
          </w:tcPr>
          <w:p>
            <w:pPr>
              <w:ind w:left="20"/>
              <w:spacing w:after="0" w:line="201"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7,129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1,402</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1,305</w:t>
            </w:r>
          </w:p>
        </w:tc>
      </w:tr>
      <w:tr>
        <w:trPr>
          <w:trHeight w:val="202"/>
        </w:trPr>
        <w:tc>
          <w:tcPr>
            <w:tcW w:w="69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80"/>
              <w:spacing w:after="0" w:line="201" w:lineRule="exact"/>
              <w:rPr>
                <w:sz w:val="20"/>
                <w:szCs w:val="20"/>
                <w:color w:val="auto"/>
              </w:rPr>
            </w:pPr>
            <w:r>
              <w:rPr>
                <w:rFonts w:ascii="Arial" w:cs="Arial" w:eastAsia="Arial" w:hAnsi="Arial"/>
                <w:sz w:val="18"/>
                <w:szCs w:val="18"/>
                <w:color w:val="auto"/>
              </w:rPr>
              <w:t>19,340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12,311</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Total lease payments</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rPr>
              <w:t>60,287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19,671</w:t>
            </w:r>
          </w:p>
        </w:tc>
      </w:tr>
      <w:tr>
        <w:trPr>
          <w:trHeight w:val="202"/>
        </w:trPr>
        <w:tc>
          <w:tcPr>
            <w:tcW w:w="6980" w:type="dxa"/>
            <w:vAlign w:val="bottom"/>
            <w:tcBorders>
              <w:bottom w:val="single" w:sz="8" w:color="CCEEFF"/>
            </w:tcBorders>
          </w:tcPr>
          <w:p>
            <w:pPr>
              <w:ind w:left="140"/>
              <w:spacing w:after="0" w:line="201" w:lineRule="exact"/>
              <w:rPr>
                <w:sz w:val="20"/>
                <w:szCs w:val="20"/>
                <w:color w:val="auto"/>
              </w:rPr>
            </w:pPr>
            <w:r>
              <w:rPr>
                <w:rFonts w:ascii="Arial" w:cs="Arial" w:eastAsia="Arial" w:hAnsi="Arial"/>
                <w:sz w:val="18"/>
                <w:szCs w:val="18"/>
                <w:color w:val="auto"/>
              </w:rPr>
              <w:t>Less: present value discount</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80"/>
              <w:spacing w:after="0" w:line="201" w:lineRule="exact"/>
              <w:rPr>
                <w:sz w:val="20"/>
                <w:szCs w:val="20"/>
                <w:color w:val="auto"/>
              </w:rPr>
            </w:pPr>
            <w:r>
              <w:rPr>
                <w:rFonts w:ascii="Arial" w:cs="Arial" w:eastAsia="Arial" w:hAnsi="Arial"/>
                <w:sz w:val="18"/>
                <w:szCs w:val="18"/>
                <w:color w:val="auto"/>
              </w:rPr>
              <w:t>6,724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4,222</w:t>
            </w:r>
          </w:p>
        </w:tc>
      </w:tr>
      <w:tr>
        <w:trPr>
          <w:trHeight w:val="220"/>
        </w:trPr>
        <w:tc>
          <w:tcPr>
            <w:tcW w:w="69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Total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rPr>
              <w:t>53,563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15,449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for the years ended October 31, 2021 and 2020 was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Year Ended October 31,</w:t>
            </w:r>
          </w:p>
        </w:tc>
      </w:tr>
      <w:tr>
        <w:trPr>
          <w:trHeight w:val="186"/>
        </w:trPr>
        <w:tc>
          <w:tcPr>
            <w:tcW w:w="8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2021 and 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145,563</w:t>
            </w:r>
          </w:p>
        </w:tc>
      </w:tr>
      <w:tr>
        <w:trPr>
          <w:trHeight w:val="228"/>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4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2021 and 2020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At our annual testing date, August 31, 2021, we had five reporting units with goodwill balances. Two of these units were included in our NA Fenestration segment and had goodwill balances of $35.9 million and $2.8 million, two units were included in our EU Fenestration segment with goodwill balances of $53.8 million and $17.5 million, and our NA Cabinet Components segment had one unit with a goodwill balance of $39.2 million. During the year ended October 31, 2019, we recorded impairment charges of $74.6 million associated with our NA Cabinet Components segment. The details of the impairment charges, as well as the results of our goodwill assessments during the year ended October 31, 2021 are more fully described at Note 1, “Nature of Operations, Basis of Presentation and Significant Accounting Policies - Long-Lived Assets - Goodwill.” For a summary of the change in the carrying amount of goodwill by segment, see Note 16, “Segment Information.”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October 31, 2021 and 2020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500" w:type="dxa"/>
            <w:vAlign w:val="bottom"/>
            <w:gridSpan w:val="2"/>
          </w:tcPr>
          <w:p>
            <w:pPr>
              <w:jc w:val="center"/>
              <w:ind w:left="223"/>
              <w:spacing w:after="0"/>
              <w:rPr>
                <w:sz w:val="20"/>
                <w:szCs w:val="20"/>
                <w:color w:val="auto"/>
              </w:rPr>
            </w:pPr>
            <w:r>
              <w:rPr>
                <w:rFonts w:ascii="Arial" w:cs="Arial" w:eastAsia="Arial" w:hAnsi="Arial"/>
                <w:sz w:val="14"/>
                <w:szCs w:val="14"/>
                <w:b w:val="1"/>
                <w:bCs w:val="1"/>
                <w:color w:val="auto"/>
                <w:w w:val="93"/>
              </w:rPr>
              <w:t>October 31,</w:t>
            </w:r>
          </w:p>
        </w:tc>
        <w:tc>
          <w:tcPr>
            <w:tcW w:w="560" w:type="dxa"/>
            <w:vAlign w:val="bottom"/>
          </w:tcPr>
          <w:p>
            <w:pPr>
              <w:spacing w:after="0"/>
              <w:rPr>
                <w:sz w:val="14"/>
                <w:szCs w:val="14"/>
                <w:color w:val="auto"/>
              </w:rPr>
            </w:pPr>
          </w:p>
        </w:tc>
        <w:tc>
          <w:tcPr>
            <w:tcW w:w="2880" w:type="dxa"/>
            <w:vAlign w:val="bottom"/>
            <w:gridSpan w:val="4"/>
            <w:vMerge w:val="restart"/>
          </w:tcPr>
          <w:p>
            <w:pPr>
              <w:jc w:val="right"/>
              <w:ind w:right="915"/>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gridSpan w:val="4"/>
            <w:vMerge w:val="restart"/>
          </w:tcPr>
          <w:p>
            <w:pPr>
              <w:jc w:val="right"/>
              <w:ind w:right="915"/>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60" w:type="dxa"/>
            <w:vAlign w:val="bottom"/>
          </w:tcPr>
          <w:p>
            <w:pPr>
              <w:spacing w:after="0"/>
              <w:rPr>
                <w:sz w:val="11"/>
                <w:szCs w:val="11"/>
                <w:color w:val="auto"/>
              </w:rPr>
            </w:pPr>
          </w:p>
        </w:tc>
        <w:tc>
          <w:tcPr>
            <w:tcW w:w="1500" w:type="dxa"/>
            <w:vAlign w:val="bottom"/>
            <w:gridSpan w:val="2"/>
          </w:tcPr>
          <w:p>
            <w:pPr>
              <w:jc w:val="center"/>
              <w:ind w:left="223"/>
              <w:spacing w:after="0" w:line="130" w:lineRule="exact"/>
              <w:rPr>
                <w:sz w:val="20"/>
                <w:szCs w:val="20"/>
                <w:color w:val="auto"/>
              </w:rPr>
            </w:pPr>
            <w:r>
              <w:rPr>
                <w:rFonts w:ascii="Arial" w:cs="Arial" w:eastAsia="Arial" w:hAnsi="Arial"/>
                <w:sz w:val="13"/>
                <w:szCs w:val="13"/>
                <w:b w:val="1"/>
                <w:bCs w:val="1"/>
                <w:color w:val="auto"/>
                <w:w w:val="96"/>
              </w:rPr>
              <w:t>Remaining</w:t>
            </w:r>
          </w:p>
        </w:tc>
        <w:tc>
          <w:tcPr>
            <w:tcW w:w="56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Gross Carrying</w:t>
            </w:r>
          </w:p>
        </w:tc>
        <w:tc>
          <w:tcPr>
            <w:tcW w:w="58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5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Gross Carrying</w:t>
            </w:r>
          </w:p>
        </w:tc>
        <w:tc>
          <w:tcPr>
            <w:tcW w:w="580" w:type="dxa"/>
            <w:vAlign w:val="bottom"/>
          </w:tcPr>
          <w:p>
            <w:pPr>
              <w:spacing w:after="0"/>
              <w:rPr>
                <w:sz w:val="11"/>
                <w:szCs w:val="11"/>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50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1"/>
              </w:rPr>
              <w:t>Weighted Average</w:t>
            </w:r>
          </w:p>
        </w:tc>
        <w:tc>
          <w:tcPr>
            <w:tcW w:w="5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Useful Life</w:t>
            </w:r>
          </w:p>
        </w:tc>
        <w:tc>
          <w:tcPr>
            <w:tcW w:w="5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780" w:type="dxa"/>
            <w:vAlign w:val="bottom"/>
            <w:gridSpan w:val="3"/>
          </w:tcPr>
          <w:p>
            <w:pPr>
              <w:ind w:left="460"/>
              <w:spacing w:after="0"/>
              <w:rPr>
                <w:sz w:val="20"/>
                <w:szCs w:val="20"/>
                <w:color w:val="auto"/>
              </w:rPr>
            </w:pPr>
            <w:r>
              <w:rPr>
                <w:rFonts w:ascii="Arial" w:cs="Arial" w:eastAsia="Arial" w:hAnsi="Arial"/>
                <w:sz w:val="13"/>
                <w:szCs w:val="13"/>
                <w:b w:val="1"/>
                <w:bCs w:val="1"/>
                <w:color w:val="auto"/>
              </w:rPr>
              <w:t>Amortization</w:t>
            </w:r>
          </w:p>
        </w:tc>
        <w:tc>
          <w:tcPr>
            <w:tcW w:w="5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66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Amortization</w:t>
            </w:r>
          </w:p>
        </w:tc>
        <w:tc>
          <w:tcPr>
            <w:tcW w:w="0" w:type="dxa"/>
            <w:vAlign w:val="bottom"/>
          </w:tcPr>
          <w:p>
            <w:pPr>
              <w:spacing w:after="0"/>
              <w:rPr>
                <w:sz w:val="1"/>
                <w:szCs w:val="1"/>
                <w:color w:val="auto"/>
              </w:rPr>
            </w:pPr>
          </w:p>
        </w:tc>
      </w:tr>
      <w:tr>
        <w:trPr>
          <w:trHeight w:val="228"/>
        </w:trPr>
        <w:tc>
          <w:tcPr>
            <w:tcW w:w="27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1400" w:type="dxa"/>
            <w:vAlign w:val="bottom"/>
            <w:tcBorders>
              <w:top w:val="single" w:sz="8" w:color="auto"/>
            </w:tcBorders>
            <w:shd w:val="clear" w:color="auto" w:fill="CCEEFF"/>
          </w:tcPr>
          <w:p>
            <w:pPr>
              <w:jc w:val="center"/>
              <w:ind w:left="323"/>
              <w:spacing w:after="0"/>
              <w:rPr>
                <w:sz w:val="20"/>
                <w:szCs w:val="20"/>
                <w:color w:val="auto"/>
              </w:rPr>
            </w:pPr>
            <w:r>
              <w:rPr>
                <w:rFonts w:ascii="Arial" w:cs="Arial" w:eastAsia="Arial" w:hAnsi="Arial"/>
                <w:sz w:val="18"/>
                <w:szCs w:val="18"/>
                <w:color w:val="auto"/>
                <w:w w:val="88"/>
              </w:rPr>
              <w:t>9 years</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80,441</w:t>
            </w:r>
          </w:p>
        </w:tc>
        <w:tc>
          <w:tcPr>
            <w:tcW w:w="0" w:type="dxa"/>
            <w:vAlign w:val="bottom"/>
          </w:tcPr>
          <w:p>
            <w:pPr>
              <w:spacing w:after="0"/>
              <w:rPr>
                <w:sz w:val="1"/>
                <w:szCs w:val="1"/>
                <w:color w:val="auto"/>
              </w:rPr>
            </w:pPr>
          </w:p>
        </w:tc>
      </w:tr>
      <w:tr>
        <w:trPr>
          <w:trHeight w:val="228"/>
        </w:trPr>
        <w:tc>
          <w:tcPr>
            <w:tcW w:w="2760" w:type="dxa"/>
            <w:vAlign w:val="bottom"/>
          </w:tcPr>
          <w:p>
            <w:pPr>
              <w:ind w:left="420"/>
              <w:spacing w:after="0"/>
              <w:rPr>
                <w:sz w:val="20"/>
                <w:szCs w:val="20"/>
                <w:color w:val="auto"/>
              </w:rPr>
            </w:pPr>
            <w:r>
              <w:rPr>
                <w:rFonts w:ascii="Arial" w:cs="Arial" w:eastAsia="Arial" w:hAnsi="Arial"/>
                <w:sz w:val="18"/>
                <w:szCs w:val="18"/>
                <w:color w:val="auto"/>
                <w:w w:val="98"/>
              </w:rPr>
              <w:t>Trademarks and trade names</w:t>
            </w:r>
          </w:p>
        </w:tc>
        <w:tc>
          <w:tcPr>
            <w:tcW w:w="1500" w:type="dxa"/>
            <w:vAlign w:val="bottom"/>
            <w:gridSpan w:val="2"/>
          </w:tcPr>
          <w:p>
            <w:pPr>
              <w:jc w:val="center"/>
              <w:ind w:left="223"/>
              <w:spacing w:after="0"/>
              <w:rPr>
                <w:sz w:val="20"/>
                <w:szCs w:val="20"/>
                <w:color w:val="auto"/>
              </w:rPr>
            </w:pPr>
            <w:r>
              <w:rPr>
                <w:rFonts w:ascii="Arial" w:cs="Arial" w:eastAsia="Arial" w:hAnsi="Arial"/>
                <w:sz w:val="18"/>
                <w:szCs w:val="18"/>
                <w:color w:val="auto"/>
                <w:w w:val="88"/>
              </w:rPr>
              <w:t>8 years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55,745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37,314</w:t>
            </w:r>
          </w:p>
        </w:tc>
        <w:tc>
          <w:tcPr>
            <w:tcW w:w="0" w:type="dxa"/>
            <w:vAlign w:val="bottom"/>
          </w:tcPr>
          <w:p>
            <w:pPr>
              <w:spacing w:after="0"/>
              <w:rPr>
                <w:sz w:val="1"/>
                <w:szCs w:val="1"/>
                <w:color w:val="auto"/>
              </w:rPr>
            </w:pPr>
          </w:p>
        </w:tc>
      </w:tr>
      <w:tr>
        <w:trPr>
          <w:trHeight w:val="228"/>
        </w:trPr>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Patents and other technology</w:t>
            </w:r>
          </w:p>
        </w:tc>
        <w:tc>
          <w:tcPr>
            <w:tcW w:w="1500" w:type="dxa"/>
            <w:vAlign w:val="bottom"/>
            <w:gridSpan w:val="2"/>
            <w:shd w:val="clear" w:color="auto" w:fill="CCEEFF"/>
          </w:tcPr>
          <w:p>
            <w:pPr>
              <w:jc w:val="center"/>
              <w:ind w:left="223"/>
              <w:spacing w:after="0"/>
              <w:rPr>
                <w:sz w:val="20"/>
                <w:szCs w:val="20"/>
                <w:color w:val="auto"/>
              </w:rPr>
            </w:pPr>
            <w:r>
              <w:rPr>
                <w:rFonts w:ascii="Arial" w:cs="Arial" w:eastAsia="Arial" w:hAnsi="Arial"/>
                <w:sz w:val="18"/>
                <w:szCs w:val="18"/>
                <w:color w:val="auto"/>
                <w:w w:val="88"/>
              </w:rPr>
              <w:t>6 years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0" w:type="dxa"/>
            <w:vAlign w:val="bottom"/>
          </w:tcPr>
          <w:p>
            <w:pPr>
              <w:spacing w:after="0"/>
              <w:rPr>
                <w:sz w:val="1"/>
                <w:szCs w:val="1"/>
                <w:color w:val="auto"/>
              </w:rPr>
            </w:pPr>
          </w:p>
        </w:tc>
      </w:tr>
      <w:tr>
        <w:trPr>
          <w:trHeight w:val="222"/>
        </w:trPr>
        <w:tc>
          <w:tcPr>
            <w:tcW w:w="2760" w:type="dxa"/>
            <w:vAlign w:val="bottom"/>
          </w:tcPr>
          <w:p>
            <w:pPr>
              <w:ind w:left="76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225,169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142,759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232,135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We do not estimate a residual value associated with these intangible assets. See additional disclosure at Note 1, "Nature of Operations, Basis of Presentation and Significant Accounting Policies - Restructuring."</w:t>
      </w:r>
    </w:p>
    <w:p>
      <w:pPr>
        <w:spacing w:after="0" w:line="117"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During the years ended October 31, 2021 and 2020, we retired fully amortized identifiable intangible assets of $9.9 million and $0.3 million, respectively, related to customer relationships. During the year ended October 31, 2019, we retired fully amortized identifiable intangible assets of $0.3 million related to customer relationships and patents and other technology.</w:t>
      </w:r>
    </w:p>
    <w:p>
      <w:pPr>
        <w:spacing w:after="0" w:line="128"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aggregate amortization expense associated with identifiable intangible assets for the years ended October 31, 2021, 2020, and 2019 was $12.8 million, $14.3 million and $15.3 million, respectively.</w:t>
      </w:r>
    </w:p>
    <w:p>
      <w:pPr>
        <w:spacing w:after="0" w:line="117" w:lineRule="exact"/>
        <w:rPr>
          <w:sz w:val="20"/>
          <w:szCs w:val="20"/>
          <w:color w:val="auto"/>
        </w:rPr>
      </w:pPr>
    </w:p>
    <w:p>
      <w:pPr>
        <w:ind w:right="220" w:firstLine="403"/>
        <w:spacing w:after="0" w:line="267" w:lineRule="auto"/>
        <w:rPr>
          <w:sz w:val="20"/>
          <w:szCs w:val="20"/>
          <w:color w:val="auto"/>
        </w:rPr>
      </w:pPr>
      <w:r>
        <w:rPr>
          <w:rFonts w:ascii="Arial" w:cs="Arial" w:eastAsia="Arial" w:hAnsi="Arial"/>
          <w:sz w:val="18"/>
          <w:szCs w:val="18"/>
          <w:color w:val="auto"/>
        </w:rPr>
        <w:t>Estimated remaining amortization expense, assuming current intangible balances and no new acquisitions, for future fiscal years ending October 31, 2021 is as follows (in thousands):</w:t>
      </w:r>
    </w:p>
    <w:tbl>
      <w:tblPr>
        <w:tblLayout w:type="fixed"/>
        <w:tblInd w:w="0" w:type="dxa"/>
        <w:tblCellMar>
          <w:top w:w="0" w:type="dxa"/>
          <w:left w:w="0" w:type="dxa"/>
          <w:bottom w:w="0" w:type="dxa"/>
          <w:right w:w="0" w:type="dxa"/>
        </w:tblCellMar>
      </w:tblPr>
      <w:tr>
        <w:trPr>
          <w:trHeight w:val="145"/>
        </w:trPr>
        <w:tc>
          <w:tcPr>
            <w:tcW w:w="8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jc w:val="right"/>
              <w:ind w:right="553"/>
              <w:spacing w:after="0" w:line="145" w:lineRule="exact"/>
              <w:rPr>
                <w:sz w:val="20"/>
                <w:szCs w:val="20"/>
                <w:color w:val="auto"/>
              </w:rPr>
            </w:pPr>
            <w:r>
              <w:rPr>
                <w:rFonts w:ascii="Arial" w:cs="Arial" w:eastAsia="Arial" w:hAnsi="Arial"/>
                <w:sz w:val="14"/>
                <w:szCs w:val="14"/>
                <w:b w:val="1"/>
                <w:bCs w:val="1"/>
                <w:color w:val="auto"/>
              </w:rPr>
              <w:t>Estimated</w:t>
            </w:r>
          </w:p>
        </w:tc>
      </w:tr>
      <w:tr>
        <w:trPr>
          <w:trHeight w:val="187"/>
        </w:trPr>
        <w:tc>
          <w:tcPr>
            <w:tcW w:w="89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4"/>
                <w:szCs w:val="14"/>
                <w:b w:val="1"/>
                <w:bCs w:val="1"/>
                <w:color w:val="auto"/>
              </w:rPr>
              <w:t>Amortization Expense</w:t>
            </w:r>
          </w:p>
        </w:tc>
      </w:tr>
      <w:tr>
        <w:trPr>
          <w:trHeight w:val="223"/>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r>
      <w:tr>
        <w:trPr>
          <w:trHeight w:val="228"/>
        </w:trPr>
        <w:tc>
          <w:tcPr>
            <w:tcW w:w="8920" w:type="dxa"/>
            <w:vAlign w:val="bottom"/>
          </w:tcPr>
          <w:p>
            <w:pPr>
              <w:ind w:left="42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11,376</w:t>
            </w:r>
          </w:p>
        </w:tc>
      </w:tr>
      <w:tr>
        <w:trPr>
          <w:trHeight w:val="228"/>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r>
      <w:tr>
        <w:trPr>
          <w:trHeight w:val="228"/>
        </w:trPr>
        <w:tc>
          <w:tcPr>
            <w:tcW w:w="8920" w:type="dxa"/>
            <w:vAlign w:val="bottom"/>
          </w:tcPr>
          <w:p>
            <w:pPr>
              <w:ind w:left="420"/>
              <w:spacing w:after="0"/>
              <w:rPr>
                <w:sz w:val="20"/>
                <w:szCs w:val="20"/>
                <w:color w:val="auto"/>
              </w:rPr>
            </w:pPr>
            <w:r>
              <w:rPr>
                <w:rFonts w:ascii="Arial" w:cs="Arial" w:eastAsia="Arial" w:hAnsi="Arial"/>
                <w:sz w:val="18"/>
                <w:szCs w:val="18"/>
                <w:color w:val="auto"/>
              </w:rPr>
              <w:t>2025</w:t>
            </w:r>
          </w:p>
        </w:tc>
        <w:tc>
          <w:tcPr>
            <w:tcW w:w="7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9,399</w:t>
            </w:r>
          </w:p>
        </w:tc>
      </w:tr>
      <w:tr>
        <w:trPr>
          <w:trHeight w:val="228"/>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r>
      <w:tr>
        <w:trPr>
          <w:trHeight w:val="228"/>
        </w:trPr>
        <w:tc>
          <w:tcPr>
            <w:tcW w:w="8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w:t>
            </w:r>
          </w:p>
        </w:tc>
      </w:tr>
      <w:tr>
        <w:trPr>
          <w:trHeight w:val="247"/>
        </w:trPr>
        <w:tc>
          <w:tcPr>
            <w:tcW w:w="8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did not incur impairment losses related to our identifiable intangible assets during the years ended October 31, 2021, 2020, and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liabilities consisted of the following at October 31, 2021 and 2020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8"/>
              </w:rPr>
              <w:t>October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payroll taxes and employee benefits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30,039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8"/>
                <w:szCs w:val="18"/>
                <w:color w:val="auto"/>
              </w:rPr>
              <w:t>Accrued insurance and workers compensation</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28"/>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allowances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8"/>
                <w:szCs w:val="18"/>
                <w:color w:val="auto"/>
              </w:rPr>
              <w:t>Deferred compensation (current portion)</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8"/>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8"/>
                <w:szCs w:val="18"/>
                <w:color w:val="auto"/>
              </w:rPr>
              <w:t>Warranties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8"/>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legal, and other professional fees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8"/>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4,944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22"/>
        </w:trPr>
        <w:tc>
          <w:tcPr>
            <w:tcW w:w="68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7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56,156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8. Debt</w:t>
            </w: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3"/>
        </w:trPr>
        <w:tc>
          <w:tcPr>
            <w:tcW w:w="68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840" w:type="dxa"/>
            <w:vAlign w:val="bottom"/>
          </w:tcPr>
          <w:p>
            <w:pPr>
              <w:ind w:left="420"/>
              <w:spacing w:after="0"/>
              <w:rPr>
                <w:sz w:val="20"/>
                <w:szCs w:val="20"/>
                <w:color w:val="auto"/>
              </w:rPr>
            </w:pPr>
            <w:r>
              <w:rPr>
                <w:rFonts w:ascii="Arial" w:cs="Arial" w:eastAsia="Arial" w:hAnsi="Arial"/>
                <w:sz w:val="18"/>
                <w:szCs w:val="18"/>
                <w:color w:val="auto"/>
                <w:w w:val="91"/>
              </w:rPr>
              <w:t>Long-term debt consisted of the following at October 31, 2021 and 2020 (in thousands):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October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28"/>
        </w:trPr>
        <w:tc>
          <w:tcPr>
            <w:tcW w:w="6840" w:type="dxa"/>
            <w:vAlign w:val="bottom"/>
          </w:tcPr>
          <w:p>
            <w:pPr>
              <w:ind w:left="420"/>
              <w:spacing w:after="0"/>
              <w:rPr>
                <w:sz w:val="20"/>
                <w:szCs w:val="20"/>
                <w:color w:val="auto"/>
              </w:rPr>
            </w:pPr>
            <w:r>
              <w:rPr>
                <w:rFonts w:ascii="Arial" w:cs="Arial" w:eastAsia="Arial" w:hAnsi="Arial"/>
                <w:sz w:val="18"/>
                <w:szCs w:val="18"/>
                <w:color w:val="auto"/>
              </w:rPr>
              <w:t>Finance lease obligations and other</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28"/>
        </w:trPr>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deferred financing fees</w:t>
            </w:r>
          </w:p>
        </w:tc>
        <w:tc>
          <w:tcPr>
            <w:tcW w:w="7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2"/>
        </w:trPr>
        <w:tc>
          <w:tcPr>
            <w:tcW w:w="6840" w:type="dxa"/>
            <w:vAlign w:val="bottom"/>
          </w:tcPr>
          <w:p>
            <w:pPr>
              <w:ind w:left="76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117,420</w:t>
            </w:r>
          </w:p>
        </w:tc>
        <w:tc>
          <w:tcPr>
            <w:tcW w:w="0" w:type="dxa"/>
            <w:vAlign w:val="bottom"/>
          </w:tcPr>
          <w:p>
            <w:pPr>
              <w:spacing w:after="0"/>
              <w:rPr>
                <w:sz w:val="1"/>
                <w:szCs w:val="1"/>
                <w:color w:val="auto"/>
              </w:rPr>
            </w:pPr>
          </w:p>
        </w:tc>
      </w:tr>
      <w:tr>
        <w:trPr>
          <w:trHeight w:val="228"/>
        </w:trPr>
        <w:tc>
          <w:tcPr>
            <w:tcW w:w="6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Less: Current maturities of long-term debt</w:t>
            </w:r>
          </w:p>
        </w:tc>
        <w:tc>
          <w:tcPr>
            <w:tcW w:w="7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2"/>
        </w:trPr>
        <w:tc>
          <w:tcPr>
            <w:tcW w:w="6840" w:type="dxa"/>
            <w:vAlign w:val="bottom"/>
          </w:tcPr>
          <w:p>
            <w:pPr>
              <w:ind w:left="880"/>
              <w:spacing w:after="0"/>
              <w:rPr>
                <w:sz w:val="20"/>
                <w:szCs w:val="20"/>
                <w:color w:val="auto"/>
              </w:rPr>
            </w:pPr>
            <w:r>
              <w:rPr>
                <w:rFonts w:ascii="Arial" w:cs="Arial" w:eastAsia="Arial" w:hAnsi="Arial"/>
                <w:sz w:val="18"/>
                <w:szCs w:val="18"/>
                <w:color w:val="auto"/>
              </w:rPr>
              <w:t>Long-term debt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69"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On October 18, 2018, we entered into a $325.0 million revolving credit facility (the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As of October 31, 2021, the applicable rate was LIBOR + 1.25%. In addition, we are subject to commitment fees for the unused portion of the Credit Facility.</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Pricing Level</w:t>
            </w:r>
          </w:p>
        </w:tc>
        <w:tc>
          <w:tcPr>
            <w:tcW w:w="53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Consolidated Leverage Ratio</w:t>
            </w:r>
          </w:p>
        </w:tc>
        <w:tc>
          <w:tcPr>
            <w:tcW w:w="1900" w:type="dxa"/>
            <w:vAlign w:val="bottom"/>
            <w:tcBorders>
              <w:bottom w:val="single" w:sz="8" w:color="auto"/>
            </w:tcBorders>
          </w:tcPr>
          <w:p>
            <w:pPr>
              <w:jc w:val="center"/>
              <w:ind w:left="414"/>
              <w:spacing w:after="0"/>
              <w:rPr>
                <w:sz w:val="20"/>
                <w:szCs w:val="20"/>
                <w:color w:val="auto"/>
              </w:rPr>
            </w:pPr>
            <w:r>
              <w:rPr>
                <w:rFonts w:ascii="Arial" w:cs="Arial" w:eastAsia="Arial" w:hAnsi="Arial"/>
                <w:sz w:val="14"/>
                <w:szCs w:val="14"/>
                <w:b w:val="1"/>
                <w:bCs w:val="1"/>
                <w:color w:val="auto"/>
                <w:w w:val="95"/>
              </w:rPr>
              <w:t>Commitment Fee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LIBOR Rate Loans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Base Rate Loans</w:t>
            </w:r>
          </w:p>
        </w:tc>
      </w:tr>
      <w:tr>
        <w:trPr>
          <w:trHeight w:val="228"/>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than or equal to 1.50 to 1.00</w:t>
            </w:r>
          </w:p>
        </w:tc>
        <w:tc>
          <w:tcPr>
            <w:tcW w:w="19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1"/>
              </w:rPr>
              <w:t>0.200%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8"/>
        </w:trPr>
        <w:tc>
          <w:tcPr>
            <w:tcW w:w="1180" w:type="dxa"/>
            <w:vAlign w:val="bottom"/>
          </w:tcPr>
          <w:p>
            <w:pPr>
              <w:jc w:val="center"/>
              <w:spacing w:after="0"/>
              <w:rPr>
                <w:sz w:val="20"/>
                <w:szCs w:val="20"/>
                <w:color w:val="auto"/>
              </w:rPr>
            </w:pPr>
            <w:r>
              <w:rPr>
                <w:rFonts w:ascii="Arial" w:cs="Arial" w:eastAsia="Arial" w:hAnsi="Arial"/>
                <w:sz w:val="18"/>
                <w:szCs w:val="18"/>
                <w:color w:val="auto"/>
              </w:rPr>
              <w:t>II</w:t>
            </w:r>
          </w:p>
        </w:tc>
        <w:tc>
          <w:tcPr>
            <w:tcW w:w="5300" w:type="dxa"/>
            <w:vAlign w:val="bottom"/>
          </w:tcPr>
          <w:p>
            <w:pPr>
              <w:ind w:left="160"/>
              <w:spacing w:after="0"/>
              <w:rPr>
                <w:sz w:val="20"/>
                <w:szCs w:val="20"/>
                <w:color w:val="auto"/>
              </w:rPr>
            </w:pPr>
            <w:r>
              <w:rPr>
                <w:rFonts w:ascii="Arial" w:cs="Arial" w:eastAsia="Arial" w:hAnsi="Arial"/>
                <w:sz w:val="18"/>
                <w:szCs w:val="18"/>
                <w:color w:val="auto"/>
              </w:rPr>
              <w:t>Greater than 1.50 to 1.00, but less than or equal to 2.25 to 1.00</w:t>
            </w:r>
          </w:p>
        </w:tc>
        <w:tc>
          <w:tcPr>
            <w:tcW w:w="1900" w:type="dxa"/>
            <w:vAlign w:val="bottom"/>
          </w:tcPr>
          <w:p>
            <w:pPr>
              <w:jc w:val="center"/>
              <w:ind w:left="414"/>
              <w:spacing w:after="0"/>
              <w:rPr>
                <w:sz w:val="20"/>
                <w:szCs w:val="20"/>
                <w:color w:val="auto"/>
              </w:rPr>
            </w:pPr>
            <w:r>
              <w:rPr>
                <w:rFonts w:ascii="Arial" w:cs="Arial" w:eastAsia="Arial" w:hAnsi="Arial"/>
                <w:sz w:val="18"/>
                <w:szCs w:val="18"/>
                <w:color w:val="auto"/>
                <w:w w:val="91"/>
              </w:rPr>
              <w:t>0.225%</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28"/>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Greater than 2.25 to 1.00, but less than or equal to 3.00 to 1.00</w:t>
            </w:r>
          </w:p>
        </w:tc>
        <w:tc>
          <w:tcPr>
            <w:tcW w:w="190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1"/>
              </w:rPr>
              <w:t>0.250%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0.75%</w:t>
            </w: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rPr>
              <w:t>IV</w:t>
            </w:r>
          </w:p>
        </w:tc>
        <w:tc>
          <w:tcPr>
            <w:tcW w:w="5300" w:type="dxa"/>
            <w:vAlign w:val="bottom"/>
          </w:tcPr>
          <w:p>
            <w:pPr>
              <w:ind w:left="160"/>
              <w:spacing w:after="0"/>
              <w:rPr>
                <w:sz w:val="20"/>
                <w:szCs w:val="20"/>
                <w:color w:val="auto"/>
              </w:rPr>
            </w:pPr>
            <w:r>
              <w:rPr>
                <w:rFonts w:ascii="Arial" w:cs="Arial" w:eastAsia="Arial" w:hAnsi="Arial"/>
                <w:sz w:val="18"/>
                <w:szCs w:val="18"/>
                <w:color w:val="auto"/>
              </w:rPr>
              <w:t>Greater than 3.00 to 1.00</w:t>
            </w:r>
          </w:p>
        </w:tc>
        <w:tc>
          <w:tcPr>
            <w:tcW w:w="1900" w:type="dxa"/>
            <w:vAlign w:val="bottom"/>
          </w:tcPr>
          <w:p>
            <w:pPr>
              <w:jc w:val="center"/>
              <w:ind w:left="414"/>
              <w:spacing w:after="0"/>
              <w:rPr>
                <w:sz w:val="20"/>
                <w:szCs w:val="20"/>
                <w:color w:val="auto"/>
              </w:rPr>
            </w:pPr>
            <w:r>
              <w:rPr>
                <w:rFonts w:ascii="Arial" w:cs="Arial" w:eastAsia="Arial" w:hAnsi="Arial"/>
                <w:sz w:val="18"/>
                <w:szCs w:val="18"/>
                <w:color w:val="auto"/>
                <w:w w:val="91"/>
              </w:rPr>
              <w:t>0.300%</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226"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17"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Credit Facility provides for incremental revolving credit commitments for a minimum principal amount of $10.0 million, up to an aggregate amount of $150.0 million, subject to the lender's discretion to elect or decline the incremental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increase. We can also borrow up to the lesser of $15.0 million or the revolving credit commitment, as defined, under a Swingline feature of the Credit Agreement.</w:t>
      </w:r>
    </w:p>
    <w:p>
      <w:pPr>
        <w:spacing w:after="0" w:line="117" w:lineRule="exact"/>
        <w:rPr>
          <w:sz w:val="20"/>
          <w:szCs w:val="20"/>
          <w:color w:val="auto"/>
        </w:rPr>
      </w:pPr>
    </w:p>
    <w:p>
      <w:pPr>
        <w:jc w:val="both"/>
        <w:ind w:right="20" w:firstLine="403"/>
        <w:spacing w:after="0" w:line="262"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the Consolidated Leverage Ratio, as defined, must be greater than 3.25 to 1.00.</w:t>
      </w:r>
    </w:p>
    <w:p>
      <w:pPr>
        <w:spacing w:after="0" w:line="128"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37"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Our initial borrowings from the Credit Facility were $205.0 million and along with additional funding of $10.0 million of cash on hand, was used to repay outstanding borrowings under a previous credit agreement of $213.5 million, to settle outstanding interest accrued and loan fees under our prior credit facility, and to pay loan fees associated with the 2018 Credit Agreement which totaled $1.0 million. We expensed $1.1 million of unamortized deferred financing fees associated with the previous credit agreement, while deferring the remaining $0.5 million of unamortized deferred financing fees attributable to the remaining lenders from the previous facility over the life of the Credit Facility.</w:t>
      </w:r>
    </w:p>
    <w:p>
      <w:pPr>
        <w:spacing w:after="0" w:line="137"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As of October 31, 2021, we had $38.0 million of borrowings outstanding under the Credit Facility (reduced by unamortized debt issuance costs of $0.6 million), $4.5 million of outstanding letters of credit and $15.5 million outstanding under finance leases. We had $282.5 million available for use under the Credit Facility at October 31, 2021. The borrowings outstanding as of October 31, 2021 under the Credit Facility accrue interest at 1.34% per annum, and our weighted average borrowing rate for borrowings outstanding during the years ended October 31, 2021 and 2020 was 1.42% and 2.45%, respectively. We were in compliance with our debt covenants as of October 31, 2021.</w:t>
      </w:r>
    </w:p>
    <w:p>
      <w:pPr>
        <w:spacing w:after="0" w:line="120" w:lineRule="exact"/>
        <w:rPr>
          <w:sz w:val="20"/>
          <w:szCs w:val="20"/>
          <w:color w:val="auto"/>
        </w:rPr>
      </w:pPr>
    </w:p>
    <w:p>
      <w:pPr>
        <w:ind w:right="360" w:firstLine="403"/>
        <w:spacing w:after="0" w:line="275" w:lineRule="auto"/>
        <w:rPr>
          <w:sz w:val="20"/>
          <w:szCs w:val="20"/>
          <w:color w:val="auto"/>
        </w:rPr>
      </w:pPr>
      <w:r>
        <w:rPr>
          <w:rFonts w:ascii="Arial" w:cs="Arial" w:eastAsia="Arial" w:hAnsi="Arial"/>
          <w:sz w:val="18"/>
          <w:szCs w:val="18"/>
          <w:color w:val="auto"/>
        </w:rPr>
        <w:t>We maintain certain finance lease obligations related to equipment purchases, vehicles, and warehouse space. Refer to Note 5 “Leases” for further information regarding our finance leases.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the scheduled maturity dates of our long-term debt outstanding (excluding deferred financing fees of $0.6 million) at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1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Revolving Credit Facility</w:t>
            </w:r>
          </w:p>
        </w:tc>
        <w:tc>
          <w:tcPr>
            <w:tcW w:w="2160" w:type="dxa"/>
            <w:vAlign w:val="bottom"/>
            <w:gridSpan w:val="3"/>
          </w:tcPr>
          <w:p>
            <w:pPr>
              <w:ind w:left="440"/>
              <w:spacing w:after="0"/>
              <w:rPr>
                <w:sz w:val="20"/>
                <w:szCs w:val="20"/>
                <w:color w:val="auto"/>
              </w:rPr>
            </w:pPr>
            <w:r>
              <w:rPr>
                <w:rFonts w:ascii="Arial" w:cs="Arial" w:eastAsia="Arial" w:hAnsi="Arial"/>
                <w:sz w:val="14"/>
                <w:szCs w:val="14"/>
                <w:b w:val="1"/>
                <w:bCs w:val="1"/>
                <w:color w:val="auto"/>
                <w:w w:val="97"/>
              </w:rPr>
              <w:t>Finance Leases and Other</w:t>
            </w:r>
          </w:p>
        </w:tc>
        <w:tc>
          <w:tcPr>
            <w:tcW w:w="540" w:type="dxa"/>
            <w:vAlign w:val="bottom"/>
          </w:tcPr>
          <w:p>
            <w:pPr>
              <w:spacing w:after="0"/>
              <w:rPr>
                <w:sz w:val="14"/>
                <w:szCs w:val="14"/>
                <w:color w:val="auto"/>
              </w:rPr>
            </w:pPr>
          </w:p>
        </w:tc>
        <w:tc>
          <w:tcPr>
            <w:tcW w:w="1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Aggregate Maturities</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Obligations</w:t>
            </w:r>
          </w:p>
        </w:tc>
        <w:tc>
          <w:tcPr>
            <w:tcW w:w="5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2022</w:t>
            </w:r>
          </w:p>
        </w:tc>
        <w:tc>
          <w:tcPr>
            <w:tcW w:w="10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8"/>
        </w:trPr>
        <w:tc>
          <w:tcPr>
            <w:tcW w:w="4820" w:type="dxa"/>
            <w:vAlign w:val="bottom"/>
          </w:tcPr>
          <w:p>
            <w:pPr>
              <w:ind w:left="420"/>
              <w:spacing w:after="0"/>
              <w:rPr>
                <w:sz w:val="20"/>
                <w:szCs w:val="20"/>
                <w:color w:val="auto"/>
              </w:rPr>
            </w:pPr>
            <w:r>
              <w:rPr>
                <w:rFonts w:ascii="Arial" w:cs="Arial" w:eastAsia="Arial" w:hAnsi="Arial"/>
                <w:sz w:val="18"/>
                <w:szCs w:val="18"/>
                <w:color w:val="auto"/>
              </w:rPr>
              <w:t>2023</w:t>
            </w: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39,582</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10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8"/>
        </w:trPr>
        <w:tc>
          <w:tcPr>
            <w:tcW w:w="4820" w:type="dxa"/>
            <w:vAlign w:val="bottom"/>
          </w:tcPr>
          <w:p>
            <w:pPr>
              <w:ind w:left="420"/>
              <w:spacing w:after="0"/>
              <w:rPr>
                <w:sz w:val="20"/>
                <w:szCs w:val="20"/>
                <w:color w:val="auto"/>
              </w:rPr>
            </w:pPr>
            <w:r>
              <w:rPr>
                <w:rFonts w:ascii="Arial" w:cs="Arial" w:eastAsia="Arial" w:hAnsi="Arial"/>
                <w:sz w:val="18"/>
                <w:szCs w:val="18"/>
                <w:color w:val="auto"/>
              </w:rPr>
              <w:t>2025</w:t>
            </w:r>
          </w:p>
        </w:tc>
        <w:tc>
          <w:tcPr>
            <w:tcW w:w="10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10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8"/>
        </w:trPr>
        <w:tc>
          <w:tcPr>
            <w:tcW w:w="4820" w:type="dxa"/>
            <w:vAlign w:val="bottom"/>
          </w:tcPr>
          <w:p>
            <w:pPr>
              <w:ind w:left="42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222"/>
        </w:trPr>
        <w:tc>
          <w:tcPr>
            <w:tcW w:w="48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debt payments</w:t>
            </w:r>
          </w:p>
        </w:tc>
        <w:tc>
          <w:tcPr>
            <w:tcW w:w="10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57,759</w:t>
            </w:r>
          </w:p>
        </w:tc>
        <w:tc>
          <w:tcPr>
            <w:tcW w:w="0" w:type="dxa"/>
            <w:vAlign w:val="bottom"/>
          </w:tcPr>
          <w:p>
            <w:pPr>
              <w:spacing w:after="0"/>
              <w:rPr>
                <w:sz w:val="1"/>
                <w:szCs w:val="1"/>
                <w:color w:val="auto"/>
              </w:rPr>
            </w:pPr>
          </w:p>
        </w:tc>
      </w:tr>
      <w:tr>
        <w:trPr>
          <w:trHeight w:val="228"/>
        </w:trPr>
        <w:tc>
          <w:tcPr>
            <w:tcW w:w="4820" w:type="dxa"/>
            <w:vAlign w:val="bottom"/>
          </w:tcPr>
          <w:p>
            <w:pPr>
              <w:ind w:left="420"/>
              <w:spacing w:after="0"/>
              <w:rPr>
                <w:sz w:val="20"/>
                <w:szCs w:val="20"/>
                <w:color w:val="auto"/>
              </w:rPr>
            </w:pPr>
            <w:r>
              <w:rPr>
                <w:rFonts w:ascii="Arial" w:cs="Arial" w:eastAsia="Arial" w:hAnsi="Arial"/>
                <w:sz w:val="18"/>
                <w:szCs w:val="18"/>
                <w:color w:val="auto"/>
              </w:rPr>
              <w:t>Less: present value discount of finance leases</w:t>
            </w:r>
          </w:p>
        </w:tc>
        <w:tc>
          <w:tcPr>
            <w:tcW w:w="10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47"/>
        </w:trPr>
        <w:tc>
          <w:tcPr>
            <w:tcW w:w="482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73" w:lineRule="exact"/>
        <w:rPr>
          <w:sz w:val="20"/>
          <w:szCs w:val="20"/>
          <w:color w:val="auto"/>
        </w:rPr>
      </w:pPr>
    </w:p>
    <w:p>
      <w:pPr>
        <w:ind w:firstLine="403"/>
        <w:spacing w:after="0" w:line="275" w:lineRule="auto"/>
        <w:rPr>
          <w:sz w:val="20"/>
          <w:szCs w:val="20"/>
          <w:color w:val="auto"/>
        </w:rPr>
      </w:pPr>
      <w:r>
        <w:rPr>
          <w:rFonts w:ascii="Arial" w:cs="Arial" w:eastAsia="Arial" w:hAnsi="Arial"/>
          <w:sz w:val="18"/>
          <w:szCs w:val="18"/>
          <w:color w:val="auto"/>
        </w:rPr>
        <w:t>We have a number of retirement plans covering substantially all employees. We provide both defined benefit and defined contribution plans. In general, an employee’s coverage for retirement benefits depends on the location of employment.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169" w:lineRule="exact"/>
        <w:rPr>
          <w:sz w:val="20"/>
          <w:szCs w:val="20"/>
          <w:color w:val="auto"/>
        </w:rPr>
      </w:pPr>
    </w:p>
    <w:p>
      <w:pPr>
        <w:jc w:val="both"/>
        <w:ind w:firstLine="403"/>
        <w:spacing w:after="0" w:line="292" w:lineRule="auto"/>
        <w:rPr>
          <w:sz w:val="20"/>
          <w:szCs w:val="20"/>
          <w:color w:val="auto"/>
        </w:rPr>
      </w:pPr>
      <w:r>
        <w:rPr>
          <w:rFonts w:ascii="Arial" w:cs="Arial" w:eastAsia="Arial" w:hAnsi="Arial"/>
          <w:sz w:val="16"/>
          <w:szCs w:val="16"/>
          <w:color w:val="auto"/>
        </w:rPr>
        <w:t>Our non-contributory, single employer defined benefit pension plan covers certain of our employees in the U.S.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Every year, the participants will receive an interest related credit on their respective balance equivalent to the prevailing 30-year Treasury rate. The majority our pension plan participants have their benefit determined pursuant to the cash balance formula. For the remaining participants, the benefit formula is a traditional formula for retirement benefits, whereby the plan pays benefits to employees upon retirement, using a formula which considers years of service and pensionable compensation prior to retirement.</w:t>
      </w:r>
    </w:p>
    <w:p>
      <w:pPr>
        <w:spacing w:after="0" w:line="108" w:lineRule="exact"/>
        <w:rPr>
          <w:sz w:val="20"/>
          <w:szCs w:val="20"/>
          <w:color w:val="auto"/>
        </w:rPr>
      </w:pPr>
    </w:p>
    <w:p>
      <w:pPr>
        <w:jc w:val="both"/>
        <w:ind w:firstLine="403"/>
        <w:spacing w:after="0" w:line="310" w:lineRule="auto"/>
        <w:rPr>
          <w:sz w:val="20"/>
          <w:szCs w:val="20"/>
          <w:color w:val="auto"/>
        </w:rPr>
      </w:pPr>
      <w:r>
        <w:rPr>
          <w:rFonts w:ascii="Arial" w:cs="Arial" w:eastAsia="Arial" w:hAnsi="Arial"/>
          <w:sz w:val="16"/>
          <w:szCs w:val="16"/>
          <w:color w:val="auto"/>
        </w:rPr>
        <w:t>As a result of this action, we remeasured the pension assets and obligations for the pension plan, which resulted in a decrease to our projected benefit obligation and a corresponding net actuarial gain that was recorded in accumulated other comprehensive income (loss). This remeasurement is included in the tables below, which reflect the full impact of pension plan results and accounting measurements for the year ended October 31, 2020.</w:t>
      </w:r>
    </w:p>
    <w:p>
      <w:pPr>
        <w:spacing w:after="0" w:line="93"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The Medicare Prescription Drug, Improvement and Modernization Act of 2003 was signed into law on December 8, 2003. This Act introduces a Medicare prescription-drug benefit beginning in 2006 as well as a federal subsidy to sponsors of retiree health care plans that provide a benefit at least “actuarially equivalent” to the Medicare benefit. We concluded that our plans are at least “actuarially equivalent” to the Medicare benefit. For those who are otherwise eligible for the subsidy, we have not included this subsidy per the Act in our benefit calculations. The impact to net periodic benefit cost and to benefits paid did not have a material impact on the consolidated financial statements.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Funded Status and Net periodic Benefit Cost</w:t>
      </w:r>
    </w:p>
    <w:p>
      <w:pPr>
        <w:spacing w:after="0" w:line="16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changes in benefit obligation and plan assets, and our funded status (reported in deferred pension and postretirement benefits on the consolidated balance sheets)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October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 and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44,323</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Arial" w:cs="Arial" w:eastAsia="Arial" w:hAnsi="Arial"/>
                <w:sz w:val="18"/>
                <w:szCs w:val="18"/>
                <w:color w:val="auto"/>
              </w:rPr>
              <w:t>Actuarial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Curtailments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8"/>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October 31, 2021 and 2020</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42,379</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1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 and 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31,212</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8"/>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October 31, 2021 and 2020</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Noncurrent liability - Funded Status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vMerge w:val="continue"/>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(4,737)</w:t>
            </w:r>
          </w:p>
        </w:tc>
        <w:tc>
          <w:tcPr>
            <w:tcW w:w="280" w:type="dxa"/>
            <w:vAlign w:val="bottom"/>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(10,705)</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As of October 31, 2021 and 2020, included in our accumulated comprehensive loss was a net actuarial loss of $4.5 million and $9.9 million, respectively. There were no net prior service costs or transition obligations for the years ended October 31, 2021 and 2020.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As of October 31, 2021 and 2020, the accumulated benefit obligation was $42.4 million and $44.8 million, respectively. The accumulated benefit obligation is the present value of pension benefits (whether vested or unvested) attributed to employee service rendered before the measurement date, and based on employee service and compensation prior to that date. The accumulated benefit obligation differs from the projected benefit obligation in that it includes no assumption about future compensation levels.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periodic benefit cost for the years ended October 31, 2021, 2020 and 2019, was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October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6"/>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28"/>
        </w:trPr>
        <w:tc>
          <w:tcPr>
            <w:tcW w:w="68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28"/>
        </w:trPr>
        <w:tc>
          <w:tcPr>
            <w:tcW w:w="680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80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changes in plan assets and projected benefit obligations which were recognized in our other comprehensive loss for the years ended October 31, 2021, 2020 and 2019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October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6"/>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arising during the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r>
      <w:tr>
        <w:trPr>
          <w:trHeight w:val="228"/>
        </w:trPr>
        <w:tc>
          <w:tcPr>
            <w:tcW w:w="6800" w:type="dxa"/>
            <w:vAlign w:val="bottom"/>
          </w:tcPr>
          <w:p>
            <w:pPr>
              <w:ind w:left="340"/>
              <w:spacing w:after="0"/>
              <w:rPr>
                <w:sz w:val="20"/>
                <w:szCs w:val="20"/>
                <w:color w:val="auto"/>
              </w:rPr>
            </w:pPr>
            <w:r>
              <w:rPr>
                <w:rFonts w:ascii="Arial" w:cs="Arial" w:eastAsia="Arial" w:hAnsi="Arial"/>
                <w:sz w:val="18"/>
                <w:szCs w:val="18"/>
                <w:color w:val="auto"/>
              </w:rPr>
              <w:t>Less: Amortization of 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8"/>
        </w:trPr>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Curtailments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Settlements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other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Date and Assumptions</w:t>
      </w:r>
    </w:p>
    <w:p>
      <w:pPr>
        <w:spacing w:after="0" w:line="16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We generally determine our actuarial assumptions on an annual basis, with a measurement date of October 31. The following table presents our assumptions for pension benefit calculations for the years ended October 31, 2021,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For the Year Ended October 31,</w:t>
            </w:r>
          </w:p>
        </w:tc>
        <w:tc>
          <w:tcPr>
            <w:tcW w:w="800" w:type="dxa"/>
            <w:vAlign w:val="bottom"/>
            <w:tcBorders>
              <w:bottom w:val="single" w:sz="8" w:color="auto"/>
            </w:tcBorders>
          </w:tcPr>
          <w:p>
            <w:pPr>
              <w:spacing w:after="0"/>
              <w:rPr>
                <w:sz w:val="16"/>
                <w:szCs w:val="16"/>
                <w:color w:val="auto"/>
              </w:rPr>
            </w:pPr>
          </w:p>
        </w:tc>
      </w:tr>
      <w:tr>
        <w:trPr>
          <w:trHeight w:val="185"/>
        </w:trPr>
        <w:tc>
          <w:tcPr>
            <w:tcW w:w="4660" w:type="dxa"/>
            <w:vAlign w:val="bottom"/>
          </w:tcPr>
          <w:p>
            <w:pPr>
              <w:spacing w:after="0"/>
              <w:rPr>
                <w:sz w:val="16"/>
                <w:szCs w:val="16"/>
                <w:color w:val="auto"/>
              </w:rPr>
            </w:pPr>
          </w:p>
        </w:tc>
        <w:tc>
          <w:tcPr>
            <w:tcW w:w="8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2021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89"/>
              </w:rPr>
              <w:t>2021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Assumptions:</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Benefit Obligation</w:t>
            </w: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Net Periodic Benefit Cost</w:t>
            </w:r>
          </w:p>
        </w:tc>
        <w:tc>
          <w:tcPr>
            <w:tcW w:w="800" w:type="dxa"/>
            <w:vAlign w:val="bottom"/>
            <w:tcBorders>
              <w:bottom w:val="single" w:sz="8" w:color="auto"/>
            </w:tcBorders>
          </w:tcPr>
          <w:p>
            <w:pPr>
              <w:spacing w:after="0"/>
              <w:rPr>
                <w:sz w:val="18"/>
                <w:szCs w:val="18"/>
                <w:color w:val="auto"/>
              </w:rPr>
            </w:pP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0"/>
              </w:rPr>
              <w:t>2.77%</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0"/>
              </w:rPr>
              <w:t>2.60%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4.44%</w:t>
            </w:r>
          </w:p>
        </w:tc>
      </w:tr>
      <w:tr>
        <w:trPr>
          <w:trHeight w:val="228"/>
        </w:trPr>
        <w:tc>
          <w:tcPr>
            <w:tcW w:w="466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880" w:type="dxa"/>
            <w:vAlign w:val="bottom"/>
          </w:tcPr>
          <w:p>
            <w:pPr>
              <w:jc w:val="center"/>
              <w:ind w:left="15"/>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240" w:type="dxa"/>
            <w:vAlign w:val="bottom"/>
          </w:tcPr>
          <w:p>
            <w:pPr>
              <w:spacing w:after="0"/>
              <w:rPr>
                <w:sz w:val="19"/>
                <w:szCs w:val="19"/>
                <w:color w:val="auto"/>
              </w:rPr>
            </w:pPr>
          </w:p>
        </w:tc>
        <w:tc>
          <w:tcPr>
            <w:tcW w:w="80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0"/>
              </w:rPr>
              <w:t>3.00%</w:t>
            </w: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0"/>
              </w:rPr>
              <w:t>6.00%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6.50%</w:t>
            </w:r>
          </w:p>
        </w:tc>
      </w:tr>
    </w:tbl>
    <w:p>
      <w:pPr>
        <w:spacing w:after="0" w:line="241"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The discount rate was used to calculate the present value of the projected benefit obligation for pension benefits. The rate reflects the amount at which benefits could be effectively settled on the measurement date. We used a RATE: Link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w:t>
      </w:r>
    </w:p>
    <w:p>
      <w:pPr>
        <w:spacing w:after="0" w:line="120" w:lineRule="exact"/>
        <w:rPr>
          <w:sz w:val="20"/>
          <w:szCs w:val="20"/>
          <w:color w:val="auto"/>
        </w:rPr>
      </w:pPr>
    </w:p>
    <w:p>
      <w:pPr>
        <w:jc w:val="both"/>
        <w:ind w:firstLine="403"/>
        <w:spacing w:after="0" w:line="310" w:lineRule="auto"/>
        <w:rPr>
          <w:sz w:val="20"/>
          <w:szCs w:val="20"/>
          <w:color w:val="auto"/>
        </w:rPr>
      </w:pPr>
      <w:r>
        <w:rPr>
          <w:rFonts w:ascii="Arial" w:cs="Arial" w:eastAsia="Arial" w:hAnsi="Arial"/>
          <w:sz w:val="16"/>
          <w:szCs w:val="16"/>
          <w:color w:val="auto"/>
        </w:rPr>
        <w:t>The expected return on plan assets was used to determine net periodic pension expense. The rate of return assumptions were based on projected long-term market returns for the various asset classes in which the plans were invested, weighted by the target asset allocations. We review the return assumption at least annually. The rate of compensation increase represents the long-term assumption for expected increases in salaries.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69" w:lineRule="exact"/>
        <w:rPr>
          <w:sz w:val="20"/>
          <w:szCs w:val="20"/>
          <w:color w:val="auto"/>
        </w:rPr>
      </w:pPr>
    </w:p>
    <w:p>
      <w:pPr>
        <w:ind w:firstLine="403"/>
        <w:spacing w:after="0" w:line="267" w:lineRule="auto"/>
        <w:rPr>
          <w:sz w:val="20"/>
          <w:szCs w:val="20"/>
          <w:color w:val="auto"/>
        </w:rPr>
      </w:pPr>
      <w:r>
        <w:rPr>
          <w:rFonts w:ascii="Arial" w:cs="Arial" w:eastAsia="Arial" w:hAnsi="Arial"/>
          <w:sz w:val="18"/>
          <w:szCs w:val="18"/>
          <w:color w:val="auto"/>
        </w:rPr>
        <w:t>The following tables provide our target allocation for the year ended October 31, 2021, as well as the actual asset allocation by asset category and fair value measurements as of October 31, 2021 and 2020: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180" w:type="dxa"/>
            <w:vAlign w:val="bottom"/>
            <w:gridSpan w:val="2"/>
          </w:tcPr>
          <w:p>
            <w:pPr>
              <w:ind w:left="440"/>
              <w:spacing w:after="0"/>
              <w:rPr>
                <w:sz w:val="20"/>
                <w:szCs w:val="20"/>
                <w:color w:val="auto"/>
              </w:rPr>
            </w:pPr>
            <w:r>
              <w:rPr>
                <w:rFonts w:ascii="Arial" w:cs="Arial" w:eastAsia="Arial" w:hAnsi="Arial"/>
                <w:sz w:val="14"/>
                <w:szCs w:val="14"/>
                <w:b w:val="1"/>
                <w:bCs w:val="1"/>
                <w:color w:val="auto"/>
              </w:rPr>
              <w:t>Target Allocation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rPr>
              <w:t>Actual Allocation</w:t>
            </w: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9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October 31, 2021</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October 31, 2021</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31, 2020</w:t>
            </w: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940" w:type="dxa"/>
            <w:vAlign w:val="bottom"/>
          </w:tcPr>
          <w:p>
            <w:pPr>
              <w:jc w:val="right"/>
              <w:spacing w:after="0"/>
              <w:rPr>
                <w:sz w:val="20"/>
                <w:szCs w:val="20"/>
                <w:color w:val="auto"/>
              </w:rPr>
            </w:pPr>
            <w:r>
              <w:rPr>
                <w:rFonts w:ascii="Arial" w:cs="Arial" w:eastAsia="Arial" w:hAnsi="Arial"/>
                <w:sz w:val="18"/>
                <w:szCs w:val="18"/>
                <w:color w:val="auto"/>
              </w:rPr>
              <w:t>40.0 %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40.0 %</w:t>
            </w:r>
          </w:p>
        </w:tc>
        <w:tc>
          <w:tcPr>
            <w:tcW w:w="20" w:type="dxa"/>
            <w:vAlign w:val="bottom"/>
          </w:tcPr>
          <w:p>
            <w:pPr>
              <w:spacing w:after="0"/>
              <w:rPr>
                <w:sz w:val="19"/>
                <w:szCs w:val="19"/>
                <w:color w:val="auto"/>
              </w:rPr>
            </w:pPr>
          </w:p>
        </w:tc>
      </w:tr>
      <w:tr>
        <w:trPr>
          <w:trHeight w:val="30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7"/>
          </w:tcPr>
          <w:p>
            <w:pPr>
              <w:ind w:left="900"/>
              <w:spacing w:after="0"/>
              <w:rPr>
                <w:sz w:val="20"/>
                <w:szCs w:val="20"/>
                <w:color w:val="auto"/>
              </w:rPr>
            </w:pPr>
            <w:r>
              <w:rPr>
                <w:rFonts w:ascii="Arial" w:cs="Arial" w:eastAsia="Arial" w:hAnsi="Arial"/>
                <w:sz w:val="14"/>
                <w:szCs w:val="14"/>
                <w:b w:val="1"/>
                <w:bCs w:val="1"/>
                <w:color w:val="auto"/>
              </w:rPr>
              <w:t>Fair Value Measurements at</w:t>
            </w:r>
          </w:p>
        </w:tc>
      </w:t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October 31, 2021</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4"/>
              </w:rPr>
              <w:t>October 31, 2020</w:t>
            </w:r>
          </w:p>
        </w:tc>
        <w:tc>
          <w:tcPr>
            <w:tcW w:w="2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10"/>
              <w:spacing w:after="0"/>
              <w:rPr>
                <w:sz w:val="20"/>
                <w:szCs w:val="20"/>
                <w:color w:val="auto"/>
              </w:rPr>
            </w:pPr>
            <w:r>
              <w:rPr>
                <w:rFonts w:ascii="Arial" w:cs="Arial" w:eastAsia="Arial" w:hAnsi="Arial"/>
                <w:sz w:val="13"/>
                <w:szCs w:val="13"/>
                <w:b w:val="1"/>
                <w:bCs w:val="1"/>
                <w:color w:val="auto"/>
              </w:rPr>
              <w:t>(In thousands)</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5"/>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w:t>
            </w:r>
          </w:p>
        </w:tc>
        <w:tc>
          <w:tcPr>
            <w:tcW w:w="1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20"/>
                <w:szCs w:val="20"/>
                <w:color w:val="auto"/>
              </w:rPr>
            </w:pPr>
          </w:p>
        </w:tc>
      </w:tr>
      <w:tr>
        <w:trPr>
          <w:trHeight w:val="215"/>
        </w:trPr>
        <w:tc>
          <w:tcPr>
            <w:tcW w:w="494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Large capitalization</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20" w:type="dxa"/>
            <w:vAlign w:val="bottom"/>
          </w:tcPr>
          <w:p>
            <w:pPr>
              <w:spacing w:after="0"/>
              <w:rPr>
                <w:sz w:val="19"/>
                <w:szCs w:val="19"/>
                <w:color w:val="auto"/>
              </w:rPr>
            </w:pPr>
          </w:p>
        </w:tc>
      </w:tr>
      <w:tr>
        <w:trPr>
          <w:trHeight w:val="228"/>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Small capitalization</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2,407</w:t>
            </w:r>
          </w:p>
        </w:tc>
        <w:tc>
          <w:tcPr>
            <w:tcW w:w="20" w:type="dxa"/>
            <w:vAlign w:val="bottom"/>
          </w:tcPr>
          <w:p>
            <w:pPr>
              <w:spacing w:after="0"/>
              <w:rPr>
                <w:sz w:val="19"/>
                <w:szCs w:val="19"/>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equity</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20" w:type="dxa"/>
            <w:vAlign w:val="bottom"/>
          </w:tcPr>
          <w:p>
            <w:pPr>
              <w:spacing w:after="0"/>
              <w:rPr>
                <w:sz w:val="19"/>
                <w:szCs w:val="19"/>
                <w:color w:val="auto"/>
              </w:rPr>
            </w:pPr>
          </w:p>
        </w:tc>
      </w:tr>
      <w:tr>
        <w:trPr>
          <w:trHeight w:val="228"/>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9"/>
                <w:szCs w:val="19"/>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18,952</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High-quality core bond</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0" w:type="dxa"/>
            <w:vAlign w:val="bottom"/>
          </w:tcPr>
          <w:p>
            <w:pPr>
              <w:spacing w:after="0"/>
              <w:rPr>
                <w:sz w:val="19"/>
                <w:szCs w:val="19"/>
                <w:color w:val="auto"/>
              </w:rPr>
            </w:pPr>
          </w:p>
        </w:tc>
      </w:tr>
      <w:tr>
        <w:trPr>
          <w:trHeight w:val="228"/>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High-quality government bond</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9"/>
                <w:szCs w:val="19"/>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High-yield bond</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9"/>
                <w:szCs w:val="19"/>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Fixed income</w:t>
            </w:r>
          </w:p>
        </w:tc>
        <w:tc>
          <w:tcPr>
            <w:tcW w:w="19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w:t>
            </w:r>
          </w:p>
        </w:tc>
        <w:tc>
          <w:tcPr>
            <w:tcW w:w="20" w:type="dxa"/>
            <w:vAlign w:val="bottom"/>
          </w:tcPr>
          <w:p>
            <w:pPr>
              <w:spacing w:after="0"/>
              <w:rPr>
                <w:sz w:val="19"/>
                <w:szCs w:val="19"/>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360"/>
              <w:spacing w:after="0" w:line="222" w:lineRule="exact"/>
              <w:rPr>
                <w:sz w:val="20"/>
                <w:szCs w:val="20"/>
                <w:color w:val="auto"/>
              </w:rPr>
            </w:pPr>
            <w:r>
              <w:rPr>
                <w:rFonts w:ascii="Arial" w:cs="Arial" w:eastAsia="Arial" w:hAnsi="Arial"/>
                <w:sz w:val="18"/>
                <w:szCs w:val="18"/>
                <w:color w:val="auto"/>
              </w:rPr>
              <w:t>Total securities</w:t>
            </w:r>
            <w:r>
              <w:rPr>
                <w:rFonts w:ascii="Arial" w:cs="Arial" w:eastAsia="Arial" w:hAnsi="Arial"/>
                <w:sz w:val="23"/>
                <w:szCs w:val="23"/>
                <w:color w:val="auto"/>
                <w:vertAlign w:val="superscript"/>
              </w:rPr>
              <w:t>(1)</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320" w:hanging="151"/>
        <w:spacing w:after="0"/>
        <w:tabs>
          <w:tab w:leader="none" w:pos="3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Quoted prices in active markets for identical assets (Level 1).</w:t>
      </w:r>
    </w:p>
    <w:p>
      <w:pPr>
        <w:spacing w:after="0" w:line="13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Inputs and valuation techniques used to measure the fair value of plan assets vary according to the type of security being valued. All of the equity and debt securities held directly by the plans were actively traded and fair values were determined based on quoted market prices.</w:t>
      </w:r>
    </w:p>
    <w:p>
      <w:pPr>
        <w:spacing w:after="0" w:line="117" w:lineRule="exact"/>
        <w:rPr>
          <w:sz w:val="20"/>
          <w:szCs w:val="20"/>
          <w:color w:val="auto"/>
        </w:rPr>
      </w:pPr>
    </w:p>
    <w:p>
      <w:pPr>
        <w:jc w:val="both"/>
        <w:ind w:firstLine="403"/>
        <w:spacing w:after="0" w:line="290" w:lineRule="auto"/>
        <w:rPr>
          <w:sz w:val="20"/>
          <w:szCs w:val="20"/>
          <w:color w:val="auto"/>
        </w:rPr>
      </w:pPr>
      <w:r>
        <w:rPr>
          <w:rFonts w:ascii="Arial" w:cs="Arial" w:eastAsia="Arial" w:hAnsi="Arial"/>
          <w:sz w:val="16"/>
          <w:szCs w:val="16"/>
          <w:color w:val="auto"/>
        </w:rPr>
        <w:t>Our investment objective for defined benefit plan assets is to meet the plans’ benefit obligations, while minimizing the potential for future required plan contributions. The investment strategies focus on asset class diversification, liquidity to meet benefit payments and an appropriate balance of long-term investment return and risk. Target ranges for asset allocations are determined by matching the actuarial projections of the plans’ future liabilities and benefit payments with expected long-term rates of return on the assets, taking into account investment return volatility and correlations across asset classes. Plan assets are diversified across several investment managers and are generally invested in liquid funds that are selected to track broad market equity and bond indices. Investment risk is carefully controlled with plan assets rebalanced to target allocations on a periodic basis and monitoring of performance of investment managers relative to the investment guidelines established with each investment manager.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Benefit Payments and Funding</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pension funding policy is to make the minimum annual contributions required pursuant to the plan. For the fiscal years ended October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we made total pension contributions of $0.5 million, $3.7 million and $0.7 million, respectively.</w:t>
      </w:r>
    </w:p>
    <w:p>
      <w:pPr>
        <w:spacing w:after="0" w:line="235"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During fiscal 2022, we do not expect to need to make a contribution to the pension plan to maintain targeted funding levels and meet minimum contribution requirements. This expected contribution level will be dependent on many variables, including the market value of the assets compared to the obligation, as well as other market or regulatory conditions. In addition, we consider the cash requirements of our business investment opportunities. Accordingly, actual funding amounts and the timing of such funding may differ from current estimates.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following table presents the total benefit payments expected to be paid to participants by year, which includes payments funded from our assets, as well as payments paid from the plan for the year ended October 31,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jc w:val="right"/>
              <w:ind w:right="513"/>
              <w:spacing w:after="0"/>
              <w:rPr>
                <w:sz w:val="20"/>
                <w:szCs w:val="20"/>
                <w:color w:val="auto"/>
              </w:rPr>
            </w:pPr>
            <w:r>
              <w:rPr>
                <w:rFonts w:ascii="Arial" w:cs="Arial" w:eastAsia="Arial" w:hAnsi="Arial"/>
                <w:sz w:val="14"/>
                <w:szCs w:val="14"/>
                <w:b w:val="1"/>
                <w:bCs w:val="1"/>
                <w:color w:val="auto"/>
              </w:rPr>
              <w:t>Pension Benefits</w:t>
            </w:r>
          </w:p>
        </w:tc>
      </w:tr>
      <w:tr>
        <w:trPr>
          <w:trHeight w:val="234"/>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28"/>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28"/>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r>
      <w:tr>
        <w:trPr>
          <w:trHeight w:val="228"/>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28"/>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28"/>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2027 - 2031</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10,430</w:t>
            </w:r>
          </w:p>
        </w:tc>
      </w:tr>
      <w:tr>
        <w:trPr>
          <w:trHeight w:val="24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69"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We also sponsor two defined contribution plans into which we and our employees make contributions. As of January 1, 2020, we match 100% up to the first 5% of employee annual salary deferrals under our plan for all employees excluding NA Cabinet Components participants, who receive a 100% match up to 4% of employee annual salary deferrals. Between January 1, 2018 and January 1, 2020, we matched 50% up to the first 5% of employee salary deferrals. We do not offer our common stock as a direct investment option under these plans. For the years ended October 31, 2021, 2020 and 2019, we contributed approximately $6.3 million, $4.8 million and $2.7 million for these plans,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Plans</w:t>
      </w:r>
    </w:p>
    <w:p>
      <w:pPr>
        <w:spacing w:after="0" w:line="16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have supplemental benefit plans covering certain executive officers and a non-qualified deferred compensation plan covering members of the Board of Directors and certain key employees. Our liability under the supplemental benefit plan was approximately $2.9 million and $2.6 million as of October 31, 2021 and 2020, and our liability under the deferred compensation plan was approximately $3.4 million and $3.3 million, respectively. As of October 31, 2021 and 2020, the current portion of these liabilities was recorded under the caption “Accrued Liabilities,” and the long-term portion was included under the caption “Other Liabilities” in the accompanying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0" w:lineRule="exact"/>
        <w:rPr>
          <w:sz w:val="20"/>
          <w:szCs w:val="20"/>
          <w:color w:val="auto"/>
        </w:rPr>
      </w:pPr>
    </w:p>
    <w:p>
      <w:pPr>
        <w:jc w:val="both"/>
        <w:ind w:right="280" w:firstLine="403"/>
        <w:spacing w:after="0" w:line="234" w:lineRule="auto"/>
        <w:rPr>
          <w:sz w:val="20"/>
          <w:szCs w:val="20"/>
          <w:color w:val="auto"/>
        </w:rPr>
      </w:pPr>
      <w:r>
        <w:rPr>
          <w:rFonts w:ascii="Arial" w:cs="Arial" w:eastAsia="Arial" w:hAnsi="Arial"/>
          <w:sz w:val="18"/>
          <w:szCs w:val="18"/>
          <w:color w:val="auto"/>
        </w:rPr>
        <w:t>The provision or benefit for income taxes includes U.S. federal income taxes (determined on a consolidated return basis), foreign income taxes and state income taxes. We provide for income taxes on taxable income at the applicable statutory rates. The following table summarizes the components of income tax expense for the years ended October 31, 2021, 2020 and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October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440" w:type="dxa"/>
            <w:vAlign w:val="bottom"/>
          </w:tcPr>
          <w:p>
            <w:pPr>
              <w:ind w:left="340"/>
              <w:spacing w:after="0"/>
              <w:rPr>
                <w:sz w:val="20"/>
                <w:szCs w:val="20"/>
                <w:color w:val="auto"/>
              </w:rPr>
            </w:pPr>
            <w:r>
              <w:rPr>
                <w:rFonts w:ascii="Arial" w:cs="Arial" w:eastAsia="Arial" w:hAnsi="Arial"/>
                <w:sz w:val="18"/>
                <w:szCs w:val="18"/>
                <w:color w:val="auto"/>
              </w:rPr>
              <w:t>Federal</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10,993</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6,043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28"/>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8"/>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Non-United States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r>
      <w:tr>
        <w:trPr>
          <w:trHeight w:val="222"/>
        </w:trPr>
        <w:tc>
          <w:tcPr>
            <w:tcW w:w="6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21,329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28"/>
        </w:trPr>
        <w:tc>
          <w:tcPr>
            <w:tcW w:w="6440" w:type="dxa"/>
            <w:vAlign w:val="bottom"/>
          </w:tcPr>
          <w:p>
            <w:pPr>
              <w:ind w:left="20"/>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28"/>
        </w:trPr>
        <w:tc>
          <w:tcPr>
            <w:tcW w:w="644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28"/>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Non-United States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2"/>
        </w:trPr>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r>
      <w:tr>
        <w:trPr>
          <w:trHeight w:val="247"/>
        </w:trPr>
        <w:tc>
          <w:tcPr>
            <w:tcW w:w="64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income tax expense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23,114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267" w:lineRule="auto"/>
        <w:rPr>
          <w:sz w:val="20"/>
          <w:szCs w:val="20"/>
          <w:color w:val="auto"/>
        </w:rPr>
      </w:pPr>
      <w:r>
        <w:rPr>
          <w:rFonts w:ascii="Arial" w:cs="Arial" w:eastAsia="Arial" w:hAnsi="Arial"/>
          <w:sz w:val="18"/>
          <w:szCs w:val="18"/>
          <w:color w:val="auto"/>
        </w:rPr>
        <w:t>For financial reporting purposes, income (loss) before income taxes for the years ended October 31, 2021, 2020 and 2019 includes the following components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October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6"/>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9"/>
              </w:rPr>
              <w:t>(58,247)</w:t>
            </w:r>
          </w:p>
        </w:tc>
      </w:tr>
      <w:tr>
        <w:trPr>
          <w:trHeight w:val="22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0"/>
              </w:rPr>
              <w:t>22,293</w:t>
            </w:r>
          </w:p>
        </w:tc>
      </w:tr>
      <w:tr>
        <w:trPr>
          <w:trHeight w:val="247"/>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income (loss)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89"/>
              </w:rPr>
              <w:t>(35,954)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reconciles our effective income tax rate to the federal statutory rate for the years ended October 31, 2021, 2020 and 2019:</w:t>
      </w:r>
    </w:p>
    <w:p>
      <w:pPr>
        <w:spacing w:after="0" w:line="51"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October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tax at statutory rate</w:t>
            </w: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2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w:t>
            </w:r>
          </w:p>
        </w:tc>
        <w:tc>
          <w:tcPr>
            <w:tcW w:w="580" w:type="dxa"/>
            <w:vAlign w:val="bottom"/>
          </w:tcPr>
          <w:p>
            <w:pPr>
              <w:jc w:val="right"/>
              <w:spacing w:after="0"/>
              <w:rPr>
                <w:sz w:val="20"/>
                <w:szCs w:val="20"/>
                <w:color w:val="auto"/>
              </w:rPr>
            </w:pPr>
            <w:r>
              <w:rPr>
                <w:rFonts w:ascii="Arial" w:cs="Arial" w:eastAsia="Arial" w:hAnsi="Arial"/>
                <w:sz w:val="18"/>
                <w:szCs w:val="18"/>
                <w:color w:val="auto"/>
              </w:rPr>
              <w:t>3.1 %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8"/>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Non-United States income tax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U.K. patent box benefit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8"/>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income tax credits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Foreign tax positions under the Act (GILTI and FDII)</w:t>
            </w:r>
          </w:p>
        </w:tc>
        <w:tc>
          <w:tcPr>
            <w:tcW w:w="580" w:type="dxa"/>
            <w:vAlign w:val="bottom"/>
          </w:tcPr>
          <w:p>
            <w:pPr>
              <w:jc w:val="right"/>
              <w:spacing w:after="0"/>
              <w:rPr>
                <w:sz w:val="20"/>
                <w:szCs w:val="20"/>
                <w:color w:val="auto"/>
              </w:rPr>
            </w:pPr>
            <w:r>
              <w:rPr>
                <w:rFonts w:ascii="Arial" w:cs="Arial" w:eastAsia="Arial" w:hAnsi="Arial"/>
                <w:sz w:val="18"/>
                <w:szCs w:val="18"/>
                <w:color w:val="auto"/>
              </w:rPr>
              <w:t>4.2 %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8"/>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deemed repatriation</w:t>
            </w:r>
          </w:p>
        </w:tc>
        <w:tc>
          <w:tcPr>
            <w:tcW w:w="176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Asset impairment charges</w:t>
            </w:r>
          </w:p>
        </w:tc>
        <w:tc>
          <w:tcPr>
            <w:tcW w:w="1760" w:type="dxa"/>
            <w:vAlign w:val="bottom"/>
            <w:gridSpan w:val="3"/>
          </w:tcPr>
          <w:p>
            <w:pPr>
              <w:jc w:val="right"/>
              <w:ind w:right="120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8"/>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42"/>
        </w:trPr>
        <w:tc>
          <w:tcPr>
            <w:tcW w:w="7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28.9 %</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23.5 %</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On December 22, 2017, the Tax Cuts and Jobs Act was signed into law. This Act reduced our federal income tax statutory rate from 35.0% to 21.0% for the fiscal years ending October 31, 2021, 2020 and 2019. This Act also imposed additional tax law changes that became effective during fiscal 2019, which include new requirements for a global intangible low-taxed income provision (GILTI) and a deduction for foreign-derived intangible income (FDII). We elected to account for the tax on GILTI as a period cost therefore we have not recorded deferred taxes related to GILTI on our foreign subsidiaries.</w:t>
      </w:r>
    </w:p>
    <w:p>
      <w:pPr>
        <w:spacing w:after="0" w:line="88" w:lineRule="exact"/>
        <w:rPr>
          <w:sz w:val="20"/>
          <w:szCs w:val="20"/>
          <w:color w:val="auto"/>
        </w:rPr>
      </w:pPr>
    </w:p>
    <w:p>
      <w:pPr>
        <w:ind w:right="460" w:firstLine="403"/>
        <w:spacing w:after="0" w:line="244" w:lineRule="auto"/>
        <w:rPr>
          <w:sz w:val="20"/>
          <w:szCs w:val="20"/>
          <w:color w:val="auto"/>
        </w:rPr>
      </w:pPr>
      <w:r>
        <w:rPr>
          <w:rFonts w:ascii="Arial" w:cs="Arial" w:eastAsia="Arial" w:hAnsi="Arial"/>
          <w:sz w:val="18"/>
          <w:szCs w:val="18"/>
          <w:color w:val="auto"/>
        </w:rPr>
        <w:t>The October 31, 2021 effective tax rate is higher than the U.S. federal statutory rate of 21% primarily due to state income taxes, GILTI, and non-United States income tax, partially offset by U.S. foreign tax credits.</w:t>
      </w:r>
    </w:p>
    <w:p>
      <w:pPr>
        <w:spacing w:after="0" w:line="130"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October 31, 2020 effective tax rate was impacted by the true-up of our accruals and related deferred taxes from prior year filings and settled tax audits as well as $0.6 million related to the vesting or exercise of equity-based compensation awards.</w:t>
      </w:r>
    </w:p>
    <w:p>
      <w:pPr>
        <w:spacing w:after="0" w:line="117"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The October 31, 2019 effective rate was primarily impacted by a net charge of $1.2 million related to GILTI and FDII, as well as discrete charge of $0.4 million for the adjustment of the one-time mandatory transition tax on deemed repatriation of previously tax-deferred and unremitted foreign earnings and $0.6 million related to the vesting or exercise of equity-based compensation awards. Additionally, during the year ended October 31, 2019, we recorded a $74.6 million asset impairment charge, which was primarily non-deductible, in the NA Cabinet Components segment, as further explained in Note 6, “Goodwill and Intangible Assets.”</w:t>
      </w:r>
    </w:p>
    <w:p>
      <w:pPr>
        <w:spacing w:after="0" w:line="137"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Given the significance of the Tax Cuts and Jobs Act, the SEC staff issued Staff Accounting Bulletin No. 118 (SAB 118), which allows registrants to record provisional amounts during a one year “measurement period.” As of October 31, 2019, we have completed the accounting for the tax effects of the Act.</w:t>
      </w:r>
    </w:p>
    <w:p>
      <w:pPr>
        <w:spacing w:after="0" w:line="128"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In light of the Tax Cuts and Jobs Act, we repatriated $28.4 million and $31.9 million of foreign earnings from our international operations during the years ended October 31, 2021 and 2020, respectively. This was repatriation of excess cash that was a portion of the one-time mandatory transition tax discussed above. We will continue to evaluate our foreign cash position and may repatriate additional foreign earnings in the future. Our earnings from our foreign subsidiaries are not subject to significant withholding taxes upon remittances to the U.S.. As a result, we do not anticipate any significant future tax impacts from any potential repatriation of previously unremitted foreign earnings.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components of our net deferred tax liabilities and assets were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3"/>
              </w:rPr>
              <w:t>October 31,</w:t>
            </w:r>
          </w:p>
        </w:tc>
        <w:tc>
          <w:tcPr>
            <w:tcW w:w="1220" w:type="dxa"/>
            <w:vAlign w:val="bottom"/>
            <w:tcBorders>
              <w:bottom w:val="single" w:sz="8" w:color="auto"/>
            </w:tcBorders>
          </w:tcPr>
          <w:p>
            <w:pPr>
              <w:spacing w:after="0"/>
              <w:rPr>
                <w:sz w:val="16"/>
                <w:szCs w:val="16"/>
                <w:color w:val="auto"/>
              </w:rPr>
            </w:pPr>
          </w:p>
        </w:tc>
      </w:tr>
      <w:tr>
        <w:trPr>
          <w:trHeight w:val="186"/>
        </w:trPr>
        <w:tc>
          <w:tcPr>
            <w:tcW w:w="70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0"/>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Deferred tax assets:</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7020" w:type="dxa"/>
            <w:vAlign w:val="bottom"/>
          </w:tcPr>
          <w:p>
            <w:pPr>
              <w:ind w:left="760"/>
              <w:spacing w:after="0"/>
              <w:rPr>
                <w:sz w:val="20"/>
                <w:szCs w:val="20"/>
                <w:color w:val="auto"/>
              </w:rPr>
            </w:pPr>
            <w:r>
              <w:rPr>
                <w:rFonts w:ascii="Arial" w:cs="Arial" w:eastAsia="Arial" w:hAnsi="Arial"/>
                <w:sz w:val="18"/>
                <w:szCs w:val="18"/>
                <w:color w:val="auto"/>
              </w:rPr>
              <w:t>Employee benefit obligations</w:t>
            </w:r>
          </w:p>
        </w:tc>
        <w:tc>
          <w:tcPr>
            <w:tcW w:w="138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7,591</w:t>
            </w:r>
          </w:p>
        </w:tc>
        <w:tc>
          <w:tcPr>
            <w:tcW w:w="10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6,634</w:t>
            </w:r>
          </w:p>
        </w:tc>
      </w:tr>
      <w:tr>
        <w:trPr>
          <w:trHeight w:val="228"/>
        </w:trPr>
        <w:tc>
          <w:tcPr>
            <w:tcW w:w="7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and reserves</w:t>
            </w: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28"/>
        </w:trPr>
        <w:tc>
          <w:tcPr>
            <w:tcW w:w="7020" w:type="dxa"/>
            <w:vAlign w:val="bottom"/>
          </w:tcPr>
          <w:p>
            <w:pPr>
              <w:ind w:left="760"/>
              <w:spacing w:after="0"/>
              <w:rPr>
                <w:sz w:val="20"/>
                <w:szCs w:val="20"/>
                <w:color w:val="auto"/>
              </w:rPr>
            </w:pPr>
            <w:r>
              <w:rPr>
                <w:rFonts w:ascii="Arial" w:cs="Arial" w:eastAsia="Arial" w:hAnsi="Arial"/>
                <w:sz w:val="18"/>
                <w:szCs w:val="18"/>
                <w:color w:val="auto"/>
              </w:rPr>
              <w:t>Pension and other benefit obligations</w:t>
            </w: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28"/>
        </w:trPr>
        <w:tc>
          <w:tcPr>
            <w:tcW w:w="7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Inventory</w:t>
            </w: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8"/>
        </w:trPr>
        <w:tc>
          <w:tcPr>
            <w:tcW w:w="7020" w:type="dxa"/>
            <w:vAlign w:val="bottom"/>
          </w:tcPr>
          <w:p>
            <w:pPr>
              <w:ind w:left="760"/>
              <w:spacing w:after="0"/>
              <w:rPr>
                <w:sz w:val="20"/>
                <w:szCs w:val="20"/>
                <w:color w:val="auto"/>
              </w:rPr>
            </w:pPr>
            <w:r>
              <w:rPr>
                <w:rFonts w:ascii="Arial" w:cs="Arial" w:eastAsia="Arial" w:hAnsi="Arial"/>
                <w:sz w:val="18"/>
                <w:szCs w:val="18"/>
                <w:color w:val="auto"/>
              </w:rPr>
              <w:t>Loss and tax credit carry forwards</w:t>
            </w: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28"/>
        </w:trPr>
        <w:tc>
          <w:tcPr>
            <w:tcW w:w="7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2"/>
        </w:trPr>
        <w:tc>
          <w:tcPr>
            <w:tcW w:w="7020" w:type="dxa"/>
            <w:vAlign w:val="bottom"/>
          </w:tcPr>
          <w:p>
            <w:pPr>
              <w:ind w:left="1080"/>
              <w:spacing w:after="0"/>
              <w:rPr>
                <w:sz w:val="20"/>
                <w:szCs w:val="20"/>
                <w:color w:val="auto"/>
              </w:rPr>
            </w:pPr>
            <w:r>
              <w:rPr>
                <w:rFonts w:ascii="Arial" w:cs="Arial" w:eastAsia="Arial" w:hAnsi="Arial"/>
                <w:sz w:val="18"/>
                <w:szCs w:val="18"/>
                <w:color w:val="auto"/>
              </w:rPr>
              <w:t>Total gross deferred tax assets</w:t>
            </w: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13,808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14,313</w:t>
            </w:r>
          </w:p>
        </w:tc>
      </w:tr>
      <w:tr>
        <w:trPr>
          <w:trHeight w:val="228"/>
        </w:trPr>
        <w:tc>
          <w:tcPr>
            <w:tcW w:w="7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Less: Valuation allowance</w:t>
            </w:r>
          </w:p>
        </w:tc>
        <w:tc>
          <w:tcPr>
            <w:tcW w:w="1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2"/>
        </w:trPr>
        <w:tc>
          <w:tcPr>
            <w:tcW w:w="7020" w:type="dxa"/>
            <w:vAlign w:val="bottom"/>
          </w:tcPr>
          <w:p>
            <w:pPr>
              <w:ind w:left="1080"/>
              <w:spacing w:after="0"/>
              <w:rPr>
                <w:sz w:val="20"/>
                <w:szCs w:val="20"/>
                <w:color w:val="auto"/>
              </w:rPr>
            </w:pPr>
            <w:r>
              <w:rPr>
                <w:rFonts w:ascii="Arial" w:cs="Arial" w:eastAsia="Arial" w:hAnsi="Arial"/>
                <w:sz w:val="18"/>
                <w:szCs w:val="18"/>
                <w:color w:val="auto"/>
              </w:rPr>
              <w:t>Total deferred tax assets, net of valuation allowance</w:t>
            </w: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12,634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12,820</w:t>
            </w:r>
          </w:p>
        </w:tc>
      </w:tr>
      <w:tr>
        <w:trPr>
          <w:trHeight w:val="228"/>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Deferred tax liabilities:</w:t>
            </w: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7020" w:type="dxa"/>
            <w:vAlign w:val="bottom"/>
          </w:tcPr>
          <w:p>
            <w:pPr>
              <w:ind w:left="760"/>
              <w:spacing w:after="0"/>
              <w:rPr>
                <w:sz w:val="20"/>
                <w:szCs w:val="20"/>
                <w:color w:val="auto"/>
              </w:rPr>
            </w:pPr>
            <w:r>
              <w:rPr>
                <w:rFonts w:ascii="Arial" w:cs="Arial" w:eastAsia="Arial" w:hAnsi="Arial"/>
                <w:sz w:val="18"/>
                <w:szCs w:val="18"/>
                <w:color w:val="auto"/>
              </w:rPr>
              <w:t>Property, plant and equipment</w:t>
            </w: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11,187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10,465</w:t>
            </w:r>
          </w:p>
        </w:tc>
      </w:tr>
      <w:tr>
        <w:trPr>
          <w:trHeight w:val="228"/>
        </w:trPr>
        <w:tc>
          <w:tcPr>
            <w:tcW w:w="7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Goodwill and intangibles</w:t>
            </w:r>
          </w:p>
        </w:tc>
        <w:tc>
          <w:tcPr>
            <w:tcW w:w="1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23,412</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21,471</w:t>
            </w:r>
          </w:p>
        </w:tc>
      </w:tr>
      <w:tr>
        <w:trPr>
          <w:trHeight w:val="222"/>
        </w:trPr>
        <w:tc>
          <w:tcPr>
            <w:tcW w:w="702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Total deferred tax liabilities</w:t>
            </w:r>
          </w:p>
        </w:tc>
        <w:tc>
          <w:tcPr>
            <w:tcW w:w="1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34,599</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31,936</w:t>
            </w:r>
          </w:p>
        </w:tc>
      </w:tr>
      <w:tr>
        <w:trPr>
          <w:trHeight w:val="247"/>
        </w:trPr>
        <w:tc>
          <w:tcPr>
            <w:tcW w:w="70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Net deferred tax liabilities</w:t>
            </w:r>
          </w:p>
        </w:tc>
        <w:tc>
          <w:tcPr>
            <w:tcW w:w="13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21,965</w:t>
            </w: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403"/>
        <w:spacing w:after="0" w:line="286" w:lineRule="auto"/>
        <w:rPr>
          <w:sz w:val="20"/>
          <w:szCs w:val="20"/>
          <w:color w:val="auto"/>
        </w:rPr>
      </w:pPr>
      <w:r>
        <w:rPr>
          <w:rFonts w:ascii="Arial" w:cs="Arial" w:eastAsia="Arial" w:hAnsi="Arial"/>
          <w:sz w:val="16"/>
          <w:szCs w:val="16"/>
          <w:color w:val="auto"/>
        </w:rPr>
        <w:t>At October 31, 2021, state operating loss carry forwards totaled $28.0 million. The majority of these losses begin to expire in 2025. We evaluate tax benefits of operating losses and tax credit carry forwards on an ongoing basis, including a review of historical and projected future operating results, the eligible carry forward period and other circumstances. We have recorded a valuation allowance for certain state net operating losses as of October 31, 2021 and 2020, totaling $1.3 million and $1.5 million, respectively ($1.0 million and $1.2 million, respectively, net of federal taxes). During the year ended October 31, 2021, we recorded a net $0.2 million decrease in our state valuation allowances. The valuation allowances can be affected in future periods by changes to tax laws, changes to statutory tax rates, and changes in estimates of future taxable income. To fully realize these net deferred tax assets, we will need to generate sufficient future taxable income in the countries where these tax attributes exist during the periods in which the attributes can be utilized. As of each reporting date, management considers the weight of all evidence, both positive and negative, to determine if a valuation allowance is necessary for each jurisdiction’s net deferred tax assets. We place greater weight on historical evidence over future predictions of our ability to utilize net deferred tax assets. We consider future reversals of existing taxable temporary differences, future taxable income exclusive of reversing temporary differences, and taxable income in prior carryback year(s) if carryback is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following table shows the change in the unrecognized income tax benefit associated with uncertain tax positions for the years ended October 31, 2021, 2020 and 2019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373"/>
              <w:spacing w:after="0"/>
              <w:rPr>
                <w:sz w:val="20"/>
                <w:szCs w:val="20"/>
                <w:color w:val="auto"/>
              </w:rPr>
            </w:pPr>
            <w:r>
              <w:rPr>
                <w:rFonts w:ascii="Arial" w:cs="Arial" w:eastAsia="Arial" w:hAnsi="Arial"/>
                <w:sz w:val="14"/>
                <w:szCs w:val="14"/>
                <w:b w:val="1"/>
                <w:bCs w:val="1"/>
                <w:color w:val="auto"/>
              </w:rPr>
              <w:t>Unrecognized</w:t>
            </w:r>
          </w:p>
        </w:tc>
      </w:tr>
      <w:tr>
        <w:trPr>
          <w:trHeight w:val="187"/>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Income Tax Benefits</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8"/>
        </w:trPr>
        <w:tc>
          <w:tcPr>
            <w:tcW w:w="9480" w:type="dxa"/>
            <w:vAlign w:val="bottom"/>
          </w:tcPr>
          <w:p>
            <w:pPr>
              <w:ind w:left="220"/>
              <w:spacing w:after="0"/>
              <w:rPr>
                <w:sz w:val="20"/>
                <w:szCs w:val="20"/>
                <w:color w:val="auto"/>
              </w:rPr>
            </w:pPr>
            <w:r>
              <w:rPr>
                <w:rFonts w:ascii="Arial" w:cs="Arial" w:eastAsia="Arial" w:hAnsi="Arial"/>
                <w:sz w:val="18"/>
                <w:szCs w:val="18"/>
                <w:color w:val="auto"/>
              </w:rPr>
              <w:t>Additions for tax positions related to the current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related to the prior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8"/>
        </w:trPr>
        <w:tc>
          <w:tcPr>
            <w:tcW w:w="9480" w:type="dxa"/>
            <w:vAlign w:val="bottom"/>
          </w:tcPr>
          <w:p>
            <w:pPr>
              <w:ind w:left="220"/>
              <w:spacing w:after="0"/>
              <w:rPr>
                <w:sz w:val="20"/>
                <w:szCs w:val="20"/>
                <w:color w:val="auto"/>
              </w:rPr>
            </w:pPr>
            <w:r>
              <w:rPr>
                <w:rFonts w:ascii="Arial" w:cs="Arial" w:eastAsia="Arial" w:hAnsi="Arial"/>
                <w:sz w:val="18"/>
                <w:szCs w:val="18"/>
                <w:color w:val="auto"/>
              </w:rPr>
              <w:t>Additions for tax positions related to the current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related to the prior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8"/>
        </w:trPr>
        <w:tc>
          <w:tcPr>
            <w:tcW w:w="9480" w:type="dxa"/>
            <w:vAlign w:val="bottom"/>
          </w:tcPr>
          <w:p>
            <w:pPr>
              <w:ind w:left="220"/>
              <w:spacing w:after="0"/>
              <w:rPr>
                <w:sz w:val="20"/>
                <w:szCs w:val="20"/>
                <w:color w:val="auto"/>
              </w:rPr>
            </w:pPr>
            <w:r>
              <w:rPr>
                <w:rFonts w:ascii="Arial" w:cs="Arial" w:eastAsia="Arial" w:hAnsi="Arial"/>
                <w:sz w:val="18"/>
                <w:szCs w:val="18"/>
                <w:color w:val="auto"/>
              </w:rPr>
              <w:t>Additions for tax positions related to the current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related to the prior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October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As of October 31, 2021, our unrecognized tax benefit (UTB) relates to certain federal and state tax items regarding the interpretation of tax laws and regulations. At October 31, 2021, $1.4 million is recorded as a liability for uncertain tax positions. The addition related to the current year ended October 31, 2021 is associated with stock-based compensation tax deductions claimed on a prior U.S. federal income tax return. We have accrued an immaterial amount for the payment of interest, net of tax benefits, and penalties as of October 31, 2021, 2020 and 2019, respectively.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13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We, along with our subsidiaries, file income tax returns in the U.S. and various state jurisdictions as well as in the U.K., Germany and Canada. In certain jurisdictions, the statute of limitations has not yet expired. We generally remain subject to examination of our U.S. income tax returns for 2017 and subsequent years. We generally remain subject to examination of our various state and foreign income tax returns for a period of four to five years from the date the return was filed. The state impact of any federal changes remains subject to examination by various states for a period of up to one year after formal notification to the state of the federal change.</w:t>
      </w:r>
    </w:p>
    <w:p>
      <w:pPr>
        <w:spacing w:after="0" w:line="137"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We do not believe any of the UTB at October 31, 2021 will be recognized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69"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We are a party to non-cancelable purchase obligations primarily for door hardware, primary and secondary steel and primary and secondary aluminum used in our manufacturing processes, as well as expenditures related to capital projects in progress. We paid $9.9 million and $9.0 million pursuant to these arrangements for the years ended October 31, 2021 and 2020, respectively. These obligations total $23.4 million and $22.4 million at October 31, 2021 and 2020, respectively, and extend through fiscal 2022. Future amounts paid pursuant to these arrangements will depend, to some extent, on our usage.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w:t>
      </w:r>
    </w:p>
    <w:p>
      <w:pPr>
        <w:spacing w:after="0" w:line="169"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maintain an asset retirement obligation associated with a leased facility in Kent, Washington. We have estimated our future cash flows associated with this asset retirement obligation and recorded an asset and corresponding liability. We are depreciating the asset and accreting the liability over a seven year term, to culminate in an asset retirement obligation of $2.3 million as of February 2025.</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1"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2022.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169"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8"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9" w:lineRule="exact"/>
        <w:rPr>
          <w:sz w:val="20"/>
          <w:szCs w:val="20"/>
          <w:color w:val="auto"/>
        </w:rPr>
      </w:pPr>
    </w:p>
    <w:p>
      <w:pPr>
        <w:jc w:val="both"/>
        <w:ind w:firstLine="403"/>
        <w:spacing w:after="0" w:line="292"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of Assets and Liabilities</w:t>
      </w:r>
    </w:p>
    <w:p>
      <w:pPr>
        <w:spacing w:after="0" w:line="173" w:lineRule="exact"/>
        <w:rPr>
          <w:sz w:val="20"/>
          <w:szCs w:val="20"/>
          <w:color w:val="auto"/>
        </w:rPr>
      </w:pPr>
    </w:p>
    <w:p>
      <w:pPr>
        <w:jc w:val="both"/>
        <w:ind w:firstLine="403"/>
        <w:spacing w:after="0" w:line="274"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7" w:lineRule="exact"/>
        <w:rPr>
          <w:sz w:val="20"/>
          <w:szCs w:val="20"/>
          <w:color w:val="auto"/>
        </w:rPr>
      </w:pPr>
    </w:p>
    <w:p>
      <w:pPr>
        <w:ind w:left="480" w:hanging="150"/>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7" w:lineRule="exact"/>
        <w:rPr>
          <w:rFonts w:ascii="Arial" w:cs="Arial" w:eastAsia="Arial" w:hAnsi="Arial"/>
          <w:sz w:val="17"/>
          <w:szCs w:val="17"/>
          <w:color w:val="auto"/>
        </w:rPr>
      </w:pPr>
    </w:p>
    <w:p>
      <w:pPr>
        <w:jc w:val="both"/>
        <w:ind w:left="500" w:hanging="170"/>
        <w:spacing w:after="0" w:line="258"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7" w:lineRule="exact"/>
        <w:rPr>
          <w:rFonts w:ascii="Arial" w:cs="Arial" w:eastAsia="Arial" w:hAnsi="Arial"/>
          <w:sz w:val="18"/>
          <w:szCs w:val="18"/>
          <w:color w:val="auto"/>
        </w:rPr>
      </w:pPr>
    </w:p>
    <w:p>
      <w:pPr>
        <w:ind w:left="480" w:hanging="15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Carrying amounts reported on the balance sheets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2021 and 2020 (Level 2 measurement).</w:t>
      </w:r>
    </w:p>
    <w:p>
      <w:pPr>
        <w:spacing w:after="0" w:line="131" w:lineRule="exact"/>
        <w:rPr>
          <w:sz w:val="20"/>
          <w:szCs w:val="20"/>
          <w:color w:val="auto"/>
        </w:rPr>
      </w:pPr>
    </w:p>
    <w:p>
      <w:pPr>
        <w:jc w:val="both"/>
        <w:ind w:firstLine="403"/>
        <w:spacing w:after="0" w:line="305" w:lineRule="auto"/>
        <w:rPr>
          <w:sz w:val="20"/>
          <w:szCs w:val="20"/>
          <w:color w:val="auto"/>
        </w:rPr>
      </w:pPr>
      <w:r>
        <w:rPr>
          <w:rFonts w:ascii="Arial" w:cs="Arial" w:eastAsia="Arial" w:hAnsi="Arial"/>
          <w:sz w:val="17"/>
          <w:szCs w:val="17"/>
          <w:color w:val="auto"/>
        </w:rPr>
        <w:t>Our restricted stock units and performance share awards are marked-to-market on a quarterly basis during a three-year vesting period based on market data (Level 2 measurement). For further information refer to Note 13. Stock-Based Compensation - Performance Share Awards.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73"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8" w:lineRule="exact"/>
        <w:rPr>
          <w:sz w:val="20"/>
          <w:szCs w:val="20"/>
          <w:color w:val="auto"/>
        </w:rPr>
      </w:pPr>
    </w:p>
    <w:p>
      <w:pPr>
        <w:jc w:val="both"/>
        <w:ind w:firstLine="403"/>
        <w:spacing w:after="0" w:line="254"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69" w:lineRule="exact"/>
        <w:rPr>
          <w:sz w:val="20"/>
          <w:szCs w:val="20"/>
          <w:color w:val="auto"/>
        </w:rPr>
      </w:pPr>
    </w:p>
    <w:p>
      <w:pPr>
        <w:jc w:val="both"/>
        <w:ind w:firstLine="403"/>
        <w:spacing w:after="0" w:line="300"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a restricted stock award is entitled to all of the rights of a shareholder, except that the awards are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 activity during the years ended October 31, 2021, 2020 and 2019,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35"/>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76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Restricted Stock Awards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35"/>
              <w:spacing w:after="0" w:line="134" w:lineRule="exact"/>
              <w:rPr>
                <w:sz w:val="20"/>
                <w:szCs w:val="20"/>
                <w:color w:val="auto"/>
              </w:rPr>
            </w:pPr>
            <w:r>
              <w:rPr>
                <w:rFonts w:ascii="Arial" w:cs="Arial" w:eastAsia="Arial" w:hAnsi="Arial"/>
                <w:sz w:val="13"/>
                <w:szCs w:val="13"/>
                <w:b w:val="1"/>
                <w:bCs w:val="1"/>
                <w:color w:val="auto"/>
                <w:w w:val="97"/>
              </w:rPr>
              <w:t>Grant Date Fair Value per</w:t>
            </w:r>
          </w:p>
        </w:tc>
        <w:tc>
          <w:tcPr>
            <w:tcW w:w="0" w:type="dxa"/>
            <w:vAlign w:val="bottom"/>
          </w:tcPr>
          <w:p>
            <w:pPr>
              <w:spacing w:after="0"/>
              <w:rPr>
                <w:sz w:val="1"/>
                <w:szCs w:val="1"/>
                <w:color w:val="auto"/>
              </w:rPr>
            </w:pPr>
          </w:p>
        </w:tc>
      </w:tr>
      <w:tr>
        <w:trPr>
          <w:trHeight w:val="181"/>
        </w:trPr>
        <w:tc>
          <w:tcPr>
            <w:tcW w:w="74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2018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124,800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63,400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73,300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October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right="20" w:firstLine="403"/>
        <w:spacing w:after="0" w:line="310" w:lineRule="auto"/>
        <w:rPr>
          <w:sz w:val="20"/>
          <w:szCs w:val="20"/>
          <w:color w:val="auto"/>
        </w:rPr>
      </w:pPr>
      <w:r>
        <w:rPr>
          <w:rFonts w:ascii="Arial" w:cs="Arial" w:eastAsia="Arial" w:hAnsi="Arial"/>
          <w:sz w:val="16"/>
          <w:szCs w:val="16"/>
          <w:color w:val="auto"/>
        </w:rPr>
        <w:t>The total weighted average grant-date fair value of restricted stock awards that vested during the years ended October 31, 2021, 2020 and 2019 was $0.9 million, $1.1 million and $1.3 million, respectively. As of October 31, 2021, total unrecognized compensation cost related to unamortized restricted stock awards totaled $1.5 million. We expect to recognize this expense over the remaining weighted average period of 1.8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9"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2020, 2019, and 2018.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We used the Black-Scholes pricing model to estimate the grant date fair value. The inputs to this model included expected volatility, expected term, a risk-free rate and expected dividend rate at the time of grant. For employees who were nearing retirement-eligibility, we recognized stock option expense ratably over the shorter of the vesting period or the period from the grant-date to the retirement-eligibility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years ended October 31, 2021, 2020 and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3"/>
              </w:rPr>
              <w:t>Weighted Average</w:t>
            </w: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Weighted Average</w:t>
            </w:r>
          </w:p>
        </w:tc>
        <w:tc>
          <w:tcPr>
            <w:tcW w:w="220" w:type="dxa"/>
            <w:vAlign w:val="bottom"/>
          </w:tcPr>
          <w:p>
            <w:pPr>
              <w:spacing w:after="0"/>
              <w:rPr>
                <w:sz w:val="13"/>
                <w:szCs w:val="13"/>
                <w:color w:val="auto"/>
              </w:rPr>
            </w:pPr>
          </w:p>
        </w:tc>
        <w:tc>
          <w:tcPr>
            <w:tcW w:w="1100" w:type="dxa"/>
            <w:vAlign w:val="bottom"/>
          </w:tcPr>
          <w:p>
            <w:pPr>
              <w:jc w:val="center"/>
              <w:ind w:right="138"/>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52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Stock Options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6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5"/>
              </w:rPr>
              <w:t>Remaining Contractual</w:t>
            </w:r>
          </w:p>
        </w:tc>
        <w:tc>
          <w:tcPr>
            <w:tcW w:w="220" w:type="dxa"/>
            <w:vAlign w:val="bottom"/>
          </w:tcPr>
          <w:p>
            <w:pPr>
              <w:spacing w:after="0"/>
              <w:rPr>
                <w:sz w:val="11"/>
                <w:szCs w:val="11"/>
                <w:color w:val="auto"/>
              </w:rPr>
            </w:pPr>
          </w:p>
        </w:tc>
        <w:tc>
          <w:tcPr>
            <w:tcW w:w="1100" w:type="dxa"/>
            <w:vAlign w:val="bottom"/>
          </w:tcPr>
          <w:p>
            <w:pPr>
              <w:jc w:val="center"/>
              <w:ind w:right="138"/>
              <w:spacing w:after="0" w:line="134"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Exercise Price</w:t>
            </w: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Term (in years)</w:t>
            </w:r>
          </w:p>
        </w:tc>
        <w:tc>
          <w:tcPr>
            <w:tcW w:w="22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Arial" w:cs="Arial" w:eastAsia="Arial" w:hAnsi="Arial"/>
                <w:sz w:val="13"/>
                <w:szCs w:val="13"/>
                <w:b w:val="1"/>
                <w:bCs w:val="1"/>
                <w:color w:val="auto"/>
                <w:w w:val="92"/>
              </w:rPr>
              <w:t>Value (000s)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2018</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1,753,656</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20.01</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October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1,416,186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(105,124)</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20.28</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October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(865,393)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18.22</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218,304</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at October 31,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218,304</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19.37</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October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218,304</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Intrinsic value is the amount by which the market price of the common stock on the date of exercise exceeds the exercise price of the stock option. For the years ended October 31, 2021, 2020 and 2019, the total intrinsic value of our stock options that were exercised totaled $4.2 million, $0.5 million and $0.4 million, respectively. The total fair value of stock options vested during the years ended October 31, 2021, 2020 and 2019, was zero, $0.6 million and $1.1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69" w:lineRule="exact"/>
        <w:rPr>
          <w:sz w:val="20"/>
          <w:szCs w:val="20"/>
          <w:color w:val="auto"/>
        </w:rPr>
      </w:pPr>
    </w:p>
    <w:p>
      <w:pPr>
        <w:jc w:val="both"/>
        <w:ind w:firstLine="403"/>
        <w:spacing w:after="0" w:line="269" w:lineRule="auto"/>
        <w:rPr>
          <w:sz w:val="20"/>
          <w:szCs w:val="20"/>
          <w:color w:val="auto"/>
        </w:rPr>
      </w:pPr>
      <w:r>
        <w:rPr>
          <w:rFonts w:ascii="Arial" w:cs="Arial" w:eastAsia="Arial" w:hAnsi="Arial"/>
          <w:sz w:val="17"/>
          <w:szCs w:val="17"/>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28"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During the years ended October 31, 2021, 2020 and 2019, 28,826, 25,621 and 34,050 restricted stock units, respectively, were granted with corresponding weighted average grant date fair value of $18.79, $18.18, and $15.51, respectively. As of October 31, 2021 there were 21,774 unvested restricted stock units from the fiscal 2020 grant. During the years ended October 31, 2021, 2020 and 2019, we paid $0.8 million, $0.2 million and $0.4 million to settle restricted stock units.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w:t>
      </w:r>
      <w:r>
        <w:rPr>
          <w:rFonts w:ascii="Arial" w:cs="Arial" w:eastAsia="Arial" w:hAnsi="Arial"/>
          <w:sz w:val="18"/>
          <w:szCs w:val="18"/>
          <w:color w:val="auto"/>
        </w:rPr>
        <w:t>s</w:t>
      </w:r>
    </w:p>
    <w:p>
      <w:pPr>
        <w:spacing w:after="0" w:line="169" w:lineRule="exact"/>
        <w:rPr>
          <w:sz w:val="20"/>
          <w:szCs w:val="20"/>
          <w:color w:val="auto"/>
        </w:rPr>
      </w:pPr>
    </w:p>
    <w:p>
      <w:pPr>
        <w:jc w:val="both"/>
        <w:ind w:firstLine="403"/>
        <w:spacing w:after="0" w:line="305" w:lineRule="auto"/>
        <w:rPr>
          <w:sz w:val="20"/>
          <w:szCs w:val="20"/>
          <w:color w:val="auto"/>
        </w:rPr>
      </w:pPr>
      <w:r>
        <w:rPr>
          <w:rFonts w:ascii="Arial" w:cs="Arial" w:eastAsia="Arial" w:hAnsi="Arial"/>
          <w:sz w:val="17"/>
          <w:szCs w:val="17"/>
          <w:color w:val="auto"/>
        </w:rPr>
        <w:t>We have awarded annual grants of performance shares to key employees and officers. Beginning with the fiscal year ended October 31, 2019, performance share awards vest with return on net assets (RONA) as the vesting condition, pay out 100% in cash, and are accounted for as liability.</w:t>
      </w:r>
    </w:p>
    <w:p>
      <w:pPr>
        <w:spacing w:after="0" w:line="94" w:lineRule="exact"/>
        <w:rPr>
          <w:sz w:val="20"/>
          <w:szCs w:val="20"/>
          <w:color w:val="auto"/>
        </w:rPr>
      </w:pPr>
    </w:p>
    <w:p>
      <w:pPr>
        <w:jc w:val="both"/>
        <w:ind w:right="20" w:firstLine="403"/>
        <w:spacing w:after="0" w:line="262"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could fluctuate depending on the number of shares ultimately expected to vest. Depending on the achievement of the performance conditions, 0% to 200% of the awarded performance shares may ultimately vest.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Grant Date</w:t>
            </w: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8"/>
        </w:trPr>
        <w:tc>
          <w:tcPr>
            <w:tcW w:w="754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Arial" w:cs="Arial" w:eastAsia="Arial" w:hAnsi="Arial"/>
                <w:sz w:val="18"/>
                <w:szCs w:val="18"/>
                <w:color w:val="auto"/>
              </w:rPr>
              <w:t>December 5, 2019</w:t>
            </w:r>
          </w:p>
        </w:tc>
        <w:tc>
          <w:tcPr>
            <w:tcW w:w="1060" w:type="dxa"/>
            <w:vAlign w:val="bottom"/>
          </w:tcPr>
          <w:p>
            <w:pPr>
              <w:jc w:val="right"/>
              <w:spacing w:after="0"/>
              <w:rPr>
                <w:sz w:val="20"/>
                <w:szCs w:val="20"/>
                <w:color w:val="auto"/>
              </w:rPr>
            </w:pPr>
            <w:r>
              <w:rPr>
                <w:rFonts w:ascii="Arial" w:cs="Arial" w:eastAsia="Arial" w:hAnsi="Arial"/>
                <w:sz w:val="18"/>
                <w:szCs w:val="18"/>
                <w:color w:val="auto"/>
              </w:rPr>
              <w:t>55,900</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403"/>
        <w:spacing w:after="0" w:line="246" w:lineRule="auto"/>
        <w:rPr>
          <w:sz w:val="20"/>
          <w:szCs w:val="20"/>
          <w:color w:val="auto"/>
        </w:rPr>
      </w:pPr>
      <w:r>
        <w:rPr>
          <w:rFonts w:ascii="Arial" w:cs="Arial" w:eastAsia="Arial" w:hAnsi="Arial"/>
          <w:sz w:val="18"/>
          <w:szCs w:val="18"/>
          <w:color w:val="auto"/>
        </w:rPr>
        <w:t>In December 2020, the December 2017 grant vested, however, no shares were awarded as performance criteria were not met. On November 30, 2019, a total of 56,103 shares vested pursuant to the November 2016 grant, which were settled with 28,051 shares of common stock and a cash payment of $0.6 million.</w:t>
      </w:r>
    </w:p>
    <w:p>
      <w:pPr>
        <w:spacing w:after="0" w:line="129"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Performance share awards are payable in cash based upon the number of performance shares ultimately earned, and are therefore not considered outstanding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69"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awarded performance restricted stock units to key employees and officers.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1"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000" w:type="dxa"/>
            <w:vAlign w:val="bottom"/>
          </w:tcPr>
          <w:p>
            <w:pPr>
              <w:ind w:left="420"/>
              <w:spacing w:after="0"/>
              <w:rPr>
                <w:sz w:val="20"/>
                <w:szCs w:val="20"/>
                <w:color w:val="auto"/>
              </w:rPr>
            </w:pPr>
            <w:r>
              <w:rPr>
                <w:rFonts w:ascii="Arial" w:cs="Arial" w:eastAsia="Arial" w:hAnsi="Arial"/>
                <w:sz w:val="18"/>
                <w:szCs w:val="18"/>
                <w:b w:val="1"/>
                <w:bCs w:val="1"/>
                <w:color w:val="auto"/>
              </w:rPr>
              <w:t>Percentage of Award Vested</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4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8"/>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Date</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 Awarded</w:t>
            </w:r>
          </w:p>
        </w:tc>
        <w:tc>
          <w:tcPr>
            <w:tcW w:w="1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Grant Date Fair</w:t>
            </w:r>
          </w:p>
        </w:tc>
        <w:tc>
          <w:tcPr>
            <w:tcW w:w="13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Shares Forfeited</w:t>
            </w:r>
          </w:p>
        </w:tc>
        <w:tc>
          <w:tcPr>
            <w:tcW w:w="0" w:type="dxa"/>
            <w:vAlign w:val="bottom"/>
          </w:tcPr>
          <w:p>
            <w:pPr>
              <w:spacing w:after="0"/>
              <w:rPr>
                <w:sz w:val="1"/>
                <w:szCs w:val="1"/>
                <w:color w:val="auto"/>
              </w:rPr>
            </w:pPr>
          </w:p>
        </w:tc>
      </w:tr>
      <w:tr>
        <w:trPr>
          <w:trHeight w:val="188"/>
        </w:trPr>
        <w:tc>
          <w:tcPr>
            <w:tcW w:w="680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2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89,200</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28"/>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December 5, 2019</w:t>
            </w:r>
          </w:p>
        </w:tc>
        <w:tc>
          <w:tcPr>
            <w:tcW w:w="1320" w:type="dxa"/>
            <w:vAlign w:val="bottom"/>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3"/>
        <w:spacing w:after="0" w:line="305" w:lineRule="auto"/>
        <w:rPr>
          <w:sz w:val="20"/>
          <w:szCs w:val="20"/>
          <w:color w:val="auto"/>
        </w:rPr>
      </w:pPr>
      <w:r>
        <w:rPr>
          <w:rFonts w:ascii="Arial" w:cs="Arial" w:eastAsia="Arial" w:hAnsi="Arial"/>
          <w:sz w:val="17"/>
          <w:szCs w:val="17"/>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94" w:lineRule="exact"/>
        <w:rPr>
          <w:sz w:val="20"/>
          <w:szCs w:val="20"/>
          <w:color w:val="auto"/>
        </w:rPr>
      </w:pPr>
    </w:p>
    <w:p>
      <w:pPr>
        <w:jc w:val="both"/>
        <w:ind w:firstLine="444"/>
        <w:spacing w:after="0" w:line="339" w:lineRule="auto"/>
        <w:rPr>
          <w:sz w:val="20"/>
          <w:szCs w:val="20"/>
          <w:color w:val="auto"/>
        </w:rPr>
      </w:pPr>
      <w:r>
        <w:rPr>
          <w:rFonts w:ascii="Arial" w:cs="Arial" w:eastAsia="Arial" w:hAnsi="Arial"/>
          <w:sz w:val="16"/>
          <w:szCs w:val="16"/>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2021, 2020 and 2019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October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6"/>
        </w:trPr>
        <w:tc>
          <w:tcPr>
            <w:tcW w:w="67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Performance share awards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4,039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22"/>
        </w:trPr>
        <w:tc>
          <w:tcPr>
            <w:tcW w:w="6780" w:type="dxa"/>
            <w:vAlign w:val="bottom"/>
          </w:tcPr>
          <w:p>
            <w:pPr>
              <w:ind w:left="140"/>
              <w:spacing w:after="0"/>
              <w:rPr>
                <w:sz w:val="20"/>
                <w:szCs w:val="20"/>
                <w:color w:val="auto"/>
              </w:rPr>
            </w:pPr>
            <w:r>
              <w:rPr>
                <w:rFonts w:ascii="Arial" w:cs="Arial" w:eastAsia="Arial" w:hAnsi="Arial"/>
                <w:sz w:val="18"/>
                <w:szCs w:val="18"/>
                <w:color w:val="auto"/>
              </w:rPr>
              <w:t>Total compensation expense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7,200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3,965</w:t>
            </w: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2"/>
        </w:trPr>
        <w:tc>
          <w:tcPr>
            <w:tcW w:w="6780" w:type="dxa"/>
            <w:vAlign w:val="bottom"/>
          </w:tcPr>
          <w:p>
            <w:pPr>
              <w:ind w:left="140"/>
              <w:spacing w:after="0"/>
              <w:rPr>
                <w:sz w:val="20"/>
                <w:szCs w:val="20"/>
                <w:color w:val="auto"/>
              </w:rPr>
            </w:pPr>
            <w:r>
              <w:rPr>
                <w:rFonts w:ascii="Arial" w:cs="Arial" w:eastAsia="Arial" w:hAnsi="Arial"/>
                <w:sz w:val="18"/>
                <w:szCs w:val="18"/>
                <w:color w:val="auto"/>
              </w:rPr>
              <w:t>Net compensation expense</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5,122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As of October 31, 2021, our authorized capital stock consists of 125,000,000 shares of common stock, at par value of $0.01 per share, and 1,000,000 shares of preferred stock, with no par value. As of October 31, 2021 and 2020, we had 37,273,510 and 37,296,166 shares of common stock issued, respectively, and 33,274,785 and 32,804,737 shares of common stock outstanding, respectively. There were no shares of preferred stock issued or outstanding at October 31, 2021 and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 and Treasury Stock</w:t>
      </w:r>
    </w:p>
    <w:p>
      <w:pPr>
        <w:spacing w:after="0" w:line="16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2021 and 2020, we purchased 478,311 shares and 450,000 shares, respectively, at a cost of $11.2 million and $7.2 million respectively, under this program.</w:t>
      </w:r>
    </w:p>
    <w:p>
      <w:pPr>
        <w:spacing w:after="0" w:line="137" w:lineRule="exact"/>
        <w:rPr>
          <w:sz w:val="20"/>
          <w:szCs w:val="20"/>
          <w:color w:val="auto"/>
        </w:rPr>
      </w:pPr>
    </w:p>
    <w:p>
      <w:pPr>
        <w:jc w:val="both"/>
        <w:ind w:firstLine="403"/>
        <w:spacing w:after="0" w:line="272" w:lineRule="auto"/>
        <w:rPr>
          <w:sz w:val="20"/>
          <w:szCs w:val="20"/>
          <w:color w:val="auto"/>
        </w:rPr>
      </w:pPr>
      <w:r>
        <w:rPr>
          <w:rFonts w:ascii="Arial" w:cs="Arial" w:eastAsia="Arial" w:hAnsi="Arial"/>
          <w:sz w:val="17"/>
          <w:szCs w:val="17"/>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paid-in-capital. A deficiency of such proceeds relative to costs would be applied to reduce paid-in-capital associated with prior issuances to the extent available, with the remainder recorded as a charge to retained earnings. We recorded a charge to retained earnings of zero, $0.1 million and $0.3 million, in the years ended October 31, 2021, 2020, and 2018, respectively.</w:t>
      </w:r>
    </w:p>
    <w:p>
      <w:pPr>
        <w:spacing w:after="0" w:line="122"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 xml:space="preserve">For a summary of treasury stock activity for the years ended October 31, 2021, 2020 and 2019, refer to the </w:t>
      </w:r>
      <w:r>
        <w:rPr>
          <w:rFonts w:ascii="Arial" w:cs="Arial" w:eastAsia="Arial" w:hAnsi="Arial"/>
          <w:sz w:val="18"/>
          <w:szCs w:val="18"/>
          <w:i w:val="1"/>
          <w:iCs w:val="1"/>
          <w:color w:val="auto"/>
        </w:rPr>
        <w:t>Consolidated Statement of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located elsewhere herein.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net</w:t>
      </w:r>
    </w:p>
    <w:p>
      <w:pPr>
        <w:spacing w:after="0" w:line="173" w:lineRule="exact"/>
        <w:rPr>
          <w:sz w:val="20"/>
          <w:szCs w:val="20"/>
          <w:color w:val="auto"/>
        </w:rPr>
      </w:pPr>
    </w:p>
    <w:p>
      <w:pPr>
        <w:ind w:right="260" w:firstLine="403"/>
        <w:spacing w:after="0" w:line="267" w:lineRule="auto"/>
        <w:rPr>
          <w:sz w:val="20"/>
          <w:szCs w:val="20"/>
          <w:color w:val="auto"/>
        </w:rPr>
      </w:pPr>
      <w:r>
        <w:rPr>
          <w:rFonts w:ascii="Arial" w:cs="Arial" w:eastAsia="Arial" w:hAnsi="Arial"/>
          <w:sz w:val="18"/>
          <w:szCs w:val="18"/>
          <w:color w:val="auto"/>
        </w:rPr>
        <w:t>Other income included under the caption “Other, net” on the accompanying consolidated statements of income (loss),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3"/>
              </w:rPr>
              <w:t>Year Ended October 31,</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6"/>
        </w:trPr>
        <w:tc>
          <w:tcPr>
            <w:tcW w:w="6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3"/>
        </w:trPr>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transaction losses</w:t>
            </w:r>
          </w:p>
        </w:tc>
        <w:tc>
          <w:tcPr>
            <w:tcW w:w="11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8"/>
        </w:trPr>
        <w:tc>
          <w:tcPr>
            <w:tcW w:w="6160" w:type="dxa"/>
            <w:vAlign w:val="bottom"/>
          </w:tcPr>
          <w:p>
            <w:pPr>
              <w:ind w:left="420"/>
              <w:spacing w:after="0"/>
              <w:rPr>
                <w:sz w:val="20"/>
                <w:szCs w:val="20"/>
                <w:color w:val="auto"/>
              </w:rPr>
            </w:pPr>
            <w:r>
              <w:rPr>
                <w:rFonts w:ascii="Arial" w:cs="Arial" w:eastAsia="Arial" w:hAnsi="Arial"/>
                <w:sz w:val="18"/>
                <w:szCs w:val="18"/>
                <w:color w:val="auto"/>
              </w:rPr>
              <w:t>Foreign currency exchange derivative losses</w:t>
            </w:r>
          </w:p>
        </w:tc>
        <w:tc>
          <w:tcPr>
            <w:tcW w:w="116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8"/>
        </w:trPr>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service benefit</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8"/>
        </w:trPr>
        <w:tc>
          <w:tcPr>
            <w:tcW w:w="61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8"/>
        </w:trPr>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6160" w:type="dxa"/>
            <w:vAlign w:val="bottom"/>
          </w:tcPr>
          <w:p>
            <w:pPr>
              <w:ind w:left="760"/>
              <w:spacing w:after="0"/>
              <w:rPr>
                <w:sz w:val="20"/>
                <w:szCs w:val="20"/>
                <w:color w:val="auto"/>
              </w:rPr>
            </w:pPr>
            <w:r>
              <w:rPr>
                <w:rFonts w:ascii="Arial" w:cs="Arial" w:eastAsia="Arial" w:hAnsi="Arial"/>
                <w:sz w:val="18"/>
                <w:szCs w:val="18"/>
                <w:color w:val="auto"/>
              </w:rPr>
              <w:t>Other income</w:t>
            </w: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754</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73" w:lineRule="exact"/>
        <w:rPr>
          <w:sz w:val="20"/>
          <w:szCs w:val="20"/>
          <w:color w:val="auto"/>
        </w:rPr>
      </w:pPr>
    </w:p>
    <w:p>
      <w:pPr>
        <w:jc w:val="both"/>
        <w:ind w:firstLine="403"/>
        <w:spacing w:after="0" w:line="285" w:lineRule="auto"/>
        <w:rPr>
          <w:sz w:val="20"/>
          <w:szCs w:val="20"/>
          <w:color w:val="auto"/>
        </w:rPr>
      </w:pPr>
      <w:r>
        <w:rPr>
          <w:rFonts w:ascii="Arial" w:cs="Arial" w:eastAsia="Arial" w:hAnsi="Arial"/>
          <w:sz w:val="16"/>
          <w:szCs w:val="16"/>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segment.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consolidated financial statements. Corporate general and administrative expenses allocated during the years ended October 31, 2021, 2020 and 2019 were $21.6 million, $21.7 million and $18.3 million, respectively.</w:t>
      </w:r>
    </w:p>
    <w:p>
      <w:pPr>
        <w:spacing w:after="0" w:line="11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information for the years ended October 31, 2021, 2020 and 2019 was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NA Fenestration</w:t>
            </w:r>
          </w:p>
        </w:tc>
        <w:tc>
          <w:tcPr>
            <w:tcW w:w="16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EU Fenestration</w:t>
            </w:r>
          </w:p>
        </w:tc>
        <w:tc>
          <w:tcPr>
            <w:tcW w:w="17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NA Cabinet Comp.</w:t>
            </w:r>
          </w:p>
        </w:tc>
        <w:tc>
          <w:tcPr>
            <w:tcW w:w="58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Unallocated</w:t>
            </w:r>
          </w:p>
        </w:tc>
        <w:tc>
          <w:tcPr>
            <w:tcW w:w="72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680" w:type="dxa"/>
            <w:vAlign w:val="bottom"/>
            <w:gridSpan w:val="3"/>
          </w:tcPr>
          <w:p>
            <w:pPr>
              <w:ind w:left="340"/>
              <w:spacing w:after="0"/>
              <w:rPr>
                <w:sz w:val="20"/>
                <w:szCs w:val="20"/>
                <w:color w:val="auto"/>
              </w:rPr>
            </w:pPr>
            <w:r>
              <w:rPr>
                <w:rFonts w:ascii="Arial" w:cs="Arial" w:eastAsia="Arial" w:hAnsi="Arial"/>
                <w:sz w:val="14"/>
                <w:szCs w:val="14"/>
                <w:b w:val="1"/>
                <w:bCs w:val="1"/>
                <w:color w:val="auto"/>
              </w:rPr>
              <w:t>Corp. &amp; Other</w:t>
            </w:r>
          </w:p>
        </w:tc>
        <w:tc>
          <w:tcPr>
            <w:tcW w:w="7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6"/>
                <w:szCs w:val="16"/>
                <w:b w:val="1"/>
                <w:bCs w:val="1"/>
                <w:color w:val="auto"/>
                <w:w w:val="98"/>
              </w:rPr>
              <w:t>Year Ended October 31, 2021</w:t>
            </w:r>
          </w:p>
        </w:tc>
        <w:tc>
          <w:tcPr>
            <w:tcW w:w="7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578,332</w:t>
            </w:r>
          </w:p>
        </w:tc>
        <w:tc>
          <w:tcPr>
            <w:tcW w:w="62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251,599</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246,075</w:t>
            </w:r>
          </w:p>
        </w:tc>
        <w:tc>
          <w:tcPr>
            <w:tcW w:w="1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(3,857)</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1,072,149</w:t>
            </w:r>
          </w:p>
        </w:tc>
        <w:tc>
          <w:tcPr>
            <w:tcW w:w="0" w:type="dxa"/>
            <w:vAlign w:val="bottom"/>
          </w:tcPr>
          <w:p>
            <w:pPr>
              <w:spacing w:after="0"/>
              <w:rPr>
                <w:sz w:val="1"/>
                <w:szCs w:val="1"/>
                <w:color w:val="auto"/>
              </w:rPr>
            </w:pPr>
          </w:p>
        </w:tc>
      </w:tr>
      <w:tr>
        <w:trPr>
          <w:trHeight w:val="228"/>
        </w:trPr>
        <w:tc>
          <w:tcPr>
            <w:tcW w:w="2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1"/>
              </w:rPr>
              <w:t>Depreciation and amortization</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18,730</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42,732</w:t>
            </w:r>
          </w:p>
        </w:tc>
        <w:tc>
          <w:tcPr>
            <w:tcW w:w="0" w:type="dxa"/>
            <w:vAlign w:val="bottom"/>
          </w:tcPr>
          <w:p>
            <w:pPr>
              <w:spacing w:after="0"/>
              <w:rPr>
                <w:sz w:val="1"/>
                <w:szCs w:val="1"/>
                <w:color w:val="auto"/>
              </w:rPr>
            </w:pPr>
          </w:p>
        </w:tc>
      </w:tr>
      <w:tr>
        <w:trPr>
          <w:trHeight w:val="228"/>
        </w:trPr>
        <w:tc>
          <w:tcPr>
            <w:tcW w:w="2620" w:type="dxa"/>
            <w:vAlign w:val="bottom"/>
            <w:gridSpan w:val="3"/>
          </w:tcPr>
          <w:p>
            <w:pPr>
              <w:ind w:left="420"/>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56,248</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39,299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81,870</w:t>
            </w:r>
          </w:p>
        </w:tc>
        <w:tc>
          <w:tcPr>
            <w:tcW w:w="0" w:type="dxa"/>
            <w:vAlign w:val="bottom"/>
          </w:tcPr>
          <w:p>
            <w:pPr>
              <w:spacing w:after="0"/>
              <w:rPr>
                <w:sz w:val="1"/>
                <w:szCs w:val="1"/>
                <w:color w:val="auto"/>
              </w:rPr>
            </w:pPr>
          </w:p>
        </w:tc>
      </w:tr>
      <w:tr>
        <w:trPr>
          <w:trHeight w:val="228"/>
        </w:trPr>
        <w:tc>
          <w:tcPr>
            <w:tcW w:w="2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9,966</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w:t>
            </w:r>
          </w:p>
        </w:tc>
        <w:tc>
          <w:tcPr>
            <w:tcW w:w="0" w:type="dxa"/>
            <w:vAlign w:val="bottom"/>
          </w:tcPr>
          <w:p>
            <w:pPr>
              <w:spacing w:after="0"/>
              <w:rPr>
                <w:sz w:val="1"/>
                <w:szCs w:val="1"/>
                <w:color w:val="auto"/>
              </w:rPr>
            </w:pPr>
          </w:p>
        </w:tc>
      </w:tr>
      <w:tr>
        <w:trPr>
          <w:trHeight w:val="228"/>
        </w:trPr>
        <w:tc>
          <w:tcPr>
            <w:tcW w:w="2620" w:type="dxa"/>
            <w:vAlign w:val="bottom"/>
            <w:gridSpan w:val="3"/>
          </w:tcPr>
          <w:p>
            <w:pPr>
              <w:ind w:left="420"/>
              <w:spacing w:after="0"/>
              <w:rPr>
                <w:sz w:val="20"/>
                <w:szCs w:val="20"/>
                <w:color w:val="auto"/>
              </w:rPr>
            </w:pPr>
            <w:r>
              <w:rPr>
                <w:rFonts w:ascii="Arial" w:cs="Arial" w:eastAsia="Arial" w:hAnsi="Arial"/>
                <w:sz w:val="18"/>
                <w:szCs w:val="18"/>
                <w:color w:val="auto"/>
              </w:rPr>
              <w:t>Total assets</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268,773</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236,755</w:t>
            </w:r>
          </w:p>
        </w:tc>
        <w:tc>
          <w:tcPr>
            <w:tcW w:w="120" w:type="dxa"/>
            <w:vAlign w:val="bottom"/>
          </w:tcPr>
          <w:p>
            <w:pPr>
              <w:spacing w:after="0"/>
              <w:rPr>
                <w:sz w:val="19"/>
                <w:szCs w:val="19"/>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178,671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33,124</w:t>
            </w:r>
          </w:p>
        </w:tc>
        <w:tc>
          <w:tcPr>
            <w:tcW w:w="1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r>
        <w:trPr>
          <w:trHeight w:val="195"/>
        </w:trPr>
        <w:tc>
          <w:tcPr>
            <w:tcW w:w="42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8"/>
              </w:rPr>
              <w:t>Year Ended October 31, 2020</w:t>
            </w:r>
          </w:p>
        </w:tc>
        <w:tc>
          <w:tcPr>
            <w:tcW w:w="7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483,415</w:t>
            </w:r>
          </w:p>
        </w:tc>
        <w:tc>
          <w:tcPr>
            <w:tcW w:w="62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161,054</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210,099</w:t>
            </w:r>
          </w:p>
        </w:tc>
        <w:tc>
          <w:tcPr>
            <w:tcW w:w="1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851,573</w:t>
            </w:r>
          </w:p>
        </w:tc>
        <w:tc>
          <w:tcPr>
            <w:tcW w:w="0" w:type="dxa"/>
            <w:vAlign w:val="bottom"/>
          </w:tcPr>
          <w:p>
            <w:pPr>
              <w:spacing w:after="0"/>
              <w:rPr>
                <w:sz w:val="1"/>
                <w:szCs w:val="1"/>
                <w:color w:val="auto"/>
              </w:rPr>
            </w:pPr>
          </w:p>
        </w:tc>
      </w:tr>
      <w:tr>
        <w:trPr>
          <w:trHeight w:val="228"/>
        </w:trPr>
        <w:tc>
          <w:tcPr>
            <w:tcW w:w="2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1"/>
              </w:rPr>
              <w:t>Depreciation and amortization</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23,555</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47,229</w:t>
            </w:r>
          </w:p>
        </w:tc>
        <w:tc>
          <w:tcPr>
            <w:tcW w:w="0" w:type="dxa"/>
            <w:vAlign w:val="bottom"/>
          </w:tcPr>
          <w:p>
            <w:pPr>
              <w:spacing w:after="0"/>
              <w:rPr>
                <w:sz w:val="1"/>
                <w:szCs w:val="1"/>
                <w:color w:val="auto"/>
              </w:rPr>
            </w:pPr>
          </w:p>
        </w:tc>
      </w:tr>
      <w:tr>
        <w:trPr>
          <w:trHeight w:val="228"/>
        </w:trPr>
        <w:tc>
          <w:tcPr>
            <w:tcW w:w="2620" w:type="dxa"/>
            <w:vAlign w:val="bottom"/>
            <w:gridSpan w:val="3"/>
          </w:tcPr>
          <w:p>
            <w:pPr>
              <w:ind w:left="420"/>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39,909</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55,265</w:t>
            </w:r>
          </w:p>
        </w:tc>
        <w:tc>
          <w:tcPr>
            <w:tcW w:w="0" w:type="dxa"/>
            <w:vAlign w:val="bottom"/>
          </w:tcPr>
          <w:p>
            <w:pPr>
              <w:spacing w:after="0"/>
              <w:rPr>
                <w:sz w:val="1"/>
                <w:szCs w:val="1"/>
                <w:color w:val="auto"/>
              </w:rPr>
            </w:pPr>
          </w:p>
        </w:tc>
      </w:tr>
      <w:tr>
        <w:trPr>
          <w:trHeight w:val="228"/>
        </w:trPr>
        <w:tc>
          <w:tcPr>
            <w:tcW w:w="2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15,761</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28"/>
        </w:trPr>
        <w:tc>
          <w:tcPr>
            <w:tcW w:w="2620" w:type="dxa"/>
            <w:vAlign w:val="bottom"/>
            <w:gridSpan w:val="3"/>
          </w:tcPr>
          <w:p>
            <w:pPr>
              <w:ind w:left="420"/>
              <w:spacing w:after="0"/>
              <w:rPr>
                <w:sz w:val="20"/>
                <w:szCs w:val="20"/>
                <w:color w:val="auto"/>
              </w:rPr>
            </w:pPr>
            <w:r>
              <w:rPr>
                <w:rFonts w:ascii="Arial" w:cs="Arial" w:eastAsia="Arial" w:hAnsi="Arial"/>
                <w:sz w:val="18"/>
                <w:szCs w:val="18"/>
                <w:color w:val="auto"/>
              </w:rPr>
              <w:t>Total assets</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252,703</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223,248</w:t>
            </w:r>
          </w:p>
        </w:tc>
        <w:tc>
          <w:tcPr>
            <w:tcW w:w="120" w:type="dxa"/>
            <w:vAlign w:val="bottom"/>
          </w:tcPr>
          <w:p>
            <w:pPr>
              <w:spacing w:after="0"/>
              <w:rPr>
                <w:sz w:val="19"/>
                <w:szCs w:val="19"/>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174,713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40,921</w:t>
            </w:r>
          </w:p>
        </w:tc>
        <w:tc>
          <w:tcPr>
            <w:tcW w:w="1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195"/>
        </w:trPr>
        <w:tc>
          <w:tcPr>
            <w:tcW w:w="42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8"/>
              </w:rPr>
              <w:t>Year Ended October 31, 2019</w:t>
            </w:r>
          </w:p>
        </w:tc>
        <w:tc>
          <w:tcPr>
            <w:tcW w:w="7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503,837</w:t>
            </w:r>
          </w:p>
        </w:tc>
        <w:tc>
          <w:tcPr>
            <w:tcW w:w="62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164,997</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229,644</w:t>
            </w:r>
          </w:p>
        </w:tc>
        <w:tc>
          <w:tcPr>
            <w:tcW w:w="1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893,841</w:t>
            </w:r>
          </w:p>
        </w:tc>
        <w:tc>
          <w:tcPr>
            <w:tcW w:w="0" w:type="dxa"/>
            <w:vAlign w:val="bottom"/>
          </w:tcPr>
          <w:p>
            <w:pPr>
              <w:spacing w:after="0"/>
              <w:rPr>
                <w:sz w:val="1"/>
                <w:szCs w:val="1"/>
                <w:color w:val="auto"/>
              </w:rPr>
            </w:pPr>
          </w:p>
        </w:tc>
      </w:tr>
      <w:tr>
        <w:trPr>
          <w:trHeight w:val="228"/>
        </w:trPr>
        <w:tc>
          <w:tcPr>
            <w:tcW w:w="2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1"/>
              </w:rPr>
              <w:t>Depreciation and amortization</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27,054</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w:t>
            </w:r>
          </w:p>
        </w:tc>
        <w:tc>
          <w:tcPr>
            <w:tcW w:w="0" w:type="dxa"/>
            <w:vAlign w:val="bottom"/>
          </w:tcPr>
          <w:p>
            <w:pPr>
              <w:spacing w:after="0"/>
              <w:rPr>
                <w:sz w:val="1"/>
                <w:szCs w:val="1"/>
                <w:color w:val="auto"/>
              </w:rPr>
            </w:pPr>
          </w:p>
        </w:tc>
      </w:tr>
      <w:tr>
        <w:trPr>
          <w:trHeight w:val="228"/>
        </w:trPr>
        <w:tc>
          <w:tcPr>
            <w:tcW w:w="2620" w:type="dxa"/>
            <w:vAlign w:val="bottom"/>
            <w:gridSpan w:val="3"/>
          </w:tcPr>
          <w:p>
            <w:pPr>
              <w:ind w:left="420"/>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39,765</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19,040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(10,996)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(26,427)</w:t>
            </w:r>
          </w:p>
        </w:tc>
        <w:tc>
          <w:tcPr>
            <w:tcW w:w="0" w:type="dxa"/>
            <w:vAlign w:val="bottom"/>
          </w:tcPr>
          <w:p>
            <w:pPr>
              <w:spacing w:after="0"/>
              <w:rPr>
                <w:sz w:val="1"/>
                <w:szCs w:val="1"/>
                <w:color w:val="auto"/>
              </w:rPr>
            </w:pPr>
          </w:p>
        </w:tc>
      </w:tr>
      <w:tr>
        <w:trPr>
          <w:trHeight w:val="228"/>
        </w:trPr>
        <w:tc>
          <w:tcPr>
            <w:tcW w:w="2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12,984</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24,883</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The following table summarizes the change in the carrying amount of goodwill by segment for the years ended October 31, 2021 and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67,704</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145,563</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2"/>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68,295</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47"/>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6, “Goodwill and Intangible Assets”, located herewith.</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did not allocate non-operating expense or income tax expense to the reportable segments. The following table reconciles operating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reported above to net income (loss) for the years ended October 31, 2021, 2020 and 2019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Year Ended October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6"/>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w:t>
            </w:r>
          </w:p>
        </w:tc>
      </w:tr>
      <w:tr>
        <w:trPr>
          <w:trHeight w:val="228"/>
        </w:trPr>
        <w:tc>
          <w:tcPr>
            <w:tcW w:w="7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(9,643)</w:t>
            </w:r>
          </w:p>
        </w:tc>
      </w:tr>
      <w:tr>
        <w:trPr>
          <w:trHeight w:val="228"/>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w:t>
            </w:r>
          </w:p>
        </w:tc>
      </w:tr>
      <w:tr>
        <w:trPr>
          <w:trHeight w:val="247"/>
        </w:trPr>
        <w:tc>
          <w:tcPr>
            <w:tcW w:w="7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69"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8"/>
          <w:szCs w:val="18"/>
          <w:color w:val="auto"/>
        </w:rPr>
        <w:t>Our manufacturing facilities and all long-lived assets are located in the U.S., U.K. and Germany. We attribute our net sales to a geographic region based on the location of the customer. The following tables provide information concerning our net sales for the years ended October 31, 2021, 2020 and 2019, and our long-lived assets as of October 31, 2021 and 2020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October 31,</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Net sales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5"/>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778,486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654,802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683,204</w:t>
            </w:r>
          </w:p>
        </w:tc>
      </w:tr>
      <w:tr>
        <w:trPr>
          <w:trHeight w:val="228"/>
        </w:trPr>
        <w:tc>
          <w:tcPr>
            <w:tcW w:w="6800" w:type="dxa"/>
            <w:vAlign w:val="bottom"/>
          </w:tcPr>
          <w:p>
            <w:pPr>
              <w:ind w:left="1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244,308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158,831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162,106</w:t>
            </w:r>
          </w:p>
        </w:tc>
      </w:tr>
      <w:tr>
        <w:trPr>
          <w:trHeight w:val="228"/>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20,088</w:t>
            </w:r>
          </w:p>
        </w:tc>
      </w:tr>
      <w:tr>
        <w:trPr>
          <w:trHeight w:val="228"/>
        </w:trPr>
        <w:tc>
          <w:tcPr>
            <w:tcW w:w="6800" w:type="dxa"/>
            <w:vAlign w:val="bottom"/>
          </w:tcPr>
          <w:p>
            <w:pPr>
              <w:ind w:left="140"/>
              <w:spacing w:after="0"/>
              <w:rPr>
                <w:sz w:val="20"/>
                <w:szCs w:val="20"/>
                <w:color w:val="auto"/>
              </w:rPr>
            </w:pPr>
            <w:r>
              <w:rPr>
                <w:rFonts w:ascii="Arial" w:cs="Arial" w:eastAsia="Arial" w:hAnsi="Arial"/>
                <w:sz w:val="18"/>
                <w:szCs w:val="18"/>
                <w:color w:val="auto"/>
              </w:rPr>
              <w:t>Asia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11,504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18,360</w:t>
            </w:r>
          </w:p>
        </w:tc>
      </w:tr>
      <w:tr>
        <w:trPr>
          <w:trHeight w:val="228"/>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r>
      <w:tr>
        <w:trPr>
          <w:trHeight w:val="222"/>
        </w:trPr>
        <w:tc>
          <w:tcPr>
            <w:tcW w:w="6800" w:type="dxa"/>
            <w:vAlign w:val="bottom"/>
          </w:tcPr>
          <w:p>
            <w:pPr>
              <w:ind w:left="46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1,072,149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851,573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893,841</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3"/>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October 31,</w:t>
            </w:r>
          </w:p>
        </w:tc>
        <w:tc>
          <w:tcPr>
            <w:tcW w:w="940" w:type="dxa"/>
            <w:vAlign w:val="bottom"/>
            <w:tcBorders>
              <w:bottom w:val="single" w:sz="8" w:color="auto"/>
            </w:tcBorders>
          </w:tcPr>
          <w:p>
            <w:pPr>
              <w:spacing w:after="0"/>
              <w:rPr>
                <w:sz w:val="24"/>
                <w:szCs w:val="24"/>
                <w:color w:val="auto"/>
              </w:rPr>
            </w:pPr>
          </w:p>
        </w:tc>
      </w:tr>
      <w:tr>
        <w:trPr>
          <w:trHeight w:val="19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Long-lived assets, net</w:t>
            </w: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5"/>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291,282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307,534</w:t>
            </w:r>
          </w:p>
        </w:tc>
      </w:tr>
      <w:tr>
        <w:trPr>
          <w:trHeight w:val="228"/>
        </w:trPr>
        <w:tc>
          <w:tcPr>
            <w:tcW w:w="6800" w:type="dxa"/>
            <w:vAlign w:val="bottom"/>
          </w:tcPr>
          <w:p>
            <w:pPr>
              <w:ind w:left="140"/>
              <w:spacing w:after="0"/>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25,519</w:t>
            </w:r>
          </w:p>
        </w:tc>
      </w:tr>
      <w:tr>
        <w:trPr>
          <w:trHeight w:val="228"/>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146,158</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142,097</w:t>
            </w:r>
          </w:p>
        </w:tc>
      </w:tr>
      <w:tr>
        <w:trPr>
          <w:trHeight w:val="222"/>
        </w:trPr>
        <w:tc>
          <w:tcPr>
            <w:tcW w:w="6800" w:type="dxa"/>
            <w:vAlign w:val="bottom"/>
          </w:tcPr>
          <w:p>
            <w:pPr>
              <w:ind w:left="460"/>
              <w:spacing w:after="0"/>
              <w:rPr>
                <w:sz w:val="20"/>
                <w:szCs w:val="20"/>
                <w:color w:val="auto"/>
              </w:rPr>
            </w:pPr>
            <w:r>
              <w:rPr>
                <w:rFonts w:ascii="Arial" w:cs="Arial" w:eastAsia="Arial" w:hAnsi="Arial"/>
                <w:sz w:val="18"/>
                <w:szCs w:val="18"/>
                <w:color w:val="auto"/>
              </w:rPr>
              <w:t>Total long-lived assets, net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462,953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475,150</w:t>
            </w:r>
          </w:p>
        </w:tc>
      </w:tr>
      <w:tr>
        <w:trPr>
          <w:trHeight w:val="20"/>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Long-lived assets, net includes: property, plant and equipment, net; goodwill, intangible assets, net,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We compute basic earnings (loss) per share by dividing net income (loss)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computation of basic and diluted earnings per share for the years ended October 31, 2021, 2020 and 2019 follows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Ended October 31, 2021</w:t>
            </w: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Income (Loss)</w:t>
            </w: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w w:val="98"/>
              </w:rPr>
              <w:t>Weighted Average</w:t>
            </w:r>
          </w:p>
        </w:tc>
        <w:tc>
          <w:tcPr>
            <w:tcW w:w="480" w:type="dxa"/>
            <w:vAlign w:val="bottom"/>
          </w:tcPr>
          <w:p>
            <w:pPr>
              <w:spacing w:after="0"/>
              <w:rPr>
                <w:sz w:val="14"/>
                <w:szCs w:val="14"/>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680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32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56,980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33,193</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5"/>
              </w:rPr>
              <w:t>1.72</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0"/>
              </w:rPr>
              <w:t>56,980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33,495</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533"/>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Year Ended October 31, 2020</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38,496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32,689</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533"/>
              <w:spacing w:after="0"/>
              <w:rPr>
                <w:sz w:val="20"/>
                <w:szCs w:val="20"/>
                <w:color w:val="auto"/>
              </w:rPr>
            </w:pPr>
            <w:r>
              <w:rPr>
                <w:rFonts w:ascii="Arial" w:cs="Arial" w:eastAsia="Arial" w:hAnsi="Arial"/>
                <w:sz w:val="18"/>
                <w:szCs w:val="18"/>
                <w:color w:val="auto"/>
                <w:w w:val="85"/>
              </w:rPr>
              <w:t>1.18</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restricted stock units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38,496</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32,821</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ind w:left="533"/>
              <w:spacing w:after="0"/>
              <w:rPr>
                <w:sz w:val="20"/>
                <w:szCs w:val="20"/>
                <w:color w:val="auto"/>
              </w:rPr>
            </w:pPr>
            <w:r>
              <w:rPr>
                <w:rFonts w:ascii="Arial" w:cs="Arial" w:eastAsia="Arial" w:hAnsi="Arial"/>
                <w:sz w:val="18"/>
                <w:szCs w:val="18"/>
                <w:color w:val="auto"/>
                <w:w w:val="85"/>
              </w:rPr>
              <w:t>1.17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Year Ended October 31, 2019</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(46,730)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32,960</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 following table shows anti-dilutive instruments for the three years ended October 31, 2021, 2020 and 2019 (shares in thousands):</w:t>
      </w:r>
    </w:p>
    <w:p>
      <w:pPr>
        <w:ind w:left="8280"/>
        <w:spacing w:after="0"/>
        <w:rPr>
          <w:sz w:val="20"/>
          <w:szCs w:val="20"/>
          <w:color w:val="auto"/>
        </w:rPr>
      </w:pPr>
      <w:r>
        <w:rPr>
          <w:rFonts w:ascii="Arial" w:cs="Arial" w:eastAsia="Arial" w:hAnsi="Arial"/>
          <w:sz w:val="14"/>
          <w:szCs w:val="14"/>
          <w:b w:val="1"/>
          <w:bCs w:val="1"/>
          <w:color w:val="auto"/>
        </w:rPr>
        <w:t>Year Ended October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top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1,032</w:t>
            </w:r>
          </w:p>
        </w:tc>
        <w:tc>
          <w:tcPr>
            <w:tcW w:w="2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28"/>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Restricted stock awards</w:t>
            </w:r>
          </w:p>
        </w:tc>
        <w:tc>
          <w:tcPr>
            <w:tcW w:w="14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8"/>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awards</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77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1,032</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0"/>
        </w:trPr>
        <w:tc>
          <w:tcPr>
            <w:tcW w:w="6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Unaudited Quarterly Data</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Selected quarterly financial data for the years ended October 31, 2021 and 2020 was as follows (amounts in thousands, except per share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20" w:type="dxa"/>
            <w:vAlign w:val="bottom"/>
            <w:gridSpan w:val="4"/>
          </w:tcPr>
          <w:p>
            <w:pPr>
              <w:ind w:left="400"/>
              <w:spacing w:after="0"/>
              <w:rPr>
                <w:sz w:val="20"/>
                <w:szCs w:val="20"/>
                <w:color w:val="auto"/>
              </w:rPr>
            </w:pPr>
            <w:r>
              <w:rPr>
                <w:rFonts w:ascii="Arial" w:cs="Arial" w:eastAsia="Arial" w:hAnsi="Arial"/>
                <w:sz w:val="16"/>
                <w:szCs w:val="16"/>
                <w:b w:val="1"/>
                <w:bCs w:val="1"/>
                <w:color w:val="auto"/>
              </w:rPr>
              <w:t>For the Quarter Ended</w:t>
            </w:r>
          </w:p>
        </w:tc>
        <w:tc>
          <w:tcPr>
            <w:tcW w:w="52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16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April 30, 2021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rPr>
              <w:t>July 31, 2021</w:t>
            </w:r>
          </w:p>
        </w:tc>
        <w:tc>
          <w:tcPr>
            <w:tcW w:w="160" w:type="dxa"/>
            <w:vAlign w:val="bottom"/>
          </w:tcPr>
          <w:p>
            <w:pPr>
              <w:spacing w:after="0"/>
              <w:rPr>
                <w:sz w:val="16"/>
                <w:szCs w:val="16"/>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230,147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270,357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4"/>
          </w:tcPr>
          <w:p>
            <w:pPr>
              <w:ind w:left="400"/>
              <w:spacing w:after="0" w:line="175" w:lineRule="exact"/>
              <w:rPr>
                <w:sz w:val="20"/>
                <w:szCs w:val="20"/>
                <w:color w:val="auto"/>
              </w:rPr>
            </w:pPr>
            <w:r>
              <w:rPr>
                <w:rFonts w:ascii="Arial" w:cs="Arial" w:eastAsia="Arial" w:hAnsi="Arial"/>
                <w:sz w:val="18"/>
                <w:szCs w:val="18"/>
                <w:color w:val="auto"/>
              </w:rPr>
              <w:t>Cost of sales (excluding depreciation and</w:t>
            </w:r>
          </w:p>
        </w:tc>
        <w:tc>
          <w:tcPr>
            <w:tcW w:w="52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176,397</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89"/>
              </w:rPr>
              <w:t>208,460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219,866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226,818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amortization)</w:t>
            </w:r>
          </w:p>
        </w:tc>
        <w:tc>
          <w:tcPr>
            <w:tcW w:w="5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11,835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Basic earnings per share</w:t>
            </w:r>
          </w:p>
        </w:tc>
        <w:tc>
          <w:tcPr>
            <w:tcW w:w="5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Diluted earnings per share</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Cash dividends paid per common share</w:t>
            </w:r>
          </w:p>
        </w:tc>
        <w:tc>
          <w:tcPr>
            <w:tcW w:w="5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020" w:type="dxa"/>
            <w:vAlign w:val="bottom"/>
            <w:gridSpan w:val="4"/>
          </w:tcPr>
          <w:p>
            <w:pPr>
              <w:spacing w:after="0"/>
              <w:rPr>
                <w:sz w:val="20"/>
                <w:szCs w:val="20"/>
                <w:color w:val="auto"/>
              </w:rPr>
            </w:pPr>
            <w:r>
              <w:rPr>
                <w:rFonts w:ascii="Arial" w:cs="Arial" w:eastAsia="Arial" w:hAnsi="Arial"/>
                <w:sz w:val="16"/>
                <w:szCs w:val="16"/>
                <w:b w:val="1"/>
                <w:bCs w:val="1"/>
                <w:color w:val="auto"/>
              </w:rPr>
              <w:t>For the Quarter Ended</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January 31, 2020</w:t>
            </w:r>
          </w:p>
        </w:tc>
        <w:tc>
          <w:tcPr>
            <w:tcW w:w="12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April 30, 2020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July 31, 2020</w:t>
            </w:r>
          </w:p>
        </w:tc>
        <w:tc>
          <w:tcPr>
            <w:tcW w:w="13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187,475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212,096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w w:val="91"/>
              </w:rPr>
              <w:t>Cost of sales (excluding depreciation and amortization)</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157,427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149,732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162,427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189,164</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8,893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16,563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27,829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10,833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Cash dividends paid per common share</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20" w:firstLine="403"/>
        <w:spacing w:after="0" w:line="275" w:lineRule="auto"/>
        <w:rPr>
          <w:sz w:val="20"/>
          <w:szCs w:val="20"/>
          <w:color w:val="auto"/>
        </w:rPr>
      </w:pPr>
      <w:r>
        <w:rPr>
          <w:rFonts w:ascii="Arial" w:cs="Arial" w:eastAsia="Arial" w:hAnsi="Arial"/>
          <w:sz w:val="18"/>
          <w:szCs w:val="18"/>
          <w:color w:val="auto"/>
        </w:rPr>
        <w:t>Quarterly earnings per share results may not sum to the consolidated earnings per share results on the accompanying consolidated statements of income due to rounding and changes in weighted average shares during the respective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New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56" w:lineRule="exact"/>
        <w:rPr>
          <w:sz w:val="20"/>
          <w:szCs w:val="20"/>
          <w:color w:val="auto"/>
        </w:rPr>
      </w:pPr>
    </w:p>
    <w:p>
      <w:pPr>
        <w:jc w:val="both"/>
        <w:ind w:firstLine="444"/>
        <w:spacing w:after="0" w:line="274" w:lineRule="auto"/>
        <w:rPr>
          <w:sz w:val="20"/>
          <w:szCs w:val="20"/>
          <w:color w:val="auto"/>
        </w:rPr>
      </w:pPr>
      <w:r>
        <w:rPr>
          <w:rFonts w:ascii="Arial" w:cs="Arial" w:eastAsia="Arial" w:hAnsi="Arial"/>
          <w:sz w:val="17"/>
          <w:szCs w:val="17"/>
          <w:color w:val="auto"/>
        </w:rPr>
        <w:t xml:space="preserve">In June 2016, the Financial Accounting Standards Board issued Accounting Standards Update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w:t>
      </w:r>
      <w:r>
        <w:rPr>
          <w:rFonts w:ascii="Arial" w:cs="Arial" w:eastAsia="Arial" w:hAnsi="Arial"/>
          <w:sz w:val="17"/>
          <w:szCs w:val="17"/>
          <w:color w:val="auto"/>
        </w:rPr>
        <w:t>. This ASU sets forth a “current expected credit loss” model, which requires the measurement of all expected credit losses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 as pre-existing processes for estimating credit losses for trade receivables aligned with the expected credit loss model.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6" w:lineRule="exact"/>
        <w:rPr>
          <w:sz w:val="20"/>
          <w:szCs w:val="20"/>
          <w:color w:val="auto"/>
        </w:rPr>
      </w:pPr>
    </w:p>
    <w:p>
      <w:pPr>
        <w:jc w:val="both"/>
        <w:ind w:firstLine="444"/>
        <w:spacing w:after="0" w:line="25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 13a-15(e) under the Securities Exchange Act of 1934 (1934 Act) as of October 31, 2021. Based on that evaluation, the Chief Executive Officer and Chief Financial Officer concluded that, as of October 31, 2021, the disclosure controls and procedures are effective.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Refer to Management’s Annual Report on Internal Control over Financial Reporting located in “</w:t>
      </w:r>
      <w:r>
        <w:rPr>
          <w:rFonts w:ascii="Arial" w:cs="Arial" w:eastAsia="Arial" w:hAnsi="Arial"/>
          <w:sz w:val="18"/>
          <w:szCs w:val="18"/>
          <w:i w:val="1"/>
          <w:iCs w:val="1"/>
          <w:color w:val="auto"/>
        </w:rPr>
        <w:t>Part 2, Item 8. Financial Information”</w:t>
      </w:r>
      <w:r>
        <w:rPr>
          <w:rFonts w:ascii="Arial" w:cs="Arial" w:eastAsia="Arial" w:hAnsi="Arial"/>
          <w:sz w:val="18"/>
          <w:szCs w:val="18"/>
          <w:color w:val="auto"/>
        </w:rPr>
        <w:t xml:space="preserve">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Report Relating to Effectiveness of Internal Control over Financial Reporting</w:t>
      </w:r>
    </w:p>
    <w:p>
      <w:pPr>
        <w:spacing w:after="0" w:line="173"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Refer to the Report of Independent Registered Public Accounting Firm located in “</w:t>
      </w:r>
      <w:r>
        <w:rPr>
          <w:rFonts w:ascii="Arial" w:cs="Arial" w:eastAsia="Arial" w:hAnsi="Arial"/>
          <w:sz w:val="18"/>
          <w:szCs w:val="18"/>
          <w:i w:val="1"/>
          <w:iCs w:val="1"/>
          <w:color w:val="auto"/>
        </w:rPr>
        <w:t>Part 2, Item 8. Financial Information”</w:t>
      </w:r>
      <w:r>
        <w:rPr>
          <w:rFonts w:ascii="Arial" w:cs="Arial" w:eastAsia="Arial" w:hAnsi="Arial"/>
          <w:sz w:val="18"/>
          <w:szCs w:val="18"/>
          <w:color w:val="auto"/>
        </w:rPr>
        <w:t xml:space="preserve"> in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3" w:lineRule="exact"/>
        <w:rPr>
          <w:sz w:val="20"/>
          <w:szCs w:val="20"/>
          <w:color w:val="auto"/>
        </w:rPr>
      </w:pPr>
    </w:p>
    <w:p>
      <w:pPr>
        <w:jc w:val="both"/>
        <w:ind w:firstLine="403"/>
        <w:spacing w:after="0" w:line="305"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 Other Information.</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 Directors, Executive Officers and Corporate Governance.</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Pursuant to General Instruction G(3) to Form 10-K, the information on “</w:t>
      </w:r>
      <w:r>
        <w:rPr>
          <w:rFonts w:ascii="Arial" w:cs="Arial" w:eastAsia="Arial" w:hAnsi="Arial"/>
          <w:sz w:val="18"/>
          <w:szCs w:val="18"/>
          <w:i w:val="1"/>
          <w:iCs w:val="1"/>
          <w:color w:val="auto"/>
        </w:rPr>
        <w:t>Directors, Executive Officers and Corporate Governance”</w:t>
      </w:r>
      <w:r>
        <w:rPr>
          <w:rFonts w:ascii="Arial" w:cs="Arial" w:eastAsia="Arial" w:hAnsi="Arial"/>
          <w:sz w:val="18"/>
          <w:szCs w:val="18"/>
          <w:color w:val="auto"/>
        </w:rPr>
        <w:t xml:space="preserve"> is incorporated herein by reference from the Registrant's Definitive Proxy Statement relating to the 2022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Executive Compensation.</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Pursuant to General Instruction G(3) to Form 10-K, the information on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is incorporated herein by reference from the Registrant's Definitive Proxy Statement relating to the 2022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Security Ownership of Certain Beneficial Owners and Management and Related Stockholder Matters.</w:t>
      </w:r>
    </w:p>
    <w:p>
      <w:pPr>
        <w:spacing w:after="0" w:line="173"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Pursuant to General Instruction G(3) to Form 10-K, the information on “</w:t>
      </w:r>
      <w:r>
        <w:rPr>
          <w:rFonts w:ascii="Arial" w:cs="Arial" w:eastAsia="Arial" w:hAnsi="Arial"/>
          <w:sz w:val="17"/>
          <w:szCs w:val="17"/>
          <w:i w:val="1"/>
          <w:iCs w:val="1"/>
          <w:color w:val="auto"/>
        </w:rPr>
        <w:t>Security Ownership of Certain Beneficial Owners and Management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Related Stockholder Matters” </w:t>
      </w:r>
      <w:r>
        <w:rPr>
          <w:rFonts w:ascii="Arial" w:cs="Arial" w:eastAsia="Arial" w:hAnsi="Arial"/>
          <w:sz w:val="17"/>
          <w:szCs w:val="17"/>
          <w:color w:val="auto"/>
        </w:rPr>
        <w:t>is incorporated herein by reference from the Registrant's Definitive Proxy Statement relating to the 2022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Certain Relationships and Related Transactions, and Director Independence.</w:t>
      </w:r>
    </w:p>
    <w:p>
      <w:pPr>
        <w:spacing w:after="0" w:line="173" w:lineRule="exact"/>
        <w:rPr>
          <w:sz w:val="20"/>
          <w:szCs w:val="20"/>
          <w:color w:val="auto"/>
        </w:rPr>
      </w:pPr>
    </w:p>
    <w:p>
      <w:pPr>
        <w:jc w:val="both"/>
        <w:ind w:firstLine="403"/>
        <w:spacing w:after="0" w:line="277" w:lineRule="auto"/>
        <w:rPr>
          <w:sz w:val="20"/>
          <w:szCs w:val="20"/>
          <w:color w:val="auto"/>
        </w:rPr>
      </w:pPr>
      <w:r>
        <w:rPr>
          <w:rFonts w:ascii="Arial" w:cs="Arial" w:eastAsia="Arial" w:hAnsi="Arial"/>
          <w:sz w:val="17"/>
          <w:szCs w:val="17"/>
          <w:color w:val="auto"/>
        </w:rPr>
        <w:t>Pursuant to General Instruction G(3) to Form 10-K, the information on “</w:t>
      </w:r>
      <w:r>
        <w:rPr>
          <w:rFonts w:ascii="Arial" w:cs="Arial" w:eastAsia="Arial" w:hAnsi="Arial"/>
          <w:sz w:val="17"/>
          <w:szCs w:val="17"/>
          <w:i w:val="1"/>
          <w:iCs w:val="1"/>
          <w:color w:val="auto"/>
        </w:rPr>
        <w:t>Certain Relationships and Related Transactions, and Director Independence”</w:t>
      </w:r>
      <w:r>
        <w:rPr>
          <w:rFonts w:ascii="Arial" w:cs="Arial" w:eastAsia="Arial" w:hAnsi="Arial"/>
          <w:sz w:val="17"/>
          <w:szCs w:val="17"/>
          <w:color w:val="auto"/>
        </w:rPr>
        <w:t xml:space="preserve"> is incorporated herein by reference from the Registrant's Definitive Proxy Statement relating to the 2022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 Principal Accountant Fees and Services.</w:t>
      </w:r>
    </w:p>
    <w:p>
      <w:pPr>
        <w:spacing w:after="0" w:line="173" w:lineRule="exact"/>
        <w:rPr>
          <w:sz w:val="20"/>
          <w:szCs w:val="20"/>
          <w:color w:val="auto"/>
        </w:rPr>
      </w:pPr>
    </w:p>
    <w:p>
      <w:pPr>
        <w:jc w:val="both"/>
        <w:ind w:firstLine="403"/>
        <w:spacing w:after="0" w:line="258" w:lineRule="auto"/>
        <w:rPr>
          <w:sz w:val="20"/>
          <w:szCs w:val="20"/>
          <w:color w:val="auto"/>
        </w:rPr>
      </w:pPr>
      <w:r>
        <w:rPr>
          <w:rFonts w:ascii="Arial" w:cs="Arial" w:eastAsia="Arial" w:hAnsi="Arial"/>
          <w:sz w:val="18"/>
          <w:szCs w:val="18"/>
          <w:color w:val="auto"/>
        </w:rPr>
        <w:t>Pursuant to General Instruction G(3) to Form 10-K, the information on “</w:t>
      </w:r>
      <w:r>
        <w:rPr>
          <w:rFonts w:ascii="Arial" w:cs="Arial" w:eastAsia="Arial" w:hAnsi="Arial"/>
          <w:sz w:val="18"/>
          <w:szCs w:val="18"/>
          <w:i w:val="1"/>
          <w:iCs w:val="1"/>
          <w:color w:val="auto"/>
        </w:rPr>
        <w:t>Principal Accountant Fees and Services”</w:t>
      </w:r>
      <w:r>
        <w:rPr>
          <w:rFonts w:ascii="Arial" w:cs="Arial" w:eastAsia="Arial" w:hAnsi="Arial"/>
          <w:sz w:val="18"/>
          <w:szCs w:val="18"/>
          <w:color w:val="auto"/>
        </w:rPr>
        <w:t xml:space="preserve"> is incorporated herein by reference from the Registrant's Definitive Proxy Statement relating to the 2022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 Exhibits and Financial Statement Schedules.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financial statements included in this report are listed in the Index to Financial Statements located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3" w:lineRule="exact"/>
        <w:rPr>
          <w:sz w:val="20"/>
          <w:szCs w:val="20"/>
          <w:color w:val="auto"/>
        </w:rPr>
      </w:pPr>
    </w:p>
    <w:p>
      <w:pPr>
        <w:jc w:val="both"/>
        <w:ind w:firstLine="403"/>
        <w:spacing w:after="0" w:line="275"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or inapplicable.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3" w:lineRule="exact"/>
        <w:rPr>
          <w:sz w:val="20"/>
          <w:szCs w:val="20"/>
          <w:color w:val="auto"/>
        </w:rPr>
      </w:pPr>
    </w:p>
    <w:p>
      <w:pPr>
        <w:jc w:val="both"/>
        <w:ind w:firstLine="403"/>
        <w:spacing w:after="0" w:line="310" w:lineRule="auto"/>
        <w:rPr>
          <w:sz w:val="20"/>
          <w:szCs w:val="20"/>
          <w:color w:val="auto"/>
        </w:rPr>
      </w:pPr>
      <w:r>
        <w:rPr>
          <w:rFonts w:ascii="Arial" w:cs="Arial" w:eastAsia="Arial" w:hAnsi="Arial"/>
          <w:sz w:val="16"/>
          <w:szCs w:val="16"/>
          <w:color w:val="auto"/>
        </w:rPr>
        <w:t>The exhibits required to be filed pursuant to Item 15(b) of Form 10-K are listed in the Exhibit Index filed herewith, which Exhibit Index is incorporated herein by reference. Certain of our exhibits as denoted with a † between exhibits 10.1 through 10.39 listed in the Exhibit Index filed herewith, are management or compensatory plans or arrangements required to be filed as exhibits to this Annual Report on Form 10-K pursuant to Item 15(b)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0" w:lineRule="exact"/>
        <w:rPr>
          <w:sz w:val="20"/>
          <w:szCs w:val="20"/>
          <w:color w:val="auto"/>
        </w:rPr>
      </w:pPr>
    </w:p>
    <w:p>
      <w:pPr>
        <w:ind w:firstLine="444"/>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QUANEX BUILDING PRODUCTS CORPORATION</w:t>
            </w:r>
          </w:p>
        </w:tc>
      </w:tr>
      <w:tr>
        <w:trPr>
          <w:trHeight w:val="282"/>
        </w:trPr>
        <w:tc>
          <w:tcPr>
            <w:tcW w:w="4300" w:type="dxa"/>
            <w:vAlign w:val="bottom"/>
          </w:tcPr>
          <w:p>
            <w:pPr>
              <w:spacing w:after="0"/>
              <w:rPr>
                <w:sz w:val="20"/>
                <w:szCs w:val="20"/>
                <w:color w:val="auto"/>
              </w:rPr>
            </w:pPr>
            <w:r>
              <w:rPr>
                <w:rFonts w:ascii="Arial" w:cs="Arial" w:eastAsia="Arial" w:hAnsi="Arial"/>
                <w:sz w:val="18"/>
                <w:szCs w:val="18"/>
                <w:color w:val="auto"/>
              </w:rPr>
              <w:t>Date: December 17, 2021</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M. Zuehlke</w:t>
            </w:r>
          </w:p>
        </w:tc>
      </w:tr>
      <w:tr>
        <w:trPr>
          <w:trHeight w:val="221"/>
        </w:trPr>
        <w:tc>
          <w:tcPr>
            <w:tcW w:w="43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Scott M. Zuehlke</w:t>
            </w:r>
          </w:p>
        </w:tc>
      </w:tr>
      <w:tr>
        <w:trPr>
          <w:trHeight w:val="176"/>
        </w:trPr>
        <w:tc>
          <w:tcPr>
            <w:tcW w:w="4300" w:type="dxa"/>
            <w:vAlign w:val="bottom"/>
          </w:tcPr>
          <w:p>
            <w:pPr>
              <w:spacing w:after="0"/>
              <w:rPr>
                <w:sz w:val="15"/>
                <w:szCs w:val="15"/>
                <w:color w:val="auto"/>
              </w:rPr>
            </w:pPr>
          </w:p>
        </w:tc>
        <w:tc>
          <w:tcPr>
            <w:tcW w:w="668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 Chief Financial Officer and Treasurer</w:t>
            </w:r>
          </w:p>
        </w:tc>
      </w:tr>
      <w:tr>
        <w:trPr>
          <w:trHeight w:val="230"/>
        </w:trPr>
        <w:tc>
          <w:tcPr>
            <w:tcW w:w="43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07" w:lineRule="exact"/>
        <w:rPr>
          <w:sz w:val="20"/>
          <w:szCs w:val="20"/>
          <w:color w:val="auto"/>
        </w:rPr>
      </w:pPr>
    </w:p>
    <w:p>
      <w:pPr>
        <w:ind w:right="440" w:firstLine="403"/>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6000" w:type="dxa"/>
            <w:vAlign w:val="bottom"/>
          </w:tcPr>
          <w:p>
            <w:pPr>
              <w:jc w:val="center"/>
              <w:ind w:left="272"/>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jc w:val="center"/>
              <w:ind w:left="552"/>
              <w:spacing w:after="0"/>
              <w:rPr>
                <w:sz w:val="20"/>
                <w:szCs w:val="20"/>
                <w:color w:val="auto"/>
              </w:rPr>
            </w:pPr>
            <w:r>
              <w:rPr>
                <w:rFonts w:ascii="Arial" w:cs="Arial" w:eastAsia="Arial" w:hAnsi="Arial"/>
                <w:sz w:val="14"/>
                <w:szCs w:val="14"/>
                <w:b w:val="1"/>
                <w:bCs w:val="1"/>
                <w:color w:val="auto"/>
                <w:w w:val="92"/>
              </w:rPr>
              <w:t>Date</w:t>
            </w:r>
          </w:p>
        </w:tc>
      </w:tr>
      <w:tr>
        <w:trPr>
          <w:trHeight w:val="495"/>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C. Griffiths</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0"/>
              </w:rPr>
              <w:t>Chairman of the Board</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7"/>
              </w:rPr>
              <w:t>William C. Griffiths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Susan F. Davis</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86"/>
              </w:rPr>
              <w:t>Susan F. Davis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D. Rupp</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88"/>
              </w:rPr>
              <w:t>Joseph D. Rupp</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Curtis M. Stevens</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0"/>
              </w:rPr>
              <w:t>Curtis M. Stevens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Donald R. Maier</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2"/>
              </w:rPr>
              <w:t>Donald R. Maier</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Meredith W. Mendes</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1"/>
              </w:rPr>
              <w:t>Meredith W. Mendes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E. Waltz</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5"/>
              </w:rPr>
              <w:t>William E. Waltz</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Jason D. Lippert</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89"/>
              </w:rPr>
              <w:t>Jason D. Lippert</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George L. Wilson</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0"/>
              </w:rPr>
              <w:t>President and Chief Executive Officer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2"/>
              </w:rPr>
              <w:t>George L. Wilson</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3"/>
              </w:rPr>
              <w:t>(Principal Executive Officer)</w:t>
            </w: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M. Zuehlke</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0"/>
              </w:rPr>
              <w:t>Senior Vice President - Chief Financial Officer and Treasurer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1"/>
              </w:rPr>
              <w:t>Scott M. Zuehlke</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4"/>
              </w:rPr>
              <w:t>(Principal Financial Officer)</w:t>
            </w:r>
          </w:p>
        </w:tc>
        <w:tc>
          <w:tcPr>
            <w:tcW w:w="2040" w:type="dxa"/>
            <w:vAlign w:val="bottom"/>
          </w:tcPr>
          <w:p>
            <w:pPr>
              <w:spacing w:after="0"/>
              <w:rPr>
                <w:sz w:val="19"/>
                <w:szCs w:val="19"/>
                <w:color w:val="auto"/>
              </w:rPr>
            </w:pPr>
          </w:p>
        </w:tc>
      </w:tr>
      <w:tr>
        <w:trPr>
          <w:trHeight w:val="48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A. Livingston</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2"/>
              </w:rPr>
              <w:t>Vice President, Chief Accounting Officer and Controller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17, 2021</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95"/>
              </w:rPr>
              <w:t>Mark A. Livingston</w:t>
            </w:r>
          </w:p>
        </w:tc>
        <w:tc>
          <w:tcPr>
            <w:tcW w:w="6000" w:type="dxa"/>
            <w:vAlign w:val="bottom"/>
          </w:tcPr>
          <w:p>
            <w:pPr>
              <w:jc w:val="center"/>
              <w:ind w:left="272"/>
              <w:spacing w:after="0"/>
              <w:rPr>
                <w:sz w:val="20"/>
                <w:szCs w:val="20"/>
                <w:color w:val="auto"/>
              </w:rPr>
            </w:pPr>
            <w:r>
              <w:rPr>
                <w:rFonts w:ascii="Arial" w:cs="Arial" w:eastAsia="Arial" w:hAnsi="Arial"/>
                <w:sz w:val="18"/>
                <w:szCs w:val="18"/>
                <w:color w:val="auto"/>
                <w:w w:val="94"/>
              </w:rPr>
              <w:t>(Principal Accounting Officer)</w:t>
            </w:r>
          </w:p>
        </w:tc>
        <w:tc>
          <w:tcPr>
            <w:tcW w:w="20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4"/>
          </w:tcPr>
          <w:p>
            <w:pPr>
              <w:jc w:val="center"/>
              <w:ind w:left="350"/>
              <w:spacing w:after="0"/>
              <w:rPr>
                <w:rFonts w:ascii="Arial" w:cs="Arial" w:eastAsia="Arial" w:hAnsi="Arial"/>
                <w:sz w:val="18"/>
                <w:szCs w:val="18"/>
                <w:color w:val="0000FF"/>
                <w:w w:val="87"/>
              </w:rPr>
            </w:pPr>
            <w:hyperlink r:id="rId9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560" w:type="dxa"/>
            <w:vAlign w:val="bottom"/>
          </w:tcPr>
          <w:p>
            <w:pPr>
              <w:spacing w:after="0"/>
              <w:rPr>
                <w:sz w:val="17"/>
                <w:szCs w:val="17"/>
                <w:color w:val="auto"/>
              </w:rPr>
            </w:pPr>
          </w:p>
        </w:tc>
        <w:tc>
          <w:tcPr>
            <w:tcW w:w="10320" w:type="dxa"/>
            <w:vAlign w:val="bottom"/>
            <w:gridSpan w:val="43"/>
          </w:tcPr>
          <w:p>
            <w:pPr>
              <w:spacing w:after="0"/>
              <w:rPr>
                <w:rFonts w:ascii="Arial" w:cs="Arial" w:eastAsia="Arial" w:hAnsi="Arial"/>
                <w:sz w:val="18"/>
                <w:szCs w:val="18"/>
                <w:color w:val="0000FF"/>
              </w:rPr>
            </w:pPr>
            <w:hyperlink r:id="rId95">
              <w:r>
                <w:rPr>
                  <w:rFonts w:ascii="Arial" w:cs="Arial" w:eastAsia="Arial" w:hAnsi="Arial"/>
                  <w:sz w:val="18"/>
                  <w:szCs w:val="18"/>
                  <w:color w:val="0000FF"/>
                </w:rPr>
                <w:t>Distribution Agreement among Quanex Corporation, Quanex Building Products LLC and Quanex Building Products Corporation</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80" w:type="dxa"/>
            <w:vAlign w:val="bottom"/>
            <w:tcBorders>
              <w:top w:val="single" w:sz="8" w:color="0000FF"/>
            </w:tcBorders>
            <w:gridSpan w:val="14"/>
          </w:tcPr>
          <w:p>
            <w:pPr>
              <w:spacing w:after="0" w:line="154" w:lineRule="exact"/>
              <w:rPr>
                <w:rFonts w:ascii="Arial" w:cs="Arial" w:eastAsia="Arial" w:hAnsi="Arial"/>
                <w:sz w:val="17"/>
                <w:szCs w:val="17"/>
                <w:color w:val="0000FF"/>
                <w:w w:val="96"/>
              </w:rPr>
            </w:pPr>
            <w:hyperlink r:id="rId95">
              <w:r>
                <w:rPr>
                  <w:rFonts w:ascii="Arial" w:cs="Arial" w:eastAsia="Arial" w:hAnsi="Arial"/>
                  <w:sz w:val="17"/>
                  <w:szCs w:val="17"/>
                  <w:color w:val="0000FF"/>
                  <w:w w:val="96"/>
                </w:rPr>
                <w:t>(incorporated by reference to Exhibit 10.1 to Quanex Corporation’s Current Report on Form 8-K (Reg. No. 001-05725) filed with</w:t>
              </w:r>
            </w:hyperlink>
          </w:p>
        </w:tc>
        <w:tc>
          <w:tcPr>
            <w:tcW w:w="1040" w:type="dxa"/>
            <w:vAlign w:val="bottom"/>
            <w:gridSpan w:val="29"/>
          </w:tcPr>
          <w:p>
            <w:pPr>
              <w:ind w:left="60"/>
              <w:spacing w:after="0" w:line="154" w:lineRule="exact"/>
              <w:rPr>
                <w:rFonts w:ascii="Arial" w:cs="Arial" w:eastAsia="Arial" w:hAnsi="Arial"/>
                <w:sz w:val="17"/>
                <w:szCs w:val="17"/>
                <w:color w:val="0000FF"/>
              </w:rPr>
            </w:pPr>
            <w:hyperlink r:id="rId95">
              <w:r>
                <w:rPr>
                  <w:rFonts w:ascii="Arial" w:cs="Arial" w:eastAsia="Arial" w:hAnsi="Arial"/>
                  <w:sz w:val="17"/>
                  <w:szCs w:val="17"/>
                  <w:color w:val="0000FF"/>
                </w:rPr>
                <w:t>the</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56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95">
              <w:r>
                <w:rPr>
                  <w:rFonts w:ascii="Arial" w:cs="Arial" w:eastAsia="Arial" w:hAnsi="Arial"/>
                  <w:sz w:val="17"/>
                  <w:szCs w:val="17"/>
                  <w:color w:val="0000FF"/>
                </w:rPr>
                <w:t>Commission on December 24, 2007).</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96">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Agreement and Plan of Merger, dated as of January 31, 2011, by and among Quanex Building Products Corporation, QSB Inc., Lauren</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0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96">
              <w:r>
                <w:rPr>
                  <w:rFonts w:ascii="Arial" w:cs="Arial" w:eastAsia="Arial" w:hAnsi="Arial"/>
                  <w:sz w:val="17"/>
                  <w:szCs w:val="17"/>
                  <w:color w:val="0000FF"/>
                </w:rPr>
                <w:t>Holdco Inc., Lauren International, Inc. and Kevin E. Gray, as agent for the shareholders of Lauren Holdco Inc., filed as Exhibit 2.1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9"/>
          </w:tcPr>
          <w:p>
            <w:pPr>
              <w:spacing w:after="0" w:line="154" w:lineRule="exact"/>
              <w:rPr>
                <w:rFonts w:ascii="Arial" w:cs="Arial" w:eastAsia="Arial" w:hAnsi="Arial"/>
                <w:sz w:val="17"/>
                <w:szCs w:val="17"/>
                <w:color w:val="0000FF"/>
                <w:w w:val="96"/>
              </w:rPr>
            </w:pPr>
            <w:hyperlink r:id="rId96">
              <w:r>
                <w:rPr>
                  <w:rFonts w:ascii="Arial" w:cs="Arial" w:eastAsia="Arial" w:hAnsi="Arial"/>
                  <w:sz w:val="17"/>
                  <w:szCs w:val="17"/>
                  <w:color w:val="0000FF"/>
                  <w:w w:val="96"/>
                </w:rPr>
                <w:t>the Registrant’s Current Report on Form 8-K (Reg. No. 001-33913) as filed with the Securities and Exchange Commission on February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20" w:type="dxa"/>
            <w:vAlign w:val="bottom"/>
            <w:gridSpan w:val="28"/>
          </w:tcPr>
          <w:p>
            <w:pPr>
              <w:spacing w:after="0" w:line="154" w:lineRule="exact"/>
              <w:rPr>
                <w:rFonts w:ascii="Arial" w:cs="Arial" w:eastAsia="Arial" w:hAnsi="Arial"/>
                <w:sz w:val="17"/>
                <w:szCs w:val="17"/>
                <w:color w:val="0000FF"/>
              </w:rPr>
            </w:pPr>
            <w:hyperlink r:id="rId96">
              <w:r>
                <w:rPr>
                  <w:rFonts w:ascii="Arial" w:cs="Arial" w:eastAsia="Arial" w:hAnsi="Arial"/>
                  <w:sz w:val="17"/>
                  <w:szCs w:val="17"/>
                  <w:color w:val="0000FF"/>
                </w:rPr>
                <w:t>2,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97">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Limited Liability Company Interest Purchase Agreement dated February 7, 2014, by and among Quanex Building Products Corporation,</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4"/>
          </w:tcPr>
          <w:p>
            <w:pPr>
              <w:spacing w:after="0" w:line="154" w:lineRule="exact"/>
              <w:rPr>
                <w:rFonts w:ascii="Arial" w:cs="Arial" w:eastAsia="Arial" w:hAnsi="Arial"/>
                <w:sz w:val="17"/>
                <w:szCs w:val="17"/>
                <w:color w:val="0000FF"/>
              </w:rPr>
            </w:pPr>
            <w:hyperlink r:id="rId97">
              <w:r>
                <w:rPr>
                  <w:rFonts w:ascii="Arial" w:cs="Arial" w:eastAsia="Arial" w:hAnsi="Arial"/>
                  <w:sz w:val="17"/>
                  <w:szCs w:val="17"/>
                  <w:color w:val="0000FF"/>
                </w:rPr>
                <w:t>Nichols Aluminum, LLC and Aleris International Inc., filed as Exhibit 2.1 of the Registrant’s Current Report on Form 8-K (Reg.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gridSpan w:val="40"/>
          </w:tcPr>
          <w:p>
            <w:pPr>
              <w:spacing w:after="0" w:line="154" w:lineRule="exact"/>
              <w:rPr>
                <w:rFonts w:ascii="Arial" w:cs="Arial" w:eastAsia="Arial" w:hAnsi="Arial"/>
                <w:sz w:val="17"/>
                <w:szCs w:val="17"/>
                <w:color w:val="0000FF"/>
              </w:rPr>
            </w:pPr>
            <w:hyperlink r:id="rId97">
              <w:r>
                <w:rPr>
                  <w:rFonts w:ascii="Arial" w:cs="Arial" w:eastAsia="Arial" w:hAnsi="Arial"/>
                  <w:sz w:val="17"/>
                  <w:szCs w:val="17"/>
                  <w:color w:val="0000FF"/>
                </w:rPr>
                <w:t>001-33913) as filed with the Securities and Exchange Commission on February 10, 2014,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9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4</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rPr>
            </w:pPr>
            <w:hyperlink r:id="rId98">
              <w:r>
                <w:rPr>
                  <w:rFonts w:ascii="Arial" w:cs="Arial" w:eastAsia="Arial" w:hAnsi="Arial"/>
                  <w:sz w:val="18"/>
                  <w:szCs w:val="18"/>
                  <w:color w:val="0000FF"/>
                </w:rPr>
                <w:t>First Amendment to Limited Liability Company Interest Purchase Agreement dated April 1, 2014, by and among Quanex Building</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8"/>
              </w:rPr>
            </w:pPr>
            <w:hyperlink r:id="rId98">
              <w:r>
                <w:rPr>
                  <w:rFonts w:ascii="Arial" w:cs="Arial" w:eastAsia="Arial" w:hAnsi="Arial"/>
                  <w:sz w:val="17"/>
                  <w:szCs w:val="17"/>
                  <w:color w:val="0000FF"/>
                  <w:w w:val="98"/>
                </w:rPr>
                <w:t>Products Corporation, Nichols Aluminum, LLC and Aleris International Inc., filed as Exhibit 10.1 of the Registrant’s Current Report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80" w:type="dxa"/>
            <w:vAlign w:val="bottom"/>
            <w:tcBorders>
              <w:bottom w:val="single" w:sz="8" w:color="0000FF"/>
            </w:tcBorders>
            <w:gridSpan w:val="36"/>
          </w:tcPr>
          <w:p>
            <w:pPr>
              <w:spacing w:after="0" w:line="154" w:lineRule="exact"/>
              <w:rPr>
                <w:rFonts w:ascii="Arial" w:cs="Arial" w:eastAsia="Arial" w:hAnsi="Arial"/>
                <w:sz w:val="17"/>
                <w:szCs w:val="17"/>
                <w:color w:val="0000FF"/>
              </w:rPr>
            </w:pPr>
            <w:hyperlink r:id="rId98">
              <w:r>
                <w:rPr>
                  <w:rFonts w:ascii="Arial" w:cs="Arial" w:eastAsia="Arial" w:hAnsi="Arial"/>
                  <w:sz w:val="17"/>
                  <w:szCs w:val="17"/>
                  <w:color w:val="0000FF"/>
                </w:rPr>
                <w:t>Form 8-K (Reg. No. 001-33913) as filed with the Securities and Exchange Commission on April 7, 2014,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Borders>
              <w:bottom w:val="single" w:sz="8" w:color="0000FF"/>
            </w:tcBorders>
          </w:tcPr>
          <w:p>
            <w:pPr>
              <w:spacing w:after="0" w:line="154" w:lineRule="exact"/>
              <w:rPr>
                <w:rFonts w:ascii="Arial" w:cs="Arial" w:eastAsia="Arial" w:hAnsi="Arial"/>
                <w:sz w:val="17"/>
                <w:szCs w:val="17"/>
                <w:color w:val="0000FF"/>
                <w:w w:val="91"/>
              </w:rPr>
            </w:pPr>
            <w:hyperlink r:id="rId98">
              <w:r>
                <w:rPr>
                  <w:rFonts w:ascii="Arial" w:cs="Arial" w:eastAsia="Arial" w:hAnsi="Arial"/>
                  <w:sz w:val="17"/>
                  <w:szCs w:val="17"/>
                  <w:color w:val="0000FF"/>
                  <w:w w:val="91"/>
                </w:rPr>
                <w:t>reference.</w:t>
              </w:r>
            </w:hyperlink>
          </w:p>
        </w:tc>
        <w:tc>
          <w:tcPr>
            <w:tcW w:w="9520" w:type="dxa"/>
            <w:vAlign w:val="bottom"/>
            <w:gridSpan w:val="3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99">
              <w:r>
                <w:rPr>
                  <w:rFonts w:ascii="Arial" w:cs="Arial" w:eastAsia="Arial" w:hAnsi="Arial"/>
                  <w:sz w:val="18"/>
                  <w:szCs w:val="18"/>
                  <w:color w:val="0000FF"/>
                  <w:w w:val="87"/>
                </w:rPr>
                <w:t>2.</w:t>
              </w:r>
              <w:r>
                <w:rPr>
                  <w:rFonts w:ascii="Arial" w:cs="Arial" w:eastAsia="Arial" w:hAnsi="Arial"/>
                  <w:sz w:val="18"/>
                  <w:szCs w:val="18"/>
                  <w:u w:val="single" w:color="auto"/>
                  <w:color w:val="0000FF"/>
                  <w:w w:val="87"/>
                </w:rPr>
                <w:t>5</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Share Purchase Agreement dated June 15, 2015 by and among R.L. Hartshorn and others, and Quanex Building Products Corporation,</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54" w:lineRule="exact"/>
              <w:rPr>
                <w:rFonts w:ascii="Arial" w:cs="Arial" w:eastAsia="Arial" w:hAnsi="Arial"/>
                <w:sz w:val="17"/>
                <w:szCs w:val="17"/>
                <w:color w:val="0000FF"/>
              </w:rPr>
            </w:pPr>
            <w:hyperlink r:id="rId99">
              <w:r>
                <w:rPr>
                  <w:rFonts w:ascii="Arial" w:cs="Arial" w:eastAsia="Arial" w:hAnsi="Arial"/>
                  <w:sz w:val="17"/>
                  <w:szCs w:val="17"/>
                  <w:color w:val="0000FF"/>
                </w:rPr>
                <w:t>filed as Exhibit 2.1 to the 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4" w:lineRule="exact"/>
              <w:rPr>
                <w:rFonts w:ascii="Arial" w:cs="Arial" w:eastAsia="Arial" w:hAnsi="Arial"/>
                <w:sz w:val="17"/>
                <w:szCs w:val="17"/>
                <w:color w:val="0000FF"/>
              </w:rPr>
            </w:pPr>
            <w:hyperlink r:id="rId99">
              <w:r>
                <w:rPr>
                  <w:rFonts w:ascii="Arial" w:cs="Arial" w:eastAsia="Arial" w:hAnsi="Arial"/>
                  <w:sz w:val="17"/>
                  <w:szCs w:val="17"/>
                  <w:color w:val="0000FF"/>
                </w:rPr>
                <w:t>Commission on June 16, 2015,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100">
              <w:r>
                <w:rPr>
                  <w:rFonts w:ascii="Arial" w:cs="Arial" w:eastAsia="Arial" w:hAnsi="Arial"/>
                  <w:sz w:val="18"/>
                  <w:szCs w:val="18"/>
                  <w:color w:val="0000FF"/>
                  <w:w w:val="87"/>
                </w:rPr>
                <w:t>2.</w:t>
              </w:r>
              <w:r>
                <w:rPr>
                  <w:rFonts w:ascii="Arial" w:cs="Arial" w:eastAsia="Arial" w:hAnsi="Arial"/>
                  <w:sz w:val="18"/>
                  <w:szCs w:val="18"/>
                  <w:u w:val="single" w:color="auto"/>
                  <w:color w:val="0000FF"/>
                  <w:w w:val="87"/>
                </w:rPr>
                <w:t>6</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Agreement and Plan of Merger, dated as of August 30, 2015, by and among Quanex Building Products Corporation, QWMS, Inc., WII</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37"/>
          </w:tcPr>
          <w:p>
            <w:pPr>
              <w:spacing w:after="0" w:line="154" w:lineRule="exact"/>
              <w:rPr>
                <w:rFonts w:ascii="Arial" w:cs="Arial" w:eastAsia="Arial" w:hAnsi="Arial"/>
                <w:sz w:val="17"/>
                <w:szCs w:val="17"/>
                <w:color w:val="0000FF"/>
              </w:rPr>
            </w:pPr>
            <w:hyperlink r:id="rId100">
              <w:r>
                <w:rPr>
                  <w:rFonts w:ascii="Arial" w:cs="Arial" w:eastAsia="Arial" w:hAnsi="Arial"/>
                  <w:sz w:val="17"/>
                  <w:szCs w:val="17"/>
                  <w:color w:val="0000FF"/>
                </w:rPr>
                <w:t>Holding, Inc., and Olympus Growth Fund IV, L.P, solely in its capacity as the representative of the stockholders of WII Holding, Inc,</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00" w:type="dxa"/>
            <w:vAlign w:val="bottom"/>
            <w:gridSpan w:val="42"/>
          </w:tcPr>
          <w:p>
            <w:pPr>
              <w:spacing w:after="0" w:line="154" w:lineRule="exact"/>
              <w:rPr>
                <w:rFonts w:ascii="Arial" w:cs="Arial" w:eastAsia="Arial" w:hAnsi="Arial"/>
                <w:sz w:val="17"/>
                <w:szCs w:val="17"/>
                <w:color w:val="0000FF"/>
              </w:rPr>
            </w:pPr>
            <w:hyperlink r:id="rId100">
              <w:r>
                <w:rPr>
                  <w:rFonts w:ascii="Arial" w:cs="Arial" w:eastAsia="Arial" w:hAnsi="Arial"/>
                  <w:sz w:val="17"/>
                  <w:szCs w:val="17"/>
                  <w:color w:val="0000FF"/>
                </w:rPr>
                <w:t>filed as Exhibit 2.1 to the Registrant's Current Report on Form 8-K (Reg. No. 001-33913), as filed with the Securities and Exchange</w:t>
              </w:r>
            </w:hyperlink>
          </w:p>
        </w:tc>
        <w:tc>
          <w:tcPr>
            <w:tcW w:w="20" w:type="dxa"/>
            <w:vAlign w:val="bottom"/>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w w:val="95"/>
              </w:rPr>
            </w:pPr>
            <w:hyperlink r:id="rId100">
              <w:r>
                <w:rPr>
                  <w:rFonts w:ascii="Arial" w:cs="Arial" w:eastAsia="Arial" w:hAnsi="Arial"/>
                  <w:sz w:val="17"/>
                  <w:szCs w:val="17"/>
                  <w:color w:val="0000FF"/>
                  <w:w w:val="95"/>
                </w:rPr>
                <w:t>Commission on August 30, 2015, and incorporated herein by reference.</w:t>
              </w:r>
            </w:hyperlink>
          </w:p>
        </w:tc>
        <w:tc>
          <w:tcPr>
            <w:tcW w:w="47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10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6"/>
              </w:rPr>
            </w:pPr>
            <w:hyperlink r:id="rId101">
              <w:r>
                <w:rPr>
                  <w:rFonts w:ascii="Arial" w:cs="Arial" w:eastAsia="Arial" w:hAnsi="Arial"/>
                  <w:sz w:val="18"/>
                  <w:szCs w:val="18"/>
                  <w:color w:val="0000FF"/>
                  <w:w w:val="96"/>
                </w:rPr>
                <w:t>Restated Certificate of Incorporation of the Registrant dated as of March 4, 2016, filed as Exhibit 3.1 of the Registrant’s Current Report</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tcBorders>
              <w:top w:val="single" w:sz="8" w:color="0000FF"/>
            </w:tcBorders>
            <w:gridSpan w:val="40"/>
          </w:tcPr>
          <w:p>
            <w:pPr>
              <w:spacing w:after="0" w:line="154" w:lineRule="exact"/>
              <w:rPr>
                <w:rFonts w:ascii="Arial" w:cs="Arial" w:eastAsia="Arial" w:hAnsi="Arial"/>
                <w:sz w:val="17"/>
                <w:szCs w:val="17"/>
                <w:color w:val="0000FF"/>
              </w:rPr>
            </w:pPr>
            <w:hyperlink r:id="rId101">
              <w:r>
                <w:rPr>
                  <w:rFonts w:ascii="Arial" w:cs="Arial" w:eastAsia="Arial" w:hAnsi="Arial"/>
                  <w:sz w:val="17"/>
                  <w:szCs w:val="17"/>
                  <w:color w:val="0000FF"/>
                </w:rPr>
                <w:t>on Form 8-K (Reg. No. 001-33913) as filed with the Securities and Exchange Commission on March 7, 2016, and incorporated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2"/>
              </w:rPr>
            </w:pPr>
            <w:hyperlink r:id="rId101">
              <w:r>
                <w:rPr>
                  <w:rFonts w:ascii="Arial" w:cs="Arial" w:eastAsia="Arial" w:hAnsi="Arial"/>
                  <w:sz w:val="17"/>
                  <w:szCs w:val="17"/>
                  <w:color w:val="0000FF"/>
                  <w:w w:val="92"/>
                </w:rPr>
                <w:t>by reference.</w:t>
              </w:r>
            </w:hyperlink>
          </w:p>
        </w:tc>
        <w:tc>
          <w:tcPr>
            <w:tcW w:w="902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10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Fourth Amended and Restated Bylaws of the Registrant dated as of February 27, 2020, filed as Exhibit 3.2 of the Registrant's Quarterly</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0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102">
              <w:r>
                <w:rPr>
                  <w:rFonts w:ascii="Arial" w:cs="Arial" w:eastAsia="Arial" w:hAnsi="Arial"/>
                  <w:sz w:val="17"/>
                  <w:szCs w:val="17"/>
                  <w:color w:val="0000FF"/>
                </w:rPr>
                <w:t>Report on Form 10-Q (Reg. No. 001-33913) for the quarter ended January 31, 2020.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6"/>
        </w:trPr>
        <w:tc>
          <w:tcPr>
            <w:tcW w:w="860" w:type="dxa"/>
            <w:vAlign w:val="bottom"/>
            <w:gridSpan w:val="4"/>
          </w:tcPr>
          <w:p>
            <w:pPr>
              <w:jc w:val="center"/>
              <w:ind w:left="350"/>
              <w:spacing w:after="0"/>
              <w:rPr>
                <w:rFonts w:ascii="Arial" w:cs="Arial" w:eastAsia="Arial" w:hAnsi="Arial"/>
                <w:sz w:val="18"/>
                <w:szCs w:val="18"/>
                <w:color w:val="0000FF"/>
                <w:w w:val="87"/>
              </w:rPr>
            </w:pPr>
            <w:hyperlink r:id="rId10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560" w:type="dxa"/>
            <w:vAlign w:val="bottom"/>
          </w:tcPr>
          <w:p>
            <w:pPr>
              <w:spacing w:after="0"/>
              <w:rPr>
                <w:sz w:val="24"/>
                <w:szCs w:val="24"/>
                <w:color w:val="auto"/>
              </w:rPr>
            </w:pPr>
          </w:p>
        </w:tc>
        <w:tc>
          <w:tcPr>
            <w:tcW w:w="10320" w:type="dxa"/>
            <w:vAlign w:val="bottom"/>
            <w:gridSpan w:val="43"/>
          </w:tcPr>
          <w:p>
            <w:pPr>
              <w:spacing w:after="0"/>
              <w:rPr>
                <w:rFonts w:ascii="Arial" w:cs="Arial" w:eastAsia="Arial" w:hAnsi="Arial"/>
                <w:sz w:val="18"/>
                <w:szCs w:val="18"/>
                <w:color w:val="0000FF"/>
                <w:w w:val="97"/>
              </w:rPr>
            </w:pPr>
            <w:hyperlink r:id="rId103">
              <w:r>
                <w:rPr>
                  <w:rFonts w:ascii="Arial" w:cs="Arial" w:eastAsia="Arial" w:hAnsi="Arial"/>
                  <w:sz w:val="18"/>
                  <w:szCs w:val="18"/>
                  <w:color w:val="0000FF"/>
                  <w:w w:val="97"/>
                </w:rPr>
                <w:t>Form of Registrant’s common stock certificate, filed as Exhibit 4.1 of Amendment No. 1 to the Registrant’s Registration Statement on</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60" w:type="dxa"/>
            <w:vAlign w:val="bottom"/>
            <w:tcBorders>
              <w:top w:val="single" w:sz="8" w:color="0000FF"/>
            </w:tcBorders>
            <w:gridSpan w:val="35"/>
          </w:tcPr>
          <w:p>
            <w:pPr>
              <w:spacing w:after="0" w:line="154" w:lineRule="exact"/>
              <w:rPr>
                <w:rFonts w:ascii="Arial" w:cs="Arial" w:eastAsia="Arial" w:hAnsi="Arial"/>
                <w:sz w:val="17"/>
                <w:szCs w:val="17"/>
                <w:color w:val="0000FF"/>
              </w:rPr>
            </w:pPr>
            <w:hyperlink r:id="rId103">
              <w:r>
                <w:rPr>
                  <w:rFonts w:ascii="Arial" w:cs="Arial" w:eastAsia="Arial" w:hAnsi="Arial"/>
                  <w:sz w:val="17"/>
                  <w:szCs w:val="17"/>
                  <w:color w:val="0000FF"/>
                </w:rPr>
                <w:t>Form 10 (Reg. No. 001-33913), as filed with the Securities and Exchange Commission on February 14, 2008, and incorporated herein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2"/>
              </w:rPr>
            </w:pPr>
            <w:hyperlink r:id="rId103">
              <w:r>
                <w:rPr>
                  <w:rFonts w:ascii="Arial" w:cs="Arial" w:eastAsia="Arial" w:hAnsi="Arial"/>
                  <w:sz w:val="17"/>
                  <w:szCs w:val="17"/>
                  <w:color w:val="0000FF"/>
                  <w:w w:val="92"/>
                </w:rPr>
                <w:t>by reference.</w:t>
              </w:r>
            </w:hyperlink>
          </w:p>
        </w:tc>
        <w:tc>
          <w:tcPr>
            <w:tcW w:w="9200" w:type="dxa"/>
            <w:vAlign w:val="bottom"/>
            <w:tcBorders>
              <w:top w:val="single" w:sz="8" w:color="0000FF"/>
            </w:tcBorders>
            <w:gridSpan w:val="3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10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5"/>
              </w:rPr>
            </w:pPr>
            <w:hyperlink r:id="rId104">
              <w:r>
                <w:rPr>
                  <w:rFonts w:ascii="Arial" w:cs="Arial" w:eastAsia="Arial" w:hAnsi="Arial"/>
                  <w:sz w:val="18"/>
                  <w:szCs w:val="18"/>
                  <w:color w:val="0000FF"/>
                  <w:w w:val="95"/>
                </w:rPr>
                <w:t>Credit Agreement dated as of October 18, 2018, by and among the Company; the lenders party thereto; and Wells Fargo Bank, National</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80" w:type="dxa"/>
            <w:vAlign w:val="bottom"/>
            <w:tcBorders>
              <w:top w:val="single" w:sz="8" w:color="0000FF"/>
            </w:tcBorders>
            <w:gridSpan w:val="36"/>
          </w:tcPr>
          <w:p>
            <w:pPr>
              <w:spacing w:after="0" w:line="154" w:lineRule="exact"/>
              <w:rPr>
                <w:rFonts w:ascii="Arial" w:cs="Arial" w:eastAsia="Arial" w:hAnsi="Arial"/>
                <w:sz w:val="17"/>
                <w:szCs w:val="17"/>
                <w:color w:val="0000FF"/>
              </w:rPr>
            </w:pPr>
            <w:hyperlink r:id="rId104">
              <w:r>
                <w:rPr>
                  <w:rFonts w:ascii="Arial" w:cs="Arial" w:eastAsia="Arial" w:hAnsi="Arial"/>
                  <w:sz w:val="17"/>
                  <w:szCs w:val="17"/>
                  <w:color w:val="0000FF"/>
                </w:rPr>
                <w:t>Association, as Agent; filed as Exhibit 10.1 of the Registrant’s Current Report on Form 8-K (Reg. No. 001-33913) as filed with the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12"/>
          </w:tcPr>
          <w:p>
            <w:pPr>
              <w:spacing w:after="0" w:line="154" w:lineRule="exact"/>
              <w:rPr>
                <w:rFonts w:ascii="Arial" w:cs="Arial" w:eastAsia="Arial" w:hAnsi="Arial"/>
                <w:sz w:val="17"/>
                <w:szCs w:val="17"/>
                <w:color w:val="0000FF"/>
                <w:w w:val="94"/>
              </w:rPr>
            </w:pPr>
            <w:hyperlink r:id="rId104">
              <w:r>
                <w:rPr>
                  <w:rFonts w:ascii="Arial" w:cs="Arial" w:eastAsia="Arial" w:hAnsi="Arial"/>
                  <w:sz w:val="17"/>
                  <w:szCs w:val="17"/>
                  <w:color w:val="0000FF"/>
                  <w:w w:val="94"/>
                </w:rPr>
                <w:t>Securities and Exchange Commission on October 18, 2018, and incorporated herein by reference.</w:t>
              </w:r>
            </w:hyperlink>
          </w:p>
        </w:tc>
        <w:tc>
          <w:tcPr>
            <w:tcW w:w="32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2"/>
        </w:trPr>
        <w:tc>
          <w:tcPr>
            <w:tcW w:w="860" w:type="dxa"/>
            <w:vAlign w:val="bottom"/>
            <w:gridSpan w:val="4"/>
          </w:tcPr>
          <w:p>
            <w:pPr>
              <w:jc w:val="center"/>
              <w:ind w:left="35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560" w:type="dxa"/>
            <w:vAlign w:val="bottom"/>
          </w:tcPr>
          <w:p>
            <w:pPr>
              <w:spacing w:after="0"/>
              <w:rPr>
                <w:sz w:val="22"/>
                <w:szCs w:val="22"/>
                <w:color w:val="auto"/>
              </w:rPr>
            </w:pPr>
          </w:p>
        </w:tc>
        <w:tc>
          <w:tcPr>
            <w:tcW w:w="10320" w:type="dxa"/>
            <w:vAlign w:val="bottom"/>
            <w:gridSpan w:val="43"/>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Amendment No. 1 to Amended and Restated Credit Agreement, by and among the Company; the lenders party thereto; and Wells Fargo</w:t>
              </w:r>
            </w:hyperlink>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1"/>
          </w:tcPr>
          <w:p>
            <w:pPr>
              <w:spacing w:after="0" w:line="154" w:lineRule="exact"/>
              <w:rPr>
                <w:rFonts w:ascii="Arial" w:cs="Arial" w:eastAsia="Arial" w:hAnsi="Arial"/>
                <w:sz w:val="17"/>
                <w:szCs w:val="17"/>
                <w:color w:val="0000FF"/>
                <w:w w:val="98"/>
              </w:rPr>
            </w:pPr>
            <w:hyperlink r:id="rId105">
              <w:r>
                <w:rPr>
                  <w:rFonts w:ascii="Arial" w:cs="Arial" w:eastAsia="Arial" w:hAnsi="Arial"/>
                  <w:sz w:val="17"/>
                  <w:szCs w:val="17"/>
                  <w:color w:val="0000FF"/>
                  <w:w w:val="98"/>
                </w:rPr>
                <w:t>Bank, National Association, as Agent (portions redacted). filed as Exhibit 4.3 of the Registrant's Quarterly Report on Form 10-Q (Reg.</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60" w:type="dxa"/>
            <w:vAlign w:val="bottom"/>
            <w:gridSpan w:val="30"/>
          </w:tcPr>
          <w:p>
            <w:pPr>
              <w:spacing w:after="0" w:line="154" w:lineRule="exact"/>
              <w:rPr>
                <w:rFonts w:ascii="Arial" w:cs="Arial" w:eastAsia="Arial" w:hAnsi="Arial"/>
                <w:sz w:val="17"/>
                <w:szCs w:val="17"/>
                <w:color w:val="0000FF"/>
              </w:rPr>
            </w:pPr>
            <w:hyperlink r:id="rId105">
              <w:r>
                <w:rPr>
                  <w:rFonts w:ascii="Arial" w:cs="Arial" w:eastAsia="Arial" w:hAnsi="Arial"/>
                  <w:sz w:val="17"/>
                  <w:szCs w:val="17"/>
                  <w:color w:val="0000FF"/>
                </w:rPr>
                <w:t>No. 001-33913) for the quarter ended July 31,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2"/>
        </w:trPr>
        <w:tc>
          <w:tcPr>
            <w:tcW w:w="460" w:type="dxa"/>
            <w:vAlign w:val="bottom"/>
          </w:tcPr>
          <w:p>
            <w:pPr>
              <w:spacing w:after="0"/>
              <w:rPr>
                <w:sz w:val="22"/>
                <w:szCs w:val="22"/>
                <w:color w:val="auto"/>
              </w:rPr>
            </w:pPr>
          </w:p>
        </w:tc>
        <w:tc>
          <w:tcPr>
            <w:tcW w:w="960" w:type="dxa"/>
            <w:vAlign w:val="bottom"/>
            <w:gridSpan w:val="4"/>
          </w:tcPr>
          <w:p>
            <w:pPr>
              <w:jc w:val="center"/>
              <w:ind w:right="560"/>
              <w:spacing w:after="0"/>
              <w:rPr>
                <w:rFonts w:ascii="Arial" w:cs="Arial" w:eastAsia="Arial" w:hAnsi="Arial"/>
                <w:sz w:val="18"/>
                <w:szCs w:val="18"/>
                <w:color w:val="0000FF"/>
                <w:w w:val="88"/>
              </w:rPr>
            </w:pPr>
            <w:hyperlink r:id="rId106">
              <w:r>
                <w:rPr>
                  <w:rFonts w:ascii="Arial" w:cs="Arial" w:eastAsia="Arial" w:hAnsi="Arial"/>
                  <w:sz w:val="18"/>
                  <w:szCs w:val="18"/>
                  <w:color w:val="0000FF"/>
                  <w:w w:val="88"/>
                </w:rPr>
                <w:t>†10.1</w:t>
              </w:r>
            </w:hyperlink>
          </w:p>
        </w:tc>
        <w:tc>
          <w:tcPr>
            <w:tcW w:w="10320" w:type="dxa"/>
            <w:vAlign w:val="bottom"/>
            <w:gridSpan w:val="43"/>
          </w:tcPr>
          <w:p>
            <w:pPr>
              <w:spacing w:after="0"/>
              <w:rPr>
                <w:rFonts w:ascii="Arial" w:cs="Arial" w:eastAsia="Arial" w:hAnsi="Arial"/>
                <w:sz w:val="18"/>
                <w:szCs w:val="18"/>
                <w:color w:val="0000FF"/>
                <w:w w:val="97"/>
              </w:rPr>
            </w:pPr>
            <w:hyperlink r:id="rId106">
              <w:r>
                <w:rPr>
                  <w:rFonts w:ascii="Arial" w:cs="Arial" w:eastAsia="Arial" w:hAnsi="Arial"/>
                  <w:sz w:val="18"/>
                  <w:szCs w:val="18"/>
                  <w:color w:val="0000FF"/>
                  <w:w w:val="97"/>
                </w:rPr>
                <w:t>Quanex Building Products Corporation Amended and Restated 2008 Omnibus Incentive Plan, filed as Exhibit 10.1 to the Registrant's</w:t>
              </w:r>
            </w:hyperlink>
          </w:p>
        </w:tc>
      </w:tr>
      <w:tr>
        <w:trPr>
          <w:trHeight w:val="155"/>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31"/>
          </w:tcPr>
          <w:p>
            <w:pPr>
              <w:spacing w:after="0" w:line="154" w:lineRule="exact"/>
              <w:rPr>
                <w:rFonts w:ascii="Arial" w:cs="Arial" w:eastAsia="Arial" w:hAnsi="Arial"/>
                <w:sz w:val="17"/>
                <w:szCs w:val="17"/>
                <w:color w:val="0000FF"/>
              </w:rPr>
            </w:pPr>
            <w:hyperlink r:id="rId106">
              <w:r>
                <w:rPr>
                  <w:rFonts w:ascii="Arial" w:cs="Arial" w:eastAsia="Arial" w:hAnsi="Arial"/>
                  <w:sz w:val="17"/>
                  <w:szCs w:val="17"/>
                  <w:color w:val="0000FF"/>
                </w:rPr>
                <w:t>Current Report on Form 8-K (Reg. No. 001-33913) as filed with the Securities and Exchange Commission on February 27, 2014, and</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tcBorders>
              <w:bottom w:val="single" w:sz="8" w:color="0000FF"/>
            </w:tcBorders>
            <w:gridSpan w:val="3"/>
          </w:tcPr>
          <w:p>
            <w:pPr>
              <w:spacing w:after="0" w:line="154" w:lineRule="exact"/>
              <w:rPr>
                <w:rFonts w:ascii="Arial" w:cs="Arial" w:eastAsia="Arial" w:hAnsi="Arial"/>
                <w:sz w:val="17"/>
                <w:szCs w:val="17"/>
                <w:color w:val="0000FF"/>
                <w:w w:val="94"/>
              </w:rPr>
            </w:pPr>
            <w:hyperlink r:id="rId106">
              <w:r>
                <w:rPr>
                  <w:rFonts w:ascii="Arial" w:cs="Arial" w:eastAsia="Arial" w:hAnsi="Arial"/>
                  <w:sz w:val="17"/>
                  <w:szCs w:val="17"/>
                  <w:color w:val="0000FF"/>
                  <w:w w:val="94"/>
                </w:rPr>
                <w:t>incorporated herein by reference.</w:t>
              </w:r>
            </w:hyperlink>
          </w:p>
        </w:tc>
        <w:tc>
          <w:tcPr>
            <w:tcW w:w="7840" w:type="dxa"/>
            <w:vAlign w:val="bottom"/>
            <w:gridSpan w:val="3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2"/>
        </w:trPr>
        <w:tc>
          <w:tcPr>
            <w:tcW w:w="460" w:type="dxa"/>
            <w:vAlign w:val="bottom"/>
          </w:tcPr>
          <w:p>
            <w:pPr>
              <w:spacing w:after="0"/>
              <w:rPr>
                <w:sz w:val="22"/>
                <w:szCs w:val="22"/>
                <w:color w:val="auto"/>
              </w:rPr>
            </w:pPr>
          </w:p>
        </w:tc>
        <w:tc>
          <w:tcPr>
            <w:tcW w:w="960" w:type="dxa"/>
            <w:vAlign w:val="bottom"/>
            <w:gridSpan w:val="4"/>
          </w:tcPr>
          <w:p>
            <w:pPr>
              <w:jc w:val="center"/>
              <w:ind w:right="560"/>
              <w:spacing w:after="0"/>
              <w:rPr>
                <w:rFonts w:ascii="Arial" w:cs="Arial" w:eastAsia="Arial" w:hAnsi="Arial"/>
                <w:sz w:val="18"/>
                <w:szCs w:val="18"/>
                <w:color w:val="0000FF"/>
                <w:w w:val="88"/>
              </w:rPr>
            </w:pPr>
            <w:hyperlink r:id="rId107">
              <w:r>
                <w:rPr>
                  <w:rFonts w:ascii="Arial" w:cs="Arial" w:eastAsia="Arial" w:hAnsi="Arial"/>
                  <w:sz w:val="18"/>
                  <w:szCs w:val="18"/>
                  <w:color w:val="0000FF"/>
                  <w:w w:val="88"/>
                </w:rPr>
                <w:t>†10.2</w:t>
              </w:r>
            </w:hyperlink>
          </w:p>
        </w:tc>
        <w:tc>
          <w:tcPr>
            <w:tcW w:w="10320" w:type="dxa"/>
            <w:vAlign w:val="bottom"/>
            <w:gridSpan w:val="43"/>
          </w:tcPr>
          <w:p>
            <w:pPr>
              <w:spacing w:after="0"/>
              <w:rPr>
                <w:rFonts w:ascii="Arial" w:cs="Arial" w:eastAsia="Arial" w:hAnsi="Arial"/>
                <w:sz w:val="18"/>
                <w:szCs w:val="18"/>
                <w:color w:val="0000FF"/>
                <w:w w:val="98"/>
              </w:rPr>
            </w:pPr>
            <w:hyperlink r:id="rId107">
              <w:r>
                <w:rPr>
                  <w:rFonts w:ascii="Arial" w:cs="Arial" w:eastAsia="Arial" w:hAnsi="Arial"/>
                  <w:sz w:val="18"/>
                  <w:szCs w:val="18"/>
                  <w:color w:val="0000FF"/>
                  <w:w w:val="98"/>
                </w:rPr>
                <w:t>Quanex Building Products Corporation Deferred Compensation Plan as amended, filed as Exhibit 10.2 to the Registrant's Quarterly</w:t>
              </w:r>
            </w:hyperlink>
          </w:p>
        </w:tc>
      </w:tr>
      <w:tr>
        <w:trPr>
          <w:trHeight w:val="155"/>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280" w:type="dxa"/>
            <w:vAlign w:val="bottom"/>
            <w:tcBorders>
              <w:top w:val="single" w:sz="8" w:color="0000FF"/>
            </w:tcBorders>
            <w:gridSpan w:val="41"/>
          </w:tcPr>
          <w:p>
            <w:pPr>
              <w:spacing w:after="0" w:line="154" w:lineRule="exact"/>
              <w:rPr>
                <w:rFonts w:ascii="Arial" w:cs="Arial" w:eastAsia="Arial" w:hAnsi="Arial"/>
                <w:sz w:val="17"/>
                <w:szCs w:val="17"/>
                <w:color w:val="0000FF"/>
              </w:rPr>
            </w:pPr>
            <w:hyperlink r:id="rId107">
              <w:r>
                <w:rPr>
                  <w:rFonts w:ascii="Arial" w:cs="Arial" w:eastAsia="Arial" w:hAnsi="Arial"/>
                  <w:sz w:val="17"/>
                  <w:szCs w:val="17"/>
                  <w:color w:val="0000FF"/>
                </w:rPr>
                <w:t>Report on Form 10-Q (Reg. No. 001-33913) for the quarter ended January 31, 2014, as filed with the Securities and Exchange</w:t>
              </w:r>
            </w:hyperlink>
          </w:p>
        </w:tc>
        <w:tc>
          <w:tcPr>
            <w:tcW w:w="40" w:type="dxa"/>
            <w:vAlign w:val="bottom"/>
            <w:gridSpan w:val="2"/>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9"/>
          </w:tcPr>
          <w:p>
            <w:pPr>
              <w:spacing w:after="0" w:line="154"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Commission on March 6, 2014, and incorporated herein by reference.</w:t>
              </w:r>
            </w:hyperlink>
          </w:p>
        </w:tc>
        <w:tc>
          <w:tcPr>
            <w:tcW w:w="5000" w:type="dxa"/>
            <w:vAlign w:val="bottom"/>
            <w:tcBorders>
              <w:top w:val="single" w:sz="8" w:color="0000FF"/>
            </w:tcBorders>
            <w:gridSpan w:val="18"/>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62"/>
        </w:trPr>
        <w:tc>
          <w:tcPr>
            <w:tcW w:w="460" w:type="dxa"/>
            <w:vAlign w:val="bottom"/>
          </w:tcPr>
          <w:p>
            <w:pPr>
              <w:spacing w:after="0"/>
              <w:rPr>
                <w:sz w:val="22"/>
                <w:szCs w:val="22"/>
                <w:color w:val="auto"/>
              </w:rPr>
            </w:pPr>
          </w:p>
        </w:tc>
        <w:tc>
          <w:tcPr>
            <w:tcW w:w="960" w:type="dxa"/>
            <w:vAlign w:val="bottom"/>
            <w:gridSpan w:val="4"/>
          </w:tcPr>
          <w:p>
            <w:pPr>
              <w:jc w:val="center"/>
              <w:ind w:right="560"/>
              <w:spacing w:after="0"/>
              <w:rPr>
                <w:rFonts w:ascii="Arial" w:cs="Arial" w:eastAsia="Arial" w:hAnsi="Arial"/>
                <w:sz w:val="18"/>
                <w:szCs w:val="18"/>
                <w:color w:val="0000FF"/>
                <w:w w:val="88"/>
              </w:rPr>
            </w:pPr>
            <w:hyperlink r:id="rId108">
              <w:r>
                <w:rPr>
                  <w:rFonts w:ascii="Arial" w:cs="Arial" w:eastAsia="Arial" w:hAnsi="Arial"/>
                  <w:sz w:val="18"/>
                  <w:szCs w:val="18"/>
                  <w:color w:val="0000FF"/>
                  <w:w w:val="88"/>
                </w:rPr>
                <w:t>†10.3</w:t>
              </w:r>
            </w:hyperlink>
          </w:p>
        </w:tc>
        <w:tc>
          <w:tcPr>
            <w:tcW w:w="10320" w:type="dxa"/>
            <w:vAlign w:val="bottom"/>
            <w:gridSpan w:val="43"/>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Quanex Building Products Corporation Restoration Plan, filed as Exhibit 10.8 of Amendment No. 4 to the Registrant’s Registration</w:t>
              </w:r>
            </w:hyperlink>
          </w:p>
        </w:tc>
      </w:tr>
      <w:tr>
        <w:trPr>
          <w:trHeight w:val="155"/>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120" w:type="dxa"/>
            <w:vAlign w:val="bottom"/>
            <w:tcBorders>
              <w:top w:val="single" w:sz="8" w:color="0000FF"/>
            </w:tcBorders>
            <w:gridSpan w:val="33"/>
          </w:tcPr>
          <w:p>
            <w:pPr>
              <w:spacing w:after="0" w:line="154" w:lineRule="exact"/>
              <w:rPr>
                <w:rFonts w:ascii="Arial" w:cs="Arial" w:eastAsia="Arial" w:hAnsi="Arial"/>
                <w:sz w:val="17"/>
                <w:szCs w:val="17"/>
                <w:color w:val="0000FF"/>
              </w:rPr>
            </w:pPr>
            <w:hyperlink r:id="rId108">
              <w:r>
                <w:rPr>
                  <w:rFonts w:ascii="Arial" w:cs="Arial" w:eastAsia="Arial" w:hAnsi="Arial"/>
                  <w:sz w:val="17"/>
                  <w:szCs w:val="17"/>
                  <w:color w:val="0000FF"/>
                </w:rPr>
                <w:t>Statement on Form 10 (Reg. No. 001-33913), as filed with the Securities and Exchange Commission on March 17, 2008, and</w:t>
              </w:r>
            </w:hyperlink>
          </w:p>
        </w:tc>
        <w:tc>
          <w:tcPr>
            <w:tcW w:w="200" w:type="dxa"/>
            <w:vAlign w:val="bottom"/>
            <w:gridSpan w:val="10"/>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4"/>
              </w:rPr>
            </w:pPr>
            <w:hyperlink r:id="rId108">
              <w:r>
                <w:rPr>
                  <w:rFonts w:ascii="Arial" w:cs="Arial" w:eastAsia="Arial" w:hAnsi="Arial"/>
                  <w:sz w:val="17"/>
                  <w:szCs w:val="17"/>
                  <w:color w:val="0000FF"/>
                  <w:w w:val="94"/>
                </w:rPr>
                <w:t>incorporated herein by reference.</w:t>
              </w:r>
            </w:hyperlink>
          </w:p>
        </w:tc>
        <w:tc>
          <w:tcPr>
            <w:tcW w:w="7540" w:type="dxa"/>
            <w:vAlign w:val="bottom"/>
            <w:tcBorders>
              <w:top w:val="single" w:sz="8" w:color="0000FF"/>
            </w:tcBorders>
            <w:gridSpan w:val="20"/>
          </w:tcPr>
          <w:p>
            <w:pPr>
              <w:spacing w:after="0"/>
              <w:rPr>
                <w:sz w:val="13"/>
                <w:szCs w:val="13"/>
                <w:color w:val="auto"/>
              </w:rPr>
            </w:pPr>
          </w:p>
        </w:tc>
        <w:tc>
          <w:tcPr>
            <w:tcW w:w="400" w:type="dxa"/>
            <w:vAlign w:val="bottom"/>
            <w:gridSpan w:val="20"/>
          </w:tcPr>
          <w:p>
            <w:pPr>
              <w:spacing w:after="0"/>
              <w:rPr>
                <w:sz w:val="13"/>
                <w:szCs w:val="13"/>
                <w:color w:val="auto"/>
              </w:rPr>
            </w:pPr>
          </w:p>
        </w:tc>
      </w:tr>
      <w:tr>
        <w:trPr>
          <w:trHeight w:val="262"/>
        </w:trPr>
        <w:tc>
          <w:tcPr>
            <w:tcW w:w="460" w:type="dxa"/>
            <w:vAlign w:val="bottom"/>
          </w:tcPr>
          <w:p>
            <w:pPr>
              <w:spacing w:after="0"/>
              <w:rPr>
                <w:sz w:val="22"/>
                <w:szCs w:val="22"/>
                <w:color w:val="auto"/>
              </w:rPr>
            </w:pPr>
          </w:p>
        </w:tc>
        <w:tc>
          <w:tcPr>
            <w:tcW w:w="960" w:type="dxa"/>
            <w:vAlign w:val="bottom"/>
            <w:gridSpan w:val="4"/>
          </w:tcPr>
          <w:p>
            <w:pPr>
              <w:jc w:val="center"/>
              <w:ind w:right="560"/>
              <w:spacing w:after="0"/>
              <w:rPr>
                <w:rFonts w:ascii="Arial" w:cs="Arial" w:eastAsia="Arial" w:hAnsi="Arial"/>
                <w:sz w:val="18"/>
                <w:szCs w:val="18"/>
                <w:color w:val="0000FF"/>
                <w:w w:val="88"/>
              </w:rPr>
            </w:pPr>
            <w:hyperlink r:id="rId109">
              <w:r>
                <w:rPr>
                  <w:rFonts w:ascii="Arial" w:cs="Arial" w:eastAsia="Arial" w:hAnsi="Arial"/>
                  <w:sz w:val="18"/>
                  <w:szCs w:val="18"/>
                  <w:color w:val="0000FF"/>
                  <w:w w:val="88"/>
                </w:rPr>
                <w:t>†10.4</w:t>
              </w:r>
            </w:hyperlink>
          </w:p>
        </w:tc>
        <w:tc>
          <w:tcPr>
            <w:tcW w:w="10320" w:type="dxa"/>
            <w:vAlign w:val="bottom"/>
            <w:gridSpan w:val="43"/>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Quanex Building Products Corporation Supplemental Employees Retirement Plan, filed as Exhibit 10.9 of Amendment No. 4 to the</w:t>
              </w:r>
            </w:hyperlink>
          </w:p>
        </w:tc>
      </w:tr>
      <w:tr>
        <w:trPr>
          <w:trHeight w:val="155"/>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4" w:lineRule="exact"/>
              <w:rPr>
                <w:rFonts w:ascii="Arial" w:cs="Arial" w:eastAsia="Arial" w:hAnsi="Arial"/>
                <w:sz w:val="17"/>
                <w:szCs w:val="17"/>
                <w:color w:val="0000FF"/>
                <w:w w:val="95"/>
              </w:rPr>
            </w:pPr>
            <w:hyperlink r:id="rId109">
              <w:r>
                <w:rPr>
                  <w:rFonts w:ascii="Arial" w:cs="Arial" w:eastAsia="Arial" w:hAnsi="Arial"/>
                  <w:sz w:val="17"/>
                  <w:szCs w:val="17"/>
                  <w:color w:val="0000FF"/>
                  <w:w w:val="95"/>
                </w:rPr>
                <w:t>Registrant’s Registration Statement on Form 10 (Reg. No. 001-33913), as filed with the Securities and Exchange Commission on March</w:t>
              </w:r>
            </w:hyperlink>
          </w:p>
        </w:tc>
        <w:tc>
          <w:tcPr>
            <w:tcW w:w="500" w:type="dxa"/>
            <w:vAlign w:val="bottom"/>
            <w:gridSpan w:val="25"/>
          </w:tcPr>
          <w:p>
            <w:pPr>
              <w:spacing w:after="0"/>
              <w:rPr>
                <w:sz w:val="13"/>
                <w:szCs w:val="13"/>
                <w:color w:val="auto"/>
              </w:rPr>
            </w:pPr>
          </w:p>
        </w:tc>
      </w:tr>
      <w:tr>
        <w:trPr>
          <w:trHeight w:val="155"/>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6"/>
          </w:tcPr>
          <w:p>
            <w:pPr>
              <w:spacing w:after="0" w:line="154" w:lineRule="exact"/>
              <w:rPr>
                <w:rFonts w:ascii="Arial" w:cs="Arial" w:eastAsia="Arial" w:hAnsi="Arial"/>
                <w:sz w:val="17"/>
                <w:szCs w:val="17"/>
                <w:color w:val="0000FF"/>
                <w:w w:val="94"/>
              </w:rPr>
            </w:pPr>
            <w:hyperlink r:id="rId109">
              <w:r>
                <w:rPr>
                  <w:rFonts w:ascii="Arial" w:cs="Arial" w:eastAsia="Arial" w:hAnsi="Arial"/>
                  <w:sz w:val="17"/>
                  <w:szCs w:val="17"/>
                  <w:color w:val="0000FF"/>
                  <w:w w:val="94"/>
                </w:rPr>
                <w:t>17, 2008, and incorporated herein by reference.</w:t>
              </w:r>
            </w:hyperlink>
          </w:p>
        </w:tc>
        <w:tc>
          <w:tcPr>
            <w:tcW w:w="6380" w:type="dxa"/>
            <w:vAlign w:val="bottom"/>
            <w:tcBorders>
              <w:top w:val="single" w:sz="8" w:color="0000FF"/>
            </w:tcBorders>
            <w:gridSpan w:val="10"/>
          </w:tcPr>
          <w:p>
            <w:pPr>
              <w:spacing w:after="0"/>
              <w:rPr>
                <w:sz w:val="13"/>
                <w:szCs w:val="13"/>
                <w:color w:val="auto"/>
              </w:rPr>
            </w:pPr>
          </w:p>
        </w:tc>
        <w:tc>
          <w:tcPr>
            <w:tcW w:w="540" w:type="dxa"/>
            <w:vAlign w:val="bottom"/>
            <w:gridSpan w:val="27"/>
          </w:tcPr>
          <w:p>
            <w:pPr>
              <w:spacing w:after="0"/>
              <w:rPr>
                <w:sz w:val="13"/>
                <w:szCs w:val="13"/>
                <w:color w:val="auto"/>
              </w:rPr>
            </w:pPr>
          </w:p>
        </w:tc>
      </w:tr>
      <w:tr>
        <w:trPr>
          <w:trHeight w:val="975"/>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gridSpan w:val="8"/>
          </w:tcPr>
          <w:p>
            <w:pPr>
              <w:ind w:left="41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200" w:lineRule="exact"/>
        <w:rPr>
          <w:sz w:val="20"/>
          <w:szCs w:val="20"/>
          <w:color w:val="auto"/>
        </w:rPr>
      </w:pPr>
    </w:p>
    <w:p>
      <w:pPr>
        <w:spacing w:after="0" w:line="274" w:lineRule="exact"/>
        <w:rPr>
          <w:sz w:val="20"/>
          <w:szCs w:val="20"/>
          <w:color w:val="auto"/>
        </w:rPr>
      </w:pPr>
    </w:p>
    <w:p>
      <w:pPr>
        <w:jc w:val="both"/>
        <w:ind w:left="1420" w:hanging="95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†10.5</w:t>
      </w:r>
      <w:r>
        <w:rPr>
          <w:sz w:val="20"/>
          <w:szCs w:val="20"/>
          <w:color w:val="auto"/>
        </w:rPr>
        <w:tab/>
      </w:r>
      <w:hyperlink r:id="rId112">
        <w:r>
          <w:rPr>
            <w:rFonts w:ascii="Arial" w:cs="Arial" w:eastAsia="Arial" w:hAnsi="Arial"/>
            <w:sz w:val="18"/>
            <w:szCs w:val="18"/>
            <w:u w:val="single" w:color="auto"/>
            <w:color w:val="0000FF"/>
          </w:rPr>
          <w:t>Form of Executive Severance Policy applicable to the Registrant and certain of its executive officers, filed as Exhibit 10.1 of the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Registrant's current report on Form 8-K (Reg. No. 001-33913), as filed with the Securities and Exchange Commission on March 2, 2020</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95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†10.6</w:t>
      </w:r>
      <w:r>
        <w:rPr>
          <w:sz w:val="20"/>
          <w:szCs w:val="20"/>
          <w:color w:val="auto"/>
        </w:rPr>
        <w:tab/>
      </w:r>
      <w:hyperlink r:id="rId113">
        <w:r>
          <w:rPr>
            <w:rFonts w:ascii="Arial" w:cs="Arial" w:eastAsia="Arial" w:hAnsi="Arial"/>
            <w:sz w:val="18"/>
            <w:szCs w:val="18"/>
            <w:u w:val="single" w:color="auto"/>
            <w:color w:val="0000FF"/>
          </w:rPr>
          <w:t>Form of Indemnity Agreement between the Registrant and each of its independent directors, filed as Exhibit 10.1 of the Registrant’s</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Current Report on Form 8-K (Reg. No. 001-33913), as filed with the Securities and Exchange Commission on August 29, 2008, and</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95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†10.7</w:t>
      </w:r>
      <w:r>
        <w:rPr>
          <w:sz w:val="20"/>
          <w:szCs w:val="20"/>
          <w:color w:val="auto"/>
        </w:rPr>
        <w:tab/>
      </w:r>
      <w:hyperlink r:id="rId114">
        <w:r>
          <w:rPr>
            <w:rFonts w:ascii="Arial" w:cs="Arial" w:eastAsia="Arial" w:hAnsi="Arial"/>
            <w:sz w:val="18"/>
            <w:szCs w:val="18"/>
            <w:u w:val="single" w:color="auto"/>
            <w:color w:val="0000FF"/>
          </w:rPr>
          <w:t>Form of Indemnity Agreement between the Registrant and each of its officers, filed as Exhibit 10.2 of the Registrant’s Current Report</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on Form 8-K (Reg. No. 001-33913), as filed with the Securities and Exchange Commission on August 29, 2008, and incorporated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herein by reference.</w:t>
        </w:r>
      </w:hyperlink>
    </w:p>
    <w:p>
      <w:pPr>
        <w:spacing w:after="0" w:line="55" w:lineRule="exact"/>
        <w:rPr>
          <w:rFonts w:ascii="Arial" w:cs="Arial" w:eastAsia="Arial" w:hAnsi="Arial"/>
          <w:sz w:val="18"/>
          <w:szCs w:val="18"/>
          <w:u w:val="single" w:color="auto"/>
          <w:color w:val="0000FF"/>
        </w:rPr>
      </w:pPr>
    </w:p>
    <w:p>
      <w:pPr>
        <w:jc w:val="both"/>
        <w:ind w:left="1420" w:hanging="95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†10.8</w:t>
      </w:r>
      <w:r>
        <w:rPr>
          <w:sz w:val="20"/>
          <w:szCs w:val="20"/>
          <w:color w:val="auto"/>
        </w:rPr>
        <w:tab/>
      </w:r>
      <w:hyperlink r:id="rId115">
        <w:r>
          <w:rPr>
            <w:rFonts w:ascii="Arial" w:cs="Arial" w:eastAsia="Arial" w:hAnsi="Arial"/>
            <w:sz w:val="18"/>
            <w:szCs w:val="18"/>
            <w:u w:val="single" w:color="auto"/>
            <w:color w:val="0000FF"/>
          </w:rPr>
          <w:t>Agreement between Quanex Building Products Corporation and William C. Griffiths, effective July 9, 2013, filed as Exhibit 10.1 of the</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Registrant's Current Report on Form 8-K (Reg. No. 001-33913), as filed with the Securities and Exchange Commission on July 9, 2013,</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95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†10.9</w:t>
      </w:r>
      <w:r>
        <w:rPr>
          <w:sz w:val="20"/>
          <w:szCs w:val="20"/>
          <w:color w:val="auto"/>
        </w:rPr>
        <w:tab/>
      </w:r>
      <w:hyperlink r:id="rId116">
        <w:r>
          <w:rPr>
            <w:rFonts w:ascii="Arial" w:cs="Arial" w:eastAsia="Arial" w:hAnsi="Arial"/>
            <w:sz w:val="18"/>
            <w:szCs w:val="18"/>
            <w:u w:val="single" w:color="auto"/>
            <w:color w:val="0000FF"/>
          </w:rPr>
          <w:t>Change in Control Agreement between Quanex Building Products Corporation and William C. Griffiths, effective July 9, 2013, filed as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Exhibit 10.2 of the Registrant's Current Report on Form 8-K (Reg. No. 001-33913), as filed with the Securities and Exchange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Commission on July 9, 2013,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†10.10</w:t>
      </w:r>
      <w:r>
        <w:rPr>
          <w:sz w:val="20"/>
          <w:szCs w:val="20"/>
          <w:color w:val="auto"/>
        </w:rPr>
        <w:tab/>
      </w:r>
      <w:hyperlink r:id="rId117">
        <w:r>
          <w:rPr>
            <w:rFonts w:ascii="Arial" w:cs="Arial" w:eastAsia="Arial" w:hAnsi="Arial"/>
            <w:sz w:val="18"/>
            <w:szCs w:val="18"/>
            <w:u w:val="single" w:color="auto"/>
            <w:color w:val="0000FF"/>
          </w:rPr>
          <w:t>Form of Stock Option Agreement for Employees under the Quanex Building Products Corporation 2008 Omnibus Incentive Plan, as</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amended, filed as Exhibit 10.1 to the Registrant’s Current Report on Form 8-K (Reg. No. 001-33913), as filed with the Securities and</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†10.11</w:t>
      </w:r>
      <w:r>
        <w:rPr>
          <w:sz w:val="20"/>
          <w:szCs w:val="20"/>
          <w:color w:val="auto"/>
        </w:rPr>
        <w:tab/>
      </w:r>
      <w:hyperlink r:id="rId118">
        <w:r>
          <w:rPr>
            <w:rFonts w:ascii="Arial" w:cs="Arial" w:eastAsia="Arial" w:hAnsi="Arial"/>
            <w:sz w:val="18"/>
            <w:szCs w:val="18"/>
            <w:u w:val="single" w:color="auto"/>
            <w:color w:val="0000FF"/>
          </w:rPr>
          <w:t>Form of Stock Option Agreement for Section 16 Officers under the Quanex Building Products Corporation 2008 Omnibus Incentive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Plan, as amended, filed as Exhibit 10.2 to the Registrant’s Current Report on Form 8-K (Reg. No. 001-33913), as filed with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Securities and 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†10.12</w:t>
      </w:r>
      <w:r>
        <w:rPr>
          <w:sz w:val="20"/>
          <w:szCs w:val="20"/>
          <w:color w:val="auto"/>
        </w:rPr>
        <w:tab/>
      </w:r>
      <w:hyperlink r:id="rId119">
        <w:r>
          <w:rPr>
            <w:rFonts w:ascii="Arial" w:cs="Arial" w:eastAsia="Arial" w:hAnsi="Arial"/>
            <w:sz w:val="18"/>
            <w:szCs w:val="18"/>
            <w:u w:val="single" w:color="auto"/>
            <w:color w:val="0000FF"/>
          </w:rPr>
          <w:t>Form of Stock Option Agreement for Key Leaders under the Quanex Building Products Corporation 2008 Omnibus Incentive Plan, as</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amended, filed as Exhibit 10.3 to the Registrant’s Current Report on Form 8-K ( Reg. No. 001-33913), as filed with the Securities and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†10.13</w:t>
      </w:r>
      <w:r>
        <w:rPr>
          <w:sz w:val="20"/>
          <w:szCs w:val="20"/>
          <w:color w:val="auto"/>
        </w:rPr>
        <w:tab/>
      </w:r>
      <w:hyperlink r:id="rId120">
        <w:r>
          <w:rPr>
            <w:rFonts w:ascii="Arial" w:cs="Arial" w:eastAsia="Arial" w:hAnsi="Arial"/>
            <w:sz w:val="18"/>
            <w:szCs w:val="18"/>
            <w:u w:val="single" w:color="auto"/>
            <w:color w:val="0000FF"/>
          </w:rPr>
          <w:t>Form of Stock Option Agreement for Non-Employee Directors under the Quanex Building Products Corporation 2008 Omnibus</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Incentive Plan, as amended, filed as Exhibit 10.4 to the Registrant’s Current Report on Form 8-K (Reg. No. 001-33913), as filed with</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the Securities and 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†10.14</w:t>
      </w:r>
      <w:r>
        <w:rPr>
          <w:sz w:val="20"/>
          <w:szCs w:val="20"/>
          <w:color w:val="auto"/>
        </w:rPr>
        <w:tab/>
      </w:r>
      <w:hyperlink r:id="rId121">
        <w:r>
          <w:rPr>
            <w:rFonts w:ascii="Arial" w:cs="Arial" w:eastAsia="Arial" w:hAnsi="Arial"/>
            <w:sz w:val="18"/>
            <w:szCs w:val="18"/>
            <w:u w:val="single" w:color="auto"/>
            <w:color w:val="0000FF"/>
          </w:rPr>
          <w:t>Form of Restricted Stock Award Agreement for Section 16 Officers under the Quanex Building Products Corporation 2008 Omnibus</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Incentive Plan, as amended, filed as Exhibit 10.6 to the Registrant’s Current Report on Form 8-K (Reg. No. 001-33913), as filed with</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the Securities and 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†10.15</w:t>
      </w:r>
      <w:r>
        <w:rPr>
          <w:sz w:val="20"/>
          <w:szCs w:val="20"/>
          <w:color w:val="auto"/>
        </w:rPr>
        <w:tab/>
      </w:r>
      <w:hyperlink r:id="rId122">
        <w:r>
          <w:rPr>
            <w:rFonts w:ascii="Arial" w:cs="Arial" w:eastAsia="Arial" w:hAnsi="Arial"/>
            <w:sz w:val="18"/>
            <w:szCs w:val="18"/>
            <w:u w:val="single" w:color="auto"/>
            <w:color w:val="0000FF"/>
          </w:rPr>
          <w:t>Form of Restricted Stock Award Agreement for Key Leaders under the Quanex Building Products Corporation 2008 Omnibus Incentive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Plan, as amended, filed as Exhibit 10.7 to the Registrant’s Current Report on Form 8-K (Reg. No. 001-33913), as filed with the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Securities and 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36" w:lineRule="auto"/>
        <w:tabs>
          <w:tab w:leader="none" w:pos="140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†10.16</w:t>
      </w:r>
      <w:r>
        <w:rPr>
          <w:sz w:val="20"/>
          <w:szCs w:val="20"/>
          <w:color w:val="auto"/>
        </w:rPr>
        <w:tab/>
      </w:r>
      <w:hyperlink r:id="rId123">
        <w:r>
          <w:rPr>
            <w:rFonts w:ascii="Arial" w:cs="Arial" w:eastAsia="Arial" w:hAnsi="Arial"/>
            <w:sz w:val="17"/>
            <w:szCs w:val="17"/>
            <w:u w:val="single" w:color="auto"/>
            <w:color w:val="0000FF"/>
          </w:rPr>
          <w:t>Form of Restricted Stock Unit Award Agreement for Section 16 Officers under the Quanex Building Products Corporation 2008</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Omnibus Incentive Plan, as amended, filed as Exhibit 10.10 to the Registrant’s Current Report on Form 8-K (Reg. No. 001-33913), as</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filed with the Securities and Exchange Commission on April 29, 2014, and incorporated herein by reference.</w:t>
        </w:r>
      </w:hyperlink>
    </w:p>
    <w:p>
      <w:pPr>
        <w:spacing w:after="0" w:line="55" w:lineRule="exact"/>
        <w:rPr>
          <w:rFonts w:ascii="Arial" w:cs="Arial" w:eastAsia="Arial" w:hAnsi="Arial"/>
          <w:sz w:val="17"/>
          <w:szCs w:val="17"/>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†10.17</w:t>
      </w:r>
      <w:r>
        <w:rPr>
          <w:sz w:val="20"/>
          <w:szCs w:val="20"/>
          <w:color w:val="auto"/>
        </w:rPr>
        <w:tab/>
      </w:r>
      <w:hyperlink r:id="rId124">
        <w:r>
          <w:rPr>
            <w:rFonts w:ascii="Arial" w:cs="Arial" w:eastAsia="Arial" w:hAnsi="Arial"/>
            <w:sz w:val="18"/>
            <w:szCs w:val="18"/>
            <w:u w:val="single" w:color="auto"/>
            <w:color w:val="0000FF"/>
          </w:rPr>
          <w:t>Form of Restricted Stock Unit Award Agreement for Key Leaders under the Quanex Building Products Corporation 2008 Omnibus</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Incentive Plan, as amended, filed as Exhibit 10.11 to the Registrant’s Current Report on Form 8-K (Reg. No. 001-33913), as filed with</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the Securities and Exchange Commission on April 29, 2014,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36" w:lineRule="auto"/>
        <w:tabs>
          <w:tab w:leader="none" w:pos="140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†10.18</w:t>
      </w:r>
      <w:r>
        <w:rPr>
          <w:sz w:val="20"/>
          <w:szCs w:val="20"/>
          <w:color w:val="auto"/>
        </w:rPr>
        <w:tab/>
      </w:r>
      <w:hyperlink r:id="rId125">
        <w:r>
          <w:rPr>
            <w:rFonts w:ascii="Arial" w:cs="Arial" w:eastAsia="Arial" w:hAnsi="Arial"/>
            <w:sz w:val="17"/>
            <w:szCs w:val="17"/>
            <w:u w:val="single" w:color="auto"/>
            <w:color w:val="0000FF"/>
          </w:rPr>
          <w:t>Form of Restricted Stock Unit Award Agreement for Non-Employee Directors under the Quanex Building Products Corporation 2008</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Omnibus Incentive Plan, as amended, filed as Exhibit 10.12 to the Registrant’s Current Report on Form 8-K (Reg. No. 001-33913), as</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filed with the Securities and Exchange Commission on April 29, 2014, and incorporated herein by reference.</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27"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200" w:lineRule="exact"/>
        <w:rPr>
          <w:sz w:val="20"/>
          <w:szCs w:val="20"/>
          <w:color w:val="auto"/>
        </w:rPr>
      </w:pPr>
    </w:p>
    <w:p>
      <w:pPr>
        <w:spacing w:after="0" w:line="274" w:lineRule="exact"/>
        <w:rPr>
          <w:sz w:val="20"/>
          <w:szCs w:val="20"/>
          <w:color w:val="auto"/>
        </w:rPr>
      </w:pPr>
    </w:p>
    <w:p>
      <w:pPr>
        <w:jc w:val="both"/>
        <w:ind w:left="1420" w:hanging="1019"/>
        <w:spacing w:after="0" w:line="236" w:lineRule="auto"/>
        <w:tabs>
          <w:tab w:leader="none" w:pos="140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†10.19</w:t>
      </w:r>
      <w:r>
        <w:rPr>
          <w:sz w:val="20"/>
          <w:szCs w:val="20"/>
          <w:color w:val="auto"/>
        </w:rPr>
        <w:tab/>
      </w:r>
      <w:hyperlink r:id="rId127">
        <w:r>
          <w:rPr>
            <w:rFonts w:ascii="Arial" w:cs="Arial" w:eastAsia="Arial" w:hAnsi="Arial"/>
            <w:sz w:val="17"/>
            <w:szCs w:val="17"/>
            <w:u w:val="single" w:color="auto"/>
            <w:color w:val="0000FF"/>
          </w:rPr>
          <w:t>Amended Form of Performance Share Award Agreement for Section 16 Officers under the Quanex Building Products Corporation 2008</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Omnibus Incentive Plan, as amended, filed as Exhibit 10.2 to the Registrant’s Current Report on Form 8-K (Reg. No. 001-33913), as</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filed with the Securities and Exchange Commission on December 7, 2015, and incorporated herein by reference.</w:t>
        </w:r>
      </w:hyperlink>
    </w:p>
    <w:p>
      <w:pPr>
        <w:spacing w:after="0" w:line="55" w:lineRule="exact"/>
        <w:rPr>
          <w:rFonts w:ascii="Arial" w:cs="Arial" w:eastAsia="Arial" w:hAnsi="Arial"/>
          <w:sz w:val="17"/>
          <w:szCs w:val="17"/>
          <w:u w:val="single" w:color="auto"/>
          <w:color w:val="0000FF"/>
        </w:rPr>
      </w:pPr>
    </w:p>
    <w:p>
      <w:pPr>
        <w:jc w:val="both"/>
        <w:ind w:left="1420" w:hanging="1019"/>
        <w:spacing w:after="0" w:line="236" w:lineRule="auto"/>
        <w:tabs>
          <w:tab w:leader="none" w:pos="140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†10.20</w:t>
      </w:r>
      <w:r>
        <w:rPr>
          <w:sz w:val="20"/>
          <w:szCs w:val="20"/>
          <w:color w:val="auto"/>
        </w:rPr>
        <w:tab/>
      </w:r>
      <w:hyperlink r:id="rId128">
        <w:r>
          <w:rPr>
            <w:rFonts w:ascii="Arial" w:cs="Arial" w:eastAsia="Arial" w:hAnsi="Arial"/>
            <w:sz w:val="17"/>
            <w:szCs w:val="17"/>
            <w:u w:val="single" w:color="auto"/>
            <w:color w:val="0000FF"/>
          </w:rPr>
          <w:t>Amended Form of Performance Share Award Agreement for Key Leaders under the Quanex Building Products Corporation 2008</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Omnibus Incentive Plan, as amended, filed as Exhibit 10.3 to the Registrant’s Current Report on Form 8-K (Reg. No. 001-33913), as</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filed with the Securities and Exchange Commission on December 7, 2015, and incorporated herein by reference.</w:t>
        </w:r>
      </w:hyperlink>
    </w:p>
    <w:p>
      <w:pPr>
        <w:spacing w:after="0" w:line="55" w:lineRule="exact"/>
        <w:rPr>
          <w:rFonts w:ascii="Arial" w:cs="Arial" w:eastAsia="Arial" w:hAnsi="Arial"/>
          <w:sz w:val="17"/>
          <w:szCs w:val="17"/>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†10.21</w:t>
      </w:r>
      <w:r>
        <w:rPr>
          <w:sz w:val="20"/>
          <w:szCs w:val="20"/>
          <w:color w:val="auto"/>
        </w:rPr>
        <w:tab/>
      </w:r>
      <w:hyperlink r:id="rId129">
        <w:r>
          <w:rPr>
            <w:rFonts w:ascii="Arial" w:cs="Arial" w:eastAsia="Arial" w:hAnsi="Arial"/>
            <w:sz w:val="18"/>
            <w:szCs w:val="18"/>
            <w:u w:val="single" w:color="auto"/>
            <w:color w:val="0000FF"/>
          </w:rPr>
          <w:t>Amended Form of Annual Incentive Award Agreement under the Quanex Building Products Corporation 2008 Omnibus Incentive Plan,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as amended, filed as Exhibit 10.7 to the Registrant’s Current Report on Form 8-K (Reg. No. 001-33913), as filed with the Securities and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Exchange Commission on December 7, 2015,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†10.22</w:t>
      </w:r>
      <w:r>
        <w:rPr>
          <w:sz w:val="20"/>
          <w:szCs w:val="20"/>
          <w:color w:val="auto"/>
        </w:rPr>
        <w:tab/>
      </w:r>
      <w:hyperlink r:id="rId130">
        <w:r>
          <w:rPr>
            <w:rFonts w:ascii="Arial" w:cs="Arial" w:eastAsia="Arial" w:hAnsi="Arial"/>
            <w:sz w:val="18"/>
            <w:szCs w:val="18"/>
            <w:u w:val="single" w:color="auto"/>
            <w:color w:val="0000FF"/>
          </w:rPr>
          <w:t>Agreement between Quanex Building Products Corporation and Scott Zuehlke, effective November 1, 2019, filed as Exhibit 10.1 to the</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Registrant’s Current Report on Form 8-K (Reg. No. 001-33913), as filed with the Securities and Exchange Commission on November 1,</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2019,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971"/>
        <w:spacing w:after="0" w:line="223" w:lineRule="auto"/>
        <w:tabs>
          <w:tab w:leader="none" w:pos="1400" w:val="left"/>
        </w:tabs>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31">
        <w:r>
          <w:rPr>
            <w:rFonts w:ascii="Arial" w:cs="Arial" w:eastAsia="Arial" w:hAnsi="Arial"/>
            <w:sz w:val="18"/>
            <w:szCs w:val="18"/>
            <w:u w:val="single" w:color="auto"/>
            <w:color w:val="0000FF"/>
          </w:rPr>
          <w:t>Lease dated February 9, 2016, between Garner Properties Ltd. and HL Plastics Limited, filed as Exhibit 10.44 to the Registrant's Annual</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Report on Form 10-K (Reg. No. 001-33913) for the year ended October 31, 2016, as filed with the Securities and Exchange</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Commission on December 16, 2016,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971"/>
        <w:spacing w:after="0" w:line="223" w:lineRule="auto"/>
        <w:tabs>
          <w:tab w:leader="none" w:pos="1400" w:val="left"/>
        </w:tabs>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132">
        <w:r>
          <w:rPr>
            <w:rFonts w:ascii="Arial" w:cs="Arial" w:eastAsia="Arial" w:hAnsi="Arial"/>
            <w:sz w:val="18"/>
            <w:szCs w:val="18"/>
            <w:u w:val="single" w:color="auto"/>
            <w:color w:val="0000FF"/>
          </w:rPr>
          <w:t>Amended and Completely Restated Lease Agreement dated August 25, 2016, between Lauren Real Estate Holding LLC and Quanex IG</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Systems, Inc., filed as Exhibit 10.1 to the Registrant’s Current Report on Form 8-K (Reg. No. 001-33913), as filed with the Securities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and Exchange Commission on August 26, 2016,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†10.25</w:t>
      </w:r>
      <w:r>
        <w:rPr>
          <w:sz w:val="20"/>
          <w:szCs w:val="20"/>
          <w:color w:val="auto"/>
        </w:rPr>
        <w:tab/>
      </w:r>
      <w:hyperlink r:id="rId133">
        <w:r>
          <w:rPr>
            <w:rFonts w:ascii="Arial" w:cs="Arial" w:eastAsia="Arial" w:hAnsi="Arial"/>
            <w:sz w:val="18"/>
            <w:szCs w:val="18"/>
            <w:u w:val="single" w:color="auto"/>
            <w:color w:val="0000FF"/>
          </w:rPr>
          <w:t>Amended and Restated Employee Stock Purchase Plan, as amended and restated effective April 1, 2017, filed as Annex A to the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Registrant’s Definitive Proxy Statement on Schedule 14A for its 2017 Annual Meeting of Stockholders (Reg. No 001-33919), as filed</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with the Securities and Exchange Commission on January 31, 2017, and incorporated herein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†10.26</w:t>
      </w:r>
      <w:r>
        <w:rPr>
          <w:sz w:val="20"/>
          <w:szCs w:val="20"/>
          <w:color w:val="auto"/>
        </w:rPr>
        <w:tab/>
      </w:r>
      <w:hyperlink r:id="rId134">
        <w:r>
          <w:rPr>
            <w:rFonts w:ascii="Arial" w:cs="Arial" w:eastAsia="Arial" w:hAnsi="Arial"/>
            <w:sz w:val="18"/>
            <w:szCs w:val="18"/>
            <w:u w:val="single" w:color="auto"/>
            <w:color w:val="0000FF"/>
          </w:rPr>
          <w:t>Agreement between Quanex Building Products Corporation and George Wilson, effective August 1, 2017, filed as Exhibit 10.1 of the</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Registrant’s Current Report on Form 8-K (Reg. No. 001-33919) as filed with the Securities and Exchange Commission on July 27,</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2017, and herein incorporated by reference.</w:t>
        </w:r>
      </w:hyperlink>
    </w:p>
    <w:p>
      <w:pPr>
        <w:spacing w:after="0" w:line="55"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†10.27</w:t>
      </w:r>
      <w:r>
        <w:rPr>
          <w:sz w:val="20"/>
          <w:szCs w:val="20"/>
          <w:color w:val="auto"/>
        </w:rPr>
        <w:tab/>
      </w:r>
      <w:hyperlink r:id="rId135">
        <w:r>
          <w:rPr>
            <w:rFonts w:ascii="Arial" w:cs="Arial" w:eastAsia="Arial" w:hAnsi="Arial"/>
            <w:sz w:val="18"/>
            <w:szCs w:val="18"/>
            <w:u w:val="single" w:color="auto"/>
            <w:color w:val="0000FF"/>
          </w:rPr>
          <w:t>Form of Key Leader Stock Settled Performance Restricted Stock Units Award Agreement filed as Exhibit 10.50 to the Registrant's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Annual Report on Form 10-K (Reg. No. 001-33913) for the year ended October 31, 2017, as filed with the Securities and Exchange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Commission on December 12, 2017, and incorporated herein by reference.</w:t>
        </w:r>
      </w:hyperlink>
    </w:p>
    <w:p>
      <w:pPr>
        <w:spacing w:after="0" w:line="108"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†10.28</w:t>
      </w:r>
      <w:r>
        <w:rPr>
          <w:sz w:val="20"/>
          <w:szCs w:val="20"/>
          <w:color w:val="auto"/>
        </w:rPr>
        <w:tab/>
      </w:r>
      <w:hyperlink r:id="rId136">
        <w:r>
          <w:rPr>
            <w:rFonts w:ascii="Arial" w:cs="Arial" w:eastAsia="Arial" w:hAnsi="Arial"/>
            <w:sz w:val="18"/>
            <w:szCs w:val="18"/>
            <w:u w:val="single" w:color="auto"/>
            <w:color w:val="0000FF"/>
          </w:rPr>
          <w:t>Form of Section 16 Officer Stock Settled Performance Restricted Stock Units Award Agreement filed as Exhibit 10.51 to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Registrant's Annual Report on Form 10-K (Reg. No. 001-33913) for the year ended October 31, 2017, as filed with the Securities and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Exchange Commission on December 12, 2017, and incorporated herein by reference.</w:t>
        </w:r>
      </w:hyperlink>
    </w:p>
    <w:p>
      <w:pPr>
        <w:spacing w:after="0" w:line="108" w:lineRule="exact"/>
        <w:rPr>
          <w:rFonts w:ascii="Arial" w:cs="Arial" w:eastAsia="Arial" w:hAnsi="Arial"/>
          <w:sz w:val="18"/>
          <w:szCs w:val="18"/>
          <w:u w:val="single" w:color="auto"/>
          <w:color w:val="0000FF"/>
        </w:rPr>
      </w:pPr>
    </w:p>
    <w:p>
      <w:pPr>
        <w:jc w:val="both"/>
        <w:ind w:left="1420" w:hanging="971"/>
        <w:spacing w:after="0" w:line="218" w:lineRule="auto"/>
        <w:tabs>
          <w:tab w:leader="none" w:pos="1400" w:val="left"/>
        </w:tabs>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37">
        <w:r>
          <w:rPr>
            <w:rFonts w:ascii="Arial" w:cs="Arial" w:eastAsia="Arial" w:hAnsi="Arial"/>
            <w:sz w:val="18"/>
            <w:szCs w:val="18"/>
            <w:u w:val="single" w:color="auto"/>
            <w:color w:val="0000FF"/>
          </w:rPr>
          <w:t>Share Repurchase Agreement by and among Praesidium Investment Management Company LLC, Quanex Building Products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Corporation, Kevin Oram and Peter Uddo, effective October 9, 2018, filed as Exhibit 10.1 of the Registrant’s Current Report on Form 8-</w:t>
        </w:r>
      </w:hyperlink>
      <w:hyperlink r:id="rId137">
        <w:r>
          <w:rPr>
            <w:rFonts w:ascii="Arial" w:cs="Arial" w:eastAsia="Arial" w:hAnsi="Arial"/>
            <w:sz w:val="18"/>
            <w:szCs w:val="18"/>
            <w:u w:val="single" w:color="auto"/>
            <w:color w:val="0000FF"/>
          </w:rPr>
          <w:t>K (Reg. No. 001-33913) as filed with the Securities and Exchange Commission on October 12, 2018, and incorporated herein by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reference.</w:t>
        </w:r>
      </w:hyperlink>
    </w:p>
    <w:p>
      <w:pPr>
        <w:spacing w:after="0" w:line="108"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†10.30</w:t>
      </w:r>
      <w:r>
        <w:rPr>
          <w:sz w:val="20"/>
          <w:szCs w:val="20"/>
          <w:color w:val="auto"/>
        </w:rPr>
        <w:tab/>
      </w:r>
      <w:hyperlink r:id="rId138">
        <w:r>
          <w:rPr>
            <w:rFonts w:ascii="Arial" w:cs="Arial" w:eastAsia="Arial" w:hAnsi="Arial"/>
            <w:sz w:val="18"/>
            <w:szCs w:val="18"/>
            <w:u w:val="single" w:color="auto"/>
            <w:color w:val="0000FF"/>
          </w:rPr>
          <w:t>Agreement between Quanex Building Products Corporation and Mark Livingston, effective November 1, 2019, filed as Exhibit 10.2 to</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the Registrant’s Current Report on Form 8-K (Reg. No. 001-33913), as filed with the Securities and Exchange Commission on</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November 1, 2019, and incorporated herein by reference.</w:t>
        </w:r>
      </w:hyperlink>
    </w:p>
    <w:p>
      <w:pPr>
        <w:spacing w:after="0" w:line="108"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†10.31</w:t>
      </w:r>
      <w:r>
        <w:rPr>
          <w:sz w:val="20"/>
          <w:szCs w:val="20"/>
          <w:color w:val="auto"/>
        </w:rPr>
        <w:tab/>
      </w:r>
      <w:hyperlink r:id="rId139">
        <w:r>
          <w:rPr>
            <w:rFonts w:ascii="Arial" w:cs="Arial" w:eastAsia="Arial" w:hAnsi="Arial"/>
            <w:sz w:val="18"/>
            <w:szCs w:val="18"/>
            <w:u w:val="single" w:color="auto"/>
            <w:color w:val="0000FF"/>
          </w:rPr>
          <w:t>Agreement between Quanex Building Products Corporation and Paul Cornett, effective November 1, 2019, filed as Exhibit 10.4 to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Registrant’s Current Report on Form 8-K (Reg. No. 001-33913), as filed with the Securities and Exchange Commission on November 1,</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2019, and incorporated herein by reference.</w:t>
        </w:r>
      </w:hyperlink>
    </w:p>
    <w:p>
      <w:pPr>
        <w:spacing w:after="0" w:line="108" w:lineRule="exact"/>
        <w:rPr>
          <w:rFonts w:ascii="Arial" w:cs="Arial" w:eastAsia="Arial" w:hAnsi="Arial"/>
          <w:sz w:val="18"/>
          <w:szCs w:val="18"/>
          <w:u w:val="single" w:color="auto"/>
          <w:color w:val="0000FF"/>
        </w:rPr>
      </w:pPr>
    </w:p>
    <w:p>
      <w:pPr>
        <w:jc w:val="both"/>
        <w:ind w:left="1420" w:hanging="1019"/>
        <w:spacing w:after="0" w:line="223"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†10.32</w:t>
      </w:r>
      <w:r>
        <w:rPr>
          <w:sz w:val="20"/>
          <w:szCs w:val="20"/>
          <w:color w:val="auto"/>
        </w:rPr>
        <w:tab/>
      </w:r>
      <w:hyperlink r:id="rId140">
        <w:r>
          <w:rPr>
            <w:rFonts w:ascii="Arial" w:cs="Arial" w:eastAsia="Arial" w:hAnsi="Arial"/>
            <w:sz w:val="18"/>
            <w:szCs w:val="18"/>
            <w:u w:val="single" w:color="auto"/>
            <w:color w:val="0000FF"/>
          </w:rPr>
          <w:t>Quanex Building Products Corporation 2020 Omnibus Incentive Plan filed as Exhibit 10.2 to the Registrant's Current Report on Form 8-</w:t>
        </w:r>
      </w:hyperlink>
      <w:hyperlink r:id="rId140">
        <w:r>
          <w:rPr>
            <w:rFonts w:ascii="Arial" w:cs="Arial" w:eastAsia="Arial" w:hAnsi="Arial"/>
            <w:sz w:val="18"/>
            <w:szCs w:val="18"/>
            <w:u w:val="single" w:color="auto"/>
            <w:color w:val="0000FF"/>
          </w:rPr>
          <w:t>K (Reg. No. 001-33913), as filed with the Securities and Exchange Commission on March 2, 2020, and incorporated herein by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reference.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200" w:lineRule="exact"/>
        <w:rPr>
          <w:sz w:val="20"/>
          <w:szCs w:val="20"/>
          <w:color w:val="auto"/>
        </w:rPr>
      </w:pP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†10.33</w:t>
              </w:r>
            </w:hyperlink>
          </w:p>
        </w:tc>
        <w:tc>
          <w:tcPr>
            <w:tcW w:w="9980" w:type="dxa"/>
            <w:vAlign w:val="bottom"/>
            <w:gridSpan w:val="18"/>
          </w:tcPr>
          <w:p>
            <w:pPr>
              <w:spacing w:after="0"/>
              <w:rPr>
                <w:rFonts w:ascii="Arial" w:cs="Arial" w:eastAsia="Arial" w:hAnsi="Arial"/>
                <w:sz w:val="18"/>
                <w:szCs w:val="18"/>
                <w:color w:val="0000FF"/>
                <w:w w:val="94"/>
              </w:rPr>
            </w:pPr>
            <w:hyperlink r:id="rId142">
              <w:r>
                <w:rPr>
                  <w:rFonts w:ascii="Arial" w:cs="Arial" w:eastAsia="Arial" w:hAnsi="Arial"/>
                  <w:sz w:val="18"/>
                  <w:szCs w:val="18"/>
                  <w:color w:val="0000FF"/>
                  <w:w w:val="94"/>
                </w:rPr>
                <w:t>Form of Restricted Stock Award Agreement for Employees under the Quanex Building Products Corporation 2020 Omnibus Incentive</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142">
              <w:r>
                <w:rPr>
                  <w:rFonts w:ascii="Arial" w:cs="Arial" w:eastAsia="Arial" w:hAnsi="Arial"/>
                  <w:sz w:val="17"/>
                  <w:szCs w:val="17"/>
                  <w:color w:val="0000FF"/>
                </w:rPr>
                <w:t>Plan, filed as Exhibit 10.1 of the Registrant’s Quarterly Report on Form 10-Q (Reg. No. 001-33913) as filed with the Securities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42">
              <w:r>
                <w:rPr>
                  <w:rFonts w:ascii="Arial" w:cs="Arial" w:eastAsia="Arial" w:hAnsi="Arial"/>
                  <w:sz w:val="17"/>
                  <w:szCs w:val="17"/>
                  <w:color w:val="0000FF"/>
                </w:rPr>
                <w:t>Exchange Commission on March 6, 2020,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†10.34</w:t>
              </w:r>
            </w:hyperlink>
          </w:p>
        </w:tc>
        <w:tc>
          <w:tcPr>
            <w:tcW w:w="9980" w:type="dxa"/>
            <w:vAlign w:val="bottom"/>
            <w:gridSpan w:val="18"/>
          </w:tcPr>
          <w:p>
            <w:pPr>
              <w:spacing w:after="0"/>
              <w:rPr>
                <w:rFonts w:ascii="Arial" w:cs="Arial" w:eastAsia="Arial" w:hAnsi="Arial"/>
                <w:sz w:val="18"/>
                <w:szCs w:val="18"/>
                <w:color w:val="0000FF"/>
                <w:w w:val="93"/>
              </w:rPr>
            </w:pPr>
            <w:hyperlink r:id="rId143">
              <w:r>
                <w:rPr>
                  <w:rFonts w:ascii="Arial" w:cs="Arial" w:eastAsia="Arial" w:hAnsi="Arial"/>
                  <w:sz w:val="18"/>
                  <w:szCs w:val="18"/>
                  <w:color w:val="0000FF"/>
                  <w:w w:val="93"/>
                </w:rPr>
                <w:t>Form of Annual Incentive Award Agreement for Employees under the Quanex Building Products Corporation 2020 Omnibus Incentive</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92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143">
              <w:r>
                <w:rPr>
                  <w:rFonts w:ascii="Arial" w:cs="Arial" w:eastAsia="Arial" w:hAnsi="Arial"/>
                  <w:sz w:val="17"/>
                  <w:szCs w:val="17"/>
                  <w:color w:val="0000FF"/>
                </w:rPr>
                <w:t>Plan, filed as Exhibit 10.1 of the Registrant’s Quarterly Report on Form 10-Q (Reg. No. 001-33913) as filed with the Securities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43">
              <w:r>
                <w:rPr>
                  <w:rFonts w:ascii="Arial" w:cs="Arial" w:eastAsia="Arial" w:hAnsi="Arial"/>
                  <w:sz w:val="17"/>
                  <w:szCs w:val="17"/>
                  <w:color w:val="0000FF"/>
                </w:rPr>
                <w:t>Exchange Commission on June 5, 2020,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8"/>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†10.35</w:t>
              </w:r>
            </w:hyperlink>
          </w:p>
        </w:tc>
        <w:tc>
          <w:tcPr>
            <w:tcW w:w="9980" w:type="dxa"/>
            <w:vAlign w:val="bottom"/>
            <w:gridSpan w:val="18"/>
          </w:tcPr>
          <w:p>
            <w:pPr>
              <w:spacing w:after="0"/>
              <w:rPr>
                <w:rFonts w:ascii="Arial" w:cs="Arial" w:eastAsia="Arial" w:hAnsi="Arial"/>
                <w:sz w:val="18"/>
                <w:szCs w:val="18"/>
                <w:color w:val="0000FF"/>
                <w:w w:val="94"/>
              </w:rPr>
            </w:pPr>
            <w:hyperlink r:id="rId144">
              <w:r>
                <w:rPr>
                  <w:rFonts w:ascii="Arial" w:cs="Arial" w:eastAsia="Arial" w:hAnsi="Arial"/>
                  <w:sz w:val="18"/>
                  <w:szCs w:val="18"/>
                  <w:color w:val="0000FF"/>
                  <w:w w:val="94"/>
                </w:rPr>
                <w:t>Form of Restricted Stock Award Agreement for Employees under the Quanex Building Products Corporation 2020 Omnibus Incentive</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2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144">
              <w:r>
                <w:rPr>
                  <w:rFonts w:ascii="Arial" w:cs="Arial" w:eastAsia="Arial" w:hAnsi="Arial"/>
                  <w:sz w:val="17"/>
                  <w:szCs w:val="17"/>
                  <w:color w:val="0000FF"/>
                </w:rPr>
                <w:t>Plan, filed as Exhibit 10.2 of the Registrant’s Quarterly Report on Form 10-Q (Reg. No. 001-33913) as filed with the Securities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44">
              <w:r>
                <w:rPr>
                  <w:rFonts w:ascii="Arial" w:cs="Arial" w:eastAsia="Arial" w:hAnsi="Arial"/>
                  <w:sz w:val="17"/>
                  <w:szCs w:val="17"/>
                  <w:color w:val="0000FF"/>
                </w:rPr>
                <w:t>Exchange Commission on June 5, 2020,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4"/>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†10.36</w:t>
              </w:r>
            </w:hyperlink>
          </w:p>
        </w:tc>
        <w:tc>
          <w:tcPr>
            <w:tcW w:w="9980" w:type="dxa"/>
            <w:vAlign w:val="bottom"/>
            <w:gridSpan w:val="18"/>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Form of Restricted Stock Unit Award Agreement for Employees under the Quanex Building Products Corporation 2020 Omnibus</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1"/>
          </w:tcPr>
          <w:p>
            <w:pPr>
              <w:spacing w:after="0" w:line="154" w:lineRule="exact"/>
              <w:rPr>
                <w:rFonts w:ascii="Arial" w:cs="Arial" w:eastAsia="Arial" w:hAnsi="Arial"/>
                <w:sz w:val="17"/>
                <w:szCs w:val="17"/>
                <w:color w:val="0000FF"/>
              </w:rPr>
            </w:pPr>
            <w:hyperlink r:id="rId145">
              <w:r>
                <w:rPr>
                  <w:rFonts w:ascii="Arial" w:cs="Arial" w:eastAsia="Arial" w:hAnsi="Arial"/>
                  <w:sz w:val="17"/>
                  <w:szCs w:val="17"/>
                  <w:color w:val="0000FF"/>
                </w:rPr>
                <w:t>Incentive Plan, filed as Exhibit 10.3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60" w:type="dxa"/>
            <w:vAlign w:val="bottom"/>
            <w:gridSpan w:val="12"/>
          </w:tcPr>
          <w:p>
            <w:pPr>
              <w:spacing w:after="0" w:line="154" w:lineRule="exact"/>
              <w:rPr>
                <w:rFonts w:ascii="Arial" w:cs="Arial" w:eastAsia="Arial" w:hAnsi="Arial"/>
                <w:sz w:val="17"/>
                <w:szCs w:val="17"/>
                <w:color w:val="0000FF"/>
              </w:rPr>
            </w:pPr>
            <w:hyperlink r:id="rId145">
              <w:r>
                <w:rPr>
                  <w:rFonts w:ascii="Arial" w:cs="Arial" w:eastAsia="Arial" w:hAnsi="Arial"/>
                  <w:sz w:val="17"/>
                  <w:szCs w:val="17"/>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4"/>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†10.37</w:t>
              </w:r>
            </w:hyperlink>
          </w:p>
        </w:tc>
        <w:tc>
          <w:tcPr>
            <w:tcW w:w="9980" w:type="dxa"/>
            <w:vAlign w:val="bottom"/>
            <w:gridSpan w:val="18"/>
          </w:tcPr>
          <w:p>
            <w:pPr>
              <w:spacing w:after="0"/>
              <w:rPr>
                <w:rFonts w:ascii="Arial" w:cs="Arial" w:eastAsia="Arial" w:hAnsi="Arial"/>
                <w:sz w:val="18"/>
                <w:szCs w:val="18"/>
                <w:color w:val="0000FF"/>
                <w:w w:val="98"/>
              </w:rPr>
            </w:pPr>
            <w:hyperlink r:id="rId146">
              <w:r>
                <w:rPr>
                  <w:rFonts w:ascii="Arial" w:cs="Arial" w:eastAsia="Arial" w:hAnsi="Arial"/>
                  <w:sz w:val="18"/>
                  <w:szCs w:val="18"/>
                  <w:color w:val="0000FF"/>
                  <w:w w:val="98"/>
                </w:rPr>
                <w:t>Form of Performance Share Award Agreement for Employees under the Quanex Building Products Corporation 2020 Omnibus</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46">
              <w:r>
                <w:rPr>
                  <w:rFonts w:ascii="Arial" w:cs="Arial" w:eastAsia="Arial" w:hAnsi="Arial"/>
                  <w:sz w:val="17"/>
                  <w:szCs w:val="17"/>
                  <w:color w:val="0000FF"/>
                </w:rPr>
                <w:t>Incentive Plan, filed as Exhibit 10.4 of the Registrant’s Quarterly Report on Form 10-Q (Reg. No. 001-33913) as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146">
              <w:r>
                <w:rPr>
                  <w:rFonts w:ascii="Arial" w:cs="Arial" w:eastAsia="Arial" w:hAnsi="Arial"/>
                  <w:sz w:val="17"/>
                  <w:szCs w:val="17"/>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8"/>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7">
              <w:r>
                <w:rPr>
                  <w:rFonts w:ascii="Arial" w:cs="Arial" w:eastAsia="Arial" w:hAnsi="Arial"/>
                  <w:sz w:val="18"/>
                  <w:szCs w:val="18"/>
                  <w:color w:val="0000FF"/>
                  <w:w w:val="90"/>
                </w:rPr>
                <w:t>†10.38</w:t>
              </w:r>
            </w:hyperlink>
          </w:p>
        </w:tc>
        <w:tc>
          <w:tcPr>
            <w:tcW w:w="9980" w:type="dxa"/>
            <w:vAlign w:val="bottom"/>
            <w:gridSpan w:val="18"/>
          </w:tcPr>
          <w:p>
            <w:pPr>
              <w:spacing w:after="0"/>
              <w:rPr>
                <w:rFonts w:ascii="Arial" w:cs="Arial" w:eastAsia="Arial" w:hAnsi="Arial"/>
                <w:sz w:val="18"/>
                <w:szCs w:val="18"/>
                <w:color w:val="0000FF"/>
                <w:w w:val="94"/>
              </w:rPr>
            </w:pPr>
            <w:hyperlink r:id="rId147">
              <w:r>
                <w:rPr>
                  <w:rFonts w:ascii="Arial" w:cs="Arial" w:eastAsia="Arial" w:hAnsi="Arial"/>
                  <w:sz w:val="18"/>
                  <w:szCs w:val="18"/>
                  <w:color w:val="0000FF"/>
                  <w:w w:val="94"/>
                </w:rPr>
                <w:t>Form of Performance Restricted Stock Unit Award Agreement for Employees under the Quanex Building Products Corporation 2020</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3"/>
          </w:tcPr>
          <w:p>
            <w:pPr>
              <w:spacing w:after="0" w:line="154" w:lineRule="exact"/>
              <w:rPr>
                <w:rFonts w:ascii="Arial" w:cs="Arial" w:eastAsia="Arial" w:hAnsi="Arial"/>
                <w:sz w:val="17"/>
                <w:szCs w:val="17"/>
                <w:color w:val="0000FF"/>
                <w:w w:val="97"/>
              </w:rPr>
            </w:pPr>
            <w:hyperlink r:id="rId147">
              <w:r>
                <w:rPr>
                  <w:rFonts w:ascii="Arial" w:cs="Arial" w:eastAsia="Arial" w:hAnsi="Arial"/>
                  <w:sz w:val="17"/>
                  <w:szCs w:val="17"/>
                  <w:color w:val="0000FF"/>
                  <w:w w:val="97"/>
                </w:rPr>
                <w:t>Omnibus Incentive Plan, filed as Exhibit 10.5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40" w:type="dxa"/>
            <w:vAlign w:val="bottom"/>
            <w:gridSpan w:val="16"/>
          </w:tcPr>
          <w:p>
            <w:pPr>
              <w:spacing w:after="0" w:line="154" w:lineRule="exact"/>
              <w:rPr>
                <w:rFonts w:ascii="Arial" w:cs="Arial" w:eastAsia="Arial" w:hAnsi="Arial"/>
                <w:sz w:val="17"/>
                <w:szCs w:val="17"/>
                <w:color w:val="0000FF"/>
              </w:rPr>
            </w:pPr>
            <w:hyperlink r:id="rId147">
              <w:r>
                <w:rPr>
                  <w:rFonts w:ascii="Arial" w:cs="Arial" w:eastAsia="Arial" w:hAnsi="Arial"/>
                  <w:sz w:val="17"/>
                  <w:szCs w:val="17"/>
                  <w:color w:val="0000FF"/>
                </w:rPr>
                <w:t>Securities and Exchange Commission on June 5, 2020,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†10.39</w:t>
              </w:r>
            </w:hyperlink>
          </w:p>
        </w:tc>
        <w:tc>
          <w:tcPr>
            <w:tcW w:w="9980" w:type="dxa"/>
            <w:vAlign w:val="bottom"/>
            <w:gridSpan w:val="18"/>
          </w:tcPr>
          <w:p>
            <w:pPr>
              <w:spacing w:after="0"/>
              <w:rPr>
                <w:rFonts w:ascii="Arial" w:cs="Arial" w:eastAsia="Arial" w:hAnsi="Arial"/>
                <w:sz w:val="18"/>
                <w:szCs w:val="18"/>
                <w:color w:val="0000FF"/>
                <w:w w:val="96"/>
              </w:rPr>
            </w:pPr>
            <w:hyperlink r:id="rId148">
              <w:r>
                <w:rPr>
                  <w:rFonts w:ascii="Arial" w:cs="Arial" w:eastAsia="Arial" w:hAnsi="Arial"/>
                  <w:sz w:val="18"/>
                  <w:szCs w:val="18"/>
                  <w:color w:val="0000FF"/>
                  <w:w w:val="96"/>
                </w:rPr>
                <w:t>Form of Restricted Stock Unit Award Agreement for independent Directors under the Quanex Building Products Corporation 2020</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4" w:lineRule="exact"/>
              <w:rPr>
                <w:rFonts w:ascii="Arial" w:cs="Arial" w:eastAsia="Arial" w:hAnsi="Arial"/>
                <w:sz w:val="17"/>
                <w:szCs w:val="17"/>
                <w:color w:val="0000FF"/>
                <w:w w:val="99"/>
              </w:rPr>
            </w:pPr>
            <w:hyperlink r:id="rId148">
              <w:r>
                <w:rPr>
                  <w:rFonts w:ascii="Arial" w:cs="Arial" w:eastAsia="Arial" w:hAnsi="Arial"/>
                  <w:sz w:val="17"/>
                  <w:szCs w:val="17"/>
                  <w:color w:val="0000FF"/>
                  <w:w w:val="99"/>
                </w:rPr>
                <w:t>Omnibus Incentive Plan, filed as Exhibit 10.39 of the Registrant’s Annual Report on Form 10-K (Reg. No. 001-33913) as filed with the</w:t>
              </w:r>
            </w:hyperlink>
          </w:p>
        </w:tc>
        <w:tc>
          <w:tcPr>
            <w:tcW w:w="2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4"/>
              </w:rPr>
            </w:pPr>
            <w:hyperlink r:id="rId148">
              <w:r>
                <w:rPr>
                  <w:rFonts w:ascii="Arial" w:cs="Arial" w:eastAsia="Arial" w:hAnsi="Arial"/>
                  <w:sz w:val="17"/>
                  <w:szCs w:val="17"/>
                  <w:color w:val="0000FF"/>
                  <w:w w:val="94"/>
                </w:rPr>
                <w:t>Securities and Exchange Commission on December 11, 2020, and incorporated herein by reference.</w:t>
              </w:r>
            </w:hyperlink>
          </w:p>
        </w:tc>
        <w:tc>
          <w:tcPr>
            <w:tcW w:w="274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6"/>
        </w:trPr>
        <w:tc>
          <w:tcPr>
            <w:tcW w:w="580" w:type="dxa"/>
            <w:vAlign w:val="bottom"/>
            <w:gridSpan w:val="4"/>
          </w:tcPr>
          <w:p>
            <w:pPr>
              <w:jc w:val="center"/>
              <w:ind w:left="90"/>
              <w:spacing w:after="0"/>
              <w:rPr>
                <w:rFonts w:ascii="Arial" w:cs="Arial" w:eastAsia="Arial" w:hAnsi="Arial"/>
                <w:sz w:val="18"/>
                <w:szCs w:val="18"/>
                <w:color w:val="0000FF"/>
                <w:w w:val="95"/>
              </w:rPr>
            </w:pPr>
            <w:hyperlink w:anchor="page85">
              <w:r>
                <w:rPr>
                  <w:rFonts w:ascii="Arial" w:cs="Arial" w:eastAsia="Arial" w:hAnsi="Arial"/>
                  <w:sz w:val="18"/>
                  <w:szCs w:val="18"/>
                  <w:color w:val="0000FF"/>
                  <w:w w:val="95"/>
                </w:rPr>
                <w:t>*21.</w:t>
              </w:r>
              <w:r>
                <w:rPr>
                  <w:rFonts w:ascii="Arial" w:cs="Arial" w:eastAsia="Arial" w:hAnsi="Arial"/>
                  <w:sz w:val="18"/>
                  <w:szCs w:val="18"/>
                  <w:u w:val="single" w:color="auto"/>
                  <w:color w:val="0000FF"/>
                  <w:w w:val="95"/>
                </w:rPr>
                <w:t>1</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Subsidiaries of the Registrant.</w:t>
              </w:r>
            </w:hyperlink>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rFonts w:ascii="Arial" w:cs="Arial" w:eastAsia="Arial" w:hAnsi="Arial"/>
                <w:sz w:val="18"/>
                <w:szCs w:val="18"/>
                <w:color w:val="0000FF"/>
                <w:w w:val="95"/>
              </w:rPr>
            </w:pPr>
            <w:hyperlink w:anchor="page86">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hyperlink>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980" w:type="dxa"/>
            <w:vAlign w:val="bottom"/>
            <w:gridSpan w:val="1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Consent of Grant Thornton LLP.</w:t>
              </w:r>
            </w:hyperlink>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rFonts w:ascii="Arial" w:cs="Arial" w:eastAsia="Arial" w:hAnsi="Arial"/>
                <w:sz w:val="18"/>
                <w:szCs w:val="18"/>
                <w:color w:val="0000FF"/>
                <w:w w:val="95"/>
              </w:rPr>
            </w:pPr>
            <w:hyperlink w:anchor="page87">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980" w:type="dxa"/>
            <w:vAlign w:val="bottom"/>
            <w:gridSpan w:val="18"/>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by chief executive officer pursuant to Rule 13a-14(a)/15d-14(a).</w:t>
              </w:r>
            </w:hyperlink>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80" w:type="dxa"/>
            <w:vAlign w:val="bottom"/>
            <w:tcBorders>
              <w:left w:val="single" w:sz="8" w:color="0000FF"/>
            </w:tcBorders>
            <w:gridSpan w:val="14"/>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rFonts w:ascii="Arial" w:cs="Arial" w:eastAsia="Arial" w:hAnsi="Arial"/>
                <w:sz w:val="18"/>
                <w:szCs w:val="18"/>
                <w:color w:val="0000FF"/>
                <w:w w:val="95"/>
              </w:rPr>
            </w:pPr>
            <w:hyperlink w:anchor="page88">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980" w:type="dxa"/>
            <w:vAlign w:val="bottom"/>
            <w:gridSpan w:val="1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by chief financial officer pursuant to Rule 13a-14(a)/15d-14(a).</w:t>
              </w:r>
            </w:hyperlink>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r>
      <w:tr>
        <w:trPr>
          <w:trHeight w:val="262"/>
        </w:trPr>
        <w:tc>
          <w:tcPr>
            <w:tcW w:w="500" w:type="dxa"/>
            <w:vAlign w:val="bottom"/>
            <w:gridSpan w:val="3"/>
          </w:tcPr>
          <w:p>
            <w:pPr>
              <w:jc w:val="center"/>
              <w:ind w:left="150"/>
              <w:spacing w:after="0"/>
              <w:rPr>
                <w:rFonts w:ascii="Arial" w:cs="Arial" w:eastAsia="Arial" w:hAnsi="Arial"/>
                <w:sz w:val="18"/>
                <w:szCs w:val="18"/>
                <w:color w:val="0000FF"/>
                <w:w w:val="96"/>
              </w:rPr>
            </w:pPr>
            <w:hyperlink w:anchor="page89">
              <w:r>
                <w:rPr>
                  <w:rFonts w:ascii="Arial" w:cs="Arial" w:eastAsia="Arial" w:hAnsi="Arial"/>
                  <w:sz w:val="18"/>
                  <w:szCs w:val="18"/>
                  <w:color w:val="0000FF"/>
                  <w:w w:val="96"/>
                </w:rPr>
                <w:t>*32</w:t>
              </w:r>
            </w:hyperlink>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Certification pursuant to Section 906 of the Sarbanes-Oxley Act of 2002.</w:t>
              </w:r>
            </w:hyperlink>
          </w:p>
        </w:tc>
        <w:tc>
          <w:tcPr>
            <w:tcW w:w="4740" w:type="dxa"/>
            <w:vAlign w:val="bottom"/>
            <w:gridSpan w:val="15"/>
          </w:tcPr>
          <w:p>
            <w:pPr>
              <w:spacing w:after="0"/>
              <w:rPr>
                <w:sz w:val="22"/>
                <w:szCs w:val="22"/>
                <w:color w:val="auto"/>
              </w:rPr>
            </w:pPr>
          </w:p>
        </w:tc>
      </w:tr>
      <w:tr>
        <w:trPr>
          <w:trHeight w:val="343"/>
        </w:trPr>
        <w:tc>
          <w:tcPr>
            <w:tcW w:w="1140" w:type="dxa"/>
            <w:vAlign w:val="bottom"/>
            <w:gridSpan w:val="6"/>
          </w:tcPr>
          <w:p>
            <w:pPr>
              <w:jc w:val="center"/>
              <w:ind w:right="400"/>
              <w:spacing w:after="0"/>
              <w:rPr>
                <w:sz w:val="20"/>
                <w:szCs w:val="20"/>
                <w:color w:val="auto"/>
              </w:rPr>
            </w:pPr>
            <w:r>
              <w:rPr>
                <w:rFonts w:ascii="Arial" w:cs="Arial" w:eastAsia="Arial" w:hAnsi="Arial"/>
                <w:sz w:val="18"/>
                <w:szCs w:val="18"/>
                <w:color w:val="auto"/>
                <w:w w:val="97"/>
              </w:rPr>
              <w:t>*101.INS</w:t>
            </w:r>
          </w:p>
        </w:tc>
        <w:tc>
          <w:tcPr>
            <w:tcW w:w="9980" w:type="dxa"/>
            <w:vAlign w:val="bottom"/>
            <w:gridSpan w:val="18"/>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98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r>
      <w:tr>
        <w:trPr>
          <w:trHeight w:val="281"/>
        </w:trPr>
        <w:tc>
          <w:tcPr>
            <w:tcW w:w="1140" w:type="dxa"/>
            <w:vAlign w:val="bottom"/>
            <w:gridSpan w:val="6"/>
          </w:tcPr>
          <w:p>
            <w:pPr>
              <w:jc w:val="center"/>
              <w:ind w:right="400"/>
              <w:spacing w:after="0"/>
              <w:rPr>
                <w:sz w:val="20"/>
                <w:szCs w:val="20"/>
                <w:color w:val="auto"/>
              </w:rPr>
            </w:pPr>
            <w:r>
              <w:rPr>
                <w:rFonts w:ascii="Arial" w:cs="Arial" w:eastAsia="Arial" w:hAnsi="Arial"/>
                <w:sz w:val="18"/>
                <w:szCs w:val="18"/>
                <w:color w:val="auto"/>
                <w:w w:val="92"/>
              </w:rPr>
              <w:t>*101.SCH</w:t>
            </w:r>
          </w:p>
        </w:tc>
        <w:tc>
          <w:tcPr>
            <w:tcW w:w="998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2"/>
        </w:trPr>
        <w:tc>
          <w:tcPr>
            <w:tcW w:w="1140" w:type="dxa"/>
            <w:vAlign w:val="bottom"/>
            <w:gridSpan w:val="6"/>
          </w:tcPr>
          <w:p>
            <w:pPr>
              <w:jc w:val="center"/>
              <w:ind w:right="380"/>
              <w:spacing w:after="0"/>
              <w:rPr>
                <w:sz w:val="20"/>
                <w:szCs w:val="20"/>
                <w:color w:val="auto"/>
              </w:rPr>
            </w:pPr>
            <w:r>
              <w:rPr>
                <w:rFonts w:ascii="Arial" w:cs="Arial" w:eastAsia="Arial" w:hAnsi="Arial"/>
                <w:sz w:val="18"/>
                <w:szCs w:val="18"/>
                <w:color w:val="auto"/>
                <w:w w:val="98"/>
              </w:rPr>
              <w:t>*101.CAL</w:t>
            </w:r>
          </w:p>
        </w:tc>
        <w:tc>
          <w:tcPr>
            <w:tcW w:w="998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2"/>
        </w:trPr>
        <w:tc>
          <w:tcPr>
            <w:tcW w:w="1140" w:type="dxa"/>
            <w:vAlign w:val="bottom"/>
            <w:gridSpan w:val="6"/>
          </w:tcPr>
          <w:p>
            <w:pPr>
              <w:jc w:val="center"/>
              <w:ind w:right="400"/>
              <w:spacing w:after="0"/>
              <w:rPr>
                <w:sz w:val="20"/>
                <w:szCs w:val="20"/>
                <w:color w:val="auto"/>
              </w:rPr>
            </w:pPr>
            <w:r>
              <w:rPr>
                <w:rFonts w:ascii="Arial" w:cs="Arial" w:eastAsia="Arial" w:hAnsi="Arial"/>
                <w:sz w:val="18"/>
                <w:szCs w:val="18"/>
                <w:color w:val="auto"/>
                <w:w w:val="94"/>
              </w:rPr>
              <w:t>*101.DEF</w:t>
            </w:r>
          </w:p>
        </w:tc>
        <w:tc>
          <w:tcPr>
            <w:tcW w:w="99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2"/>
        </w:trPr>
        <w:tc>
          <w:tcPr>
            <w:tcW w:w="1140" w:type="dxa"/>
            <w:vAlign w:val="bottom"/>
            <w:gridSpan w:val="6"/>
          </w:tcPr>
          <w:p>
            <w:pPr>
              <w:jc w:val="center"/>
              <w:ind w:right="380"/>
              <w:spacing w:after="0"/>
              <w:rPr>
                <w:sz w:val="20"/>
                <w:szCs w:val="20"/>
                <w:color w:val="auto"/>
              </w:rPr>
            </w:pPr>
            <w:r>
              <w:rPr>
                <w:rFonts w:ascii="Arial" w:cs="Arial" w:eastAsia="Arial" w:hAnsi="Arial"/>
                <w:sz w:val="18"/>
                <w:szCs w:val="18"/>
                <w:color w:val="auto"/>
                <w:w w:val="99"/>
              </w:rPr>
              <w:t>*101.LAB</w:t>
            </w:r>
          </w:p>
        </w:tc>
        <w:tc>
          <w:tcPr>
            <w:tcW w:w="99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2"/>
        </w:trPr>
        <w:tc>
          <w:tcPr>
            <w:tcW w:w="1140" w:type="dxa"/>
            <w:vAlign w:val="bottom"/>
            <w:gridSpan w:val="6"/>
          </w:tcPr>
          <w:p>
            <w:pPr>
              <w:jc w:val="center"/>
              <w:ind w:right="400"/>
              <w:spacing w:after="0"/>
              <w:rPr>
                <w:sz w:val="20"/>
                <w:szCs w:val="20"/>
                <w:color w:val="auto"/>
              </w:rPr>
            </w:pPr>
            <w:r>
              <w:rPr>
                <w:rFonts w:ascii="Arial" w:cs="Arial" w:eastAsia="Arial" w:hAnsi="Arial"/>
                <w:sz w:val="18"/>
                <w:szCs w:val="18"/>
                <w:color w:val="auto"/>
                <w:w w:val="93"/>
              </w:rPr>
              <w:t>*101.PRE</w:t>
            </w:r>
          </w:p>
        </w:tc>
        <w:tc>
          <w:tcPr>
            <w:tcW w:w="99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or Incentive Plan</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200" w:lineRule="exact"/>
        <w:rPr>
          <w:sz w:val="20"/>
          <w:szCs w:val="20"/>
          <w:color w:val="auto"/>
        </w:rPr>
      </w:pPr>
    </w:p>
    <w:p>
      <w:pPr>
        <w:spacing w:after="0" w:line="39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84" w:name="page85"/>
    <w:bookmarkEnd w:id="84"/>
    <w:p>
      <w:pPr>
        <w:ind w:left="10100"/>
        <w:spacing w:after="0"/>
        <w:rPr>
          <w:sz w:val="20"/>
          <w:szCs w:val="20"/>
          <w:color w:val="auto"/>
        </w:rPr>
      </w:pPr>
      <w:r>
        <w:rPr>
          <w:rFonts w:ascii="Arial" w:cs="Arial" w:eastAsia="Arial" w:hAnsi="Arial"/>
          <w:sz w:val="18"/>
          <w:szCs w:val="18"/>
          <w:b w:val="1"/>
          <w:bCs w:val="1"/>
          <w:color w:val="auto"/>
        </w:rPr>
        <w:t>EXHIBIT 21.1</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 OF INCORPORATION</w:t>
      </w:r>
    </w:p>
    <w:p>
      <w:pPr>
        <w:spacing w:after="0" w:line="35" w:lineRule="exact"/>
        <w:rPr>
          <w:sz w:val="20"/>
          <w:szCs w:val="20"/>
          <w:color w:val="auto"/>
        </w:rPr>
      </w:pPr>
    </w:p>
    <w:p>
      <w:pPr>
        <w:sectPr>
          <w:pgSz w:w="11900" w:h="16838" w:orient="portrait"/>
          <w:cols w:equalWidth="0" w:num="2">
            <w:col w:w="7140" w:space="720"/>
            <w:col w:w="3360"/>
          </w:cols>
          <w:pgMar w:left="340" w:top="887" w:right="339" w:bottom="1440" w:gutter="0" w:footer="0" w:header="0"/>
          <w:type w:val="continuous"/>
        </w:sectPr>
      </w:pPr>
    </w:p>
    <w:p>
      <w:pPr>
        <w:spacing w:after="0"/>
        <w:rPr>
          <w:sz w:val="20"/>
          <w:szCs w:val="20"/>
          <w:color w:val="auto"/>
        </w:rPr>
      </w:pPr>
      <w:r>
        <w:rPr>
          <w:rFonts w:ascii="Arial" w:cs="Arial" w:eastAsia="Arial" w:hAnsi="Arial"/>
          <w:sz w:val="18"/>
          <w:szCs w:val="18"/>
          <w:color w:val="auto"/>
        </w:rPr>
        <w:t>Quanex North American Fenestration,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Quanex North American Cabinet Components,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Quanex Homeshield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Mikron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Mikron Washington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Quanex IG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Edgetech Europe GmbH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Edgetech (UK)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Flamstead Holdings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Liniar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Woodcraft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Brentwood Acquisition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Primewood,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Wales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Wales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Wales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North Dakota</w:t>
      </w:r>
    </w:p>
    <w:p>
      <w:pPr>
        <w:sectPr>
          <w:pgSz w:w="11900" w:h="16838" w:orient="portrait"/>
          <w:cols w:equalWidth="0" w:num="2">
            <w:col w:w="7140" w:space="720"/>
            <w:col w:w="3360"/>
          </w:cols>
          <w:pgMar w:left="340" w:top="887" w:right="3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issued our reports dated December 17, 2021, with respect to the consolidated financial statements and internal control over financial reporting included in the Annual Report of Quanex Building Products Corporation on Form 10-K for the year ended October 31, 2021. We hereby consent to the incorporation by reference of said reports in the Registration Statements of Quanex Building Products Corporation on Forms S-8 (File No. 333-150392, File No. 333-173245, File No. 333-194812, File No. 333-217118 and File N. 333-237032).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ectPr>
          <w:pgSz w:w="11900" w:h="16838" w:orient="portrait"/>
          <w:cols w:equalWidth="0" w:num="1">
            <w:col w:w="11240"/>
          </w:cols>
          <w:pgMar w:left="320" w:top="94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15" w:lineRule="exact"/>
        <w:rPr>
          <w:sz w:val="20"/>
          <w:szCs w:val="20"/>
          <w:color w:val="auto"/>
        </w:rPr>
      </w:pPr>
    </w:p>
    <w:p>
      <w:pPr>
        <w:ind w:left="980" w:hanging="650"/>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Quanex Building Products Corporation (the Registrant);</w:t>
      </w:r>
    </w:p>
    <w:p>
      <w:pPr>
        <w:spacing w:after="0" w:line="115" w:lineRule="exact"/>
        <w:rPr>
          <w:rFonts w:ascii="Arial" w:cs="Arial" w:eastAsia="Arial" w:hAnsi="Arial"/>
          <w:sz w:val="18"/>
          <w:szCs w:val="18"/>
          <w:color w:val="auto"/>
        </w:rPr>
      </w:pPr>
    </w:p>
    <w:p>
      <w:pPr>
        <w:jc w:val="both"/>
        <w:ind w:left="980" w:hanging="650"/>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80" w:hanging="650"/>
        <w:spacing w:after="0" w:line="305"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980" w:hanging="650"/>
        <w:spacing w:after="0" w:line="289"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0" w:lineRule="exact"/>
        <w:rPr>
          <w:rFonts w:ascii="Arial" w:cs="Arial" w:eastAsia="Arial" w:hAnsi="Arial"/>
          <w:sz w:val="16"/>
          <w:szCs w:val="16"/>
          <w:color w:val="auto"/>
        </w:rPr>
      </w:pPr>
    </w:p>
    <w:p>
      <w:pPr>
        <w:jc w:val="both"/>
        <w:ind w:left="1620" w:hanging="645"/>
        <w:spacing w:after="0" w:line="284" w:lineRule="auto"/>
        <w:tabs>
          <w:tab w:leader="none" w:pos="161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jc w:val="both"/>
        <w:ind w:left="1620" w:hanging="645"/>
        <w:spacing w:after="0" w:line="262"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620" w:hanging="645"/>
        <w:spacing w:after="0" w:line="262" w:lineRule="auto"/>
        <w:tabs>
          <w:tab w:leader="none" w:pos="16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jc w:val="both"/>
        <w:ind w:left="1620" w:hanging="645"/>
        <w:spacing w:after="0" w:line="284" w:lineRule="auto"/>
        <w:tabs>
          <w:tab w:leader="none" w:pos="16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980" w:hanging="650"/>
        <w:spacing w:after="0" w:line="339"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 w:lineRule="exact"/>
        <w:rPr>
          <w:rFonts w:ascii="Arial" w:cs="Arial" w:eastAsia="Arial" w:hAnsi="Arial"/>
          <w:sz w:val="16"/>
          <w:szCs w:val="16"/>
          <w:color w:val="auto"/>
        </w:rPr>
      </w:pPr>
    </w:p>
    <w:p>
      <w:pPr>
        <w:ind w:left="1620" w:hanging="645"/>
        <w:spacing w:after="0" w:line="339" w:lineRule="auto"/>
        <w:tabs>
          <w:tab w:leader="none" w:pos="161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620" w:hanging="645"/>
        <w:spacing w:after="0" w:line="275"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4863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4863465"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GEORGE L. WILSON</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Chairman of the Board, President and Chief Executive Officer</w:t>
      </w:r>
    </w:p>
    <w:p>
      <w:pPr>
        <w:ind w:left="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15" w:lineRule="exact"/>
        <w:rPr>
          <w:sz w:val="20"/>
          <w:szCs w:val="20"/>
          <w:color w:val="auto"/>
        </w:rPr>
      </w:pPr>
    </w:p>
    <w:p>
      <w:pPr>
        <w:ind w:left="980" w:hanging="650"/>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Quanex Building Products Corporation (the Registrant);</w:t>
      </w:r>
    </w:p>
    <w:p>
      <w:pPr>
        <w:spacing w:after="0" w:line="115" w:lineRule="exact"/>
        <w:rPr>
          <w:rFonts w:ascii="Arial" w:cs="Arial" w:eastAsia="Arial" w:hAnsi="Arial"/>
          <w:sz w:val="18"/>
          <w:szCs w:val="18"/>
          <w:color w:val="auto"/>
        </w:rPr>
      </w:pPr>
    </w:p>
    <w:p>
      <w:pPr>
        <w:jc w:val="both"/>
        <w:ind w:left="980" w:hanging="650"/>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80" w:hanging="650"/>
        <w:spacing w:after="0" w:line="305"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980" w:hanging="650"/>
        <w:spacing w:after="0" w:line="289"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0" w:lineRule="exact"/>
        <w:rPr>
          <w:rFonts w:ascii="Arial" w:cs="Arial" w:eastAsia="Arial" w:hAnsi="Arial"/>
          <w:sz w:val="16"/>
          <w:szCs w:val="16"/>
          <w:color w:val="auto"/>
        </w:rPr>
      </w:pPr>
    </w:p>
    <w:p>
      <w:pPr>
        <w:jc w:val="both"/>
        <w:ind w:left="1620" w:hanging="645"/>
        <w:spacing w:after="0" w:line="284" w:lineRule="auto"/>
        <w:tabs>
          <w:tab w:leader="none" w:pos="161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jc w:val="both"/>
        <w:ind w:left="1620" w:hanging="645"/>
        <w:spacing w:after="0" w:line="262"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620" w:hanging="645"/>
        <w:spacing w:after="0" w:line="262" w:lineRule="auto"/>
        <w:tabs>
          <w:tab w:leader="none" w:pos="16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jc w:val="both"/>
        <w:ind w:left="1620" w:hanging="645"/>
        <w:spacing w:after="0" w:line="284"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980" w:hanging="650"/>
        <w:spacing w:after="0" w:line="339"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 w:lineRule="exact"/>
        <w:rPr>
          <w:rFonts w:ascii="Arial" w:cs="Arial" w:eastAsia="Arial" w:hAnsi="Arial"/>
          <w:sz w:val="16"/>
          <w:szCs w:val="16"/>
          <w:color w:val="auto"/>
        </w:rPr>
      </w:pPr>
    </w:p>
    <w:p>
      <w:pPr>
        <w:ind w:left="1620" w:hanging="645"/>
        <w:spacing w:after="0" w:line="339" w:lineRule="auto"/>
        <w:tabs>
          <w:tab w:leader="none" w:pos="161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6"/>
          <w:szCs w:val="16"/>
          <w:color w:val="auto"/>
        </w:rPr>
      </w:pPr>
    </w:p>
    <w:p>
      <w:pPr>
        <w:ind w:left="1620" w:hanging="645"/>
        <w:spacing w:after="0" w:line="275"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3694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Scott M. Zuehlke</w:t>
      </w:r>
    </w:p>
    <w:p>
      <w:pPr>
        <w:ind w:left="60"/>
        <w:spacing w:after="0" w:line="202" w:lineRule="auto"/>
        <w:rPr>
          <w:sz w:val="20"/>
          <w:szCs w:val="20"/>
          <w:color w:val="auto"/>
        </w:rPr>
      </w:pPr>
      <w:r>
        <w:rPr>
          <w:rFonts w:ascii="Arial" w:cs="Arial" w:eastAsia="Arial" w:hAnsi="Arial"/>
          <w:sz w:val="18"/>
          <w:szCs w:val="18"/>
          <w:color w:val="auto"/>
        </w:rPr>
        <w:t>Senior Vice President - Chief Financial Officer and Treasurer (Principal</w:t>
      </w:r>
    </w:p>
    <w:p>
      <w:pPr>
        <w:ind w:left="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5" w:lineRule="exact"/>
        <w:rPr>
          <w:sz w:val="20"/>
          <w:szCs w:val="20"/>
          <w:color w:val="auto"/>
        </w:rPr>
      </w:pPr>
    </w:p>
    <w:p>
      <w:pPr>
        <w:jc w:val="both"/>
        <w:ind w:firstLine="444"/>
        <w:spacing w:after="0" w:line="284"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Act), George L. Wilson,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12" w:lineRule="exact"/>
        <w:rPr>
          <w:sz w:val="20"/>
          <w:szCs w:val="20"/>
          <w:color w:val="auto"/>
        </w:rPr>
      </w:pPr>
    </w:p>
    <w:p>
      <w:pPr>
        <w:jc w:val="both"/>
        <w:ind w:left="660" w:hanging="330"/>
        <w:spacing w:after="0" w:line="262"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October 31, 2021 as filed with the Securities and Exchange Commission on the date hereof (the Report), fully complies with the requirements of Section 13(a) or 15(d), as applicable, of the Securities Exchange Act of 1934, as amended; and</w:t>
      </w:r>
    </w:p>
    <w:p>
      <w:pPr>
        <w:spacing w:after="0" w:line="128" w:lineRule="exact"/>
        <w:rPr>
          <w:rFonts w:ascii="Arial" w:cs="Arial" w:eastAsia="Arial" w:hAnsi="Arial"/>
          <w:sz w:val="18"/>
          <w:szCs w:val="18"/>
          <w:color w:val="auto"/>
        </w:rPr>
      </w:pPr>
    </w:p>
    <w:p>
      <w:pPr>
        <w:ind w:left="640" w:hanging="310"/>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December 17, 2021</w:t>
            </w:r>
          </w:p>
        </w:tc>
        <w:tc>
          <w:tcPr>
            <w:tcW w:w="5460" w:type="dxa"/>
            <w:vAlign w:val="bottom"/>
          </w:tcPr>
          <w:p>
            <w:pPr>
              <w:spacing w:after="0"/>
              <w:rPr>
                <w:sz w:val="19"/>
                <w:szCs w:val="19"/>
                <w:color w:val="auto"/>
              </w:rPr>
            </w:pPr>
          </w:p>
        </w:tc>
      </w:tr>
      <w:tr>
        <w:trPr>
          <w:trHeight w:val="443"/>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GEORGE L. WILSON</w:t>
            </w:r>
          </w:p>
        </w:tc>
        <w:tc>
          <w:tcPr>
            <w:tcW w:w="36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SCOTT M. ZUEHLKE</w:t>
            </w:r>
          </w:p>
        </w:tc>
      </w:tr>
      <w:tr>
        <w:trPr>
          <w:trHeight w:val="203"/>
        </w:trPr>
        <w:tc>
          <w:tcPr>
            <w:tcW w:w="576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GEORGE L. WILSON</w:t>
            </w:r>
          </w:p>
        </w:tc>
        <w:tc>
          <w:tcPr>
            <w:tcW w:w="5460" w:type="dxa"/>
            <w:vAlign w:val="bottom"/>
          </w:tcPr>
          <w:p>
            <w:pPr>
              <w:jc w:val="center"/>
              <w:spacing w:after="0"/>
              <w:rPr>
                <w:sz w:val="20"/>
                <w:szCs w:val="20"/>
                <w:color w:val="auto"/>
              </w:rPr>
            </w:pPr>
            <w:r>
              <w:rPr>
                <w:rFonts w:ascii="Arial" w:cs="Arial" w:eastAsia="Arial" w:hAnsi="Arial"/>
                <w:sz w:val="16"/>
                <w:szCs w:val="16"/>
                <w:color w:val="auto"/>
                <w:w w:val="98"/>
              </w:rPr>
              <w:t>SCOTT M. ZUEHLKE</w:t>
            </w:r>
          </w:p>
        </w:tc>
      </w:tr>
      <w:tr>
        <w:trPr>
          <w:trHeight w:val="234"/>
        </w:trPr>
        <w:tc>
          <w:tcPr>
            <w:tcW w:w="5760" w:type="dxa"/>
            <w:vAlign w:val="bottom"/>
            <w:gridSpan w:val="2"/>
          </w:tcPr>
          <w:p>
            <w:pPr>
              <w:jc w:val="center"/>
              <w:ind w:right="360"/>
              <w:spacing w:after="0"/>
              <w:rPr>
                <w:sz w:val="20"/>
                <w:szCs w:val="20"/>
                <w:color w:val="auto"/>
              </w:rPr>
            </w:pPr>
            <w:r>
              <w:rPr>
                <w:rFonts w:ascii="Arial" w:cs="Arial" w:eastAsia="Arial" w:hAnsi="Arial"/>
                <w:sz w:val="18"/>
                <w:szCs w:val="18"/>
                <w:i w:val="1"/>
                <w:iCs w:val="1"/>
                <w:color w:val="auto"/>
                <w:w w:val="90"/>
              </w:rPr>
              <w:t>President and Chief Executive Officer</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President—Chief Financial Officer and Treasurer</w:t>
            </w:r>
          </w:p>
        </w:tc>
      </w:tr>
    </w:tbl>
    <w:p>
      <w:pPr>
        <w:spacing w:after="0" w:line="241" w:lineRule="exact"/>
        <w:rPr>
          <w:sz w:val="20"/>
          <w:szCs w:val="20"/>
          <w:color w:val="auto"/>
        </w:rPr>
      </w:pPr>
    </w:p>
    <w:p>
      <w:pPr>
        <w:ind w:right="160" w:firstLine="444"/>
        <w:spacing w:after="0" w:line="305" w:lineRule="auto"/>
        <w:rPr>
          <w:sz w:val="20"/>
          <w:szCs w:val="20"/>
          <w:color w:val="auto"/>
        </w:rPr>
      </w:pPr>
      <w:r>
        <w:rPr>
          <w:rFonts w:ascii="Arial" w:cs="Arial" w:eastAsia="Arial" w:hAnsi="Arial"/>
          <w:sz w:val="17"/>
          <w:szCs w:val="17"/>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amp;"/>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26" Type="http://schemas.openxmlformats.org/officeDocument/2006/relationships/image" Target="media/image90.png"/><Relationship Id="rId141"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95" Type="http://schemas.openxmlformats.org/officeDocument/2006/relationships/hyperlink" Target="http://www.sec.gov/Archives/edgar/data/276889/000136231007003514/c71844exv10w1.htm" TargetMode="External"/><Relationship Id="rId96" Type="http://schemas.openxmlformats.org/officeDocument/2006/relationships/hyperlink" Target="http://www.sec.gov/Archives/edgar/data/1423221/000095012311008220/c11749exv2w1.htm" TargetMode="External"/><Relationship Id="rId97" Type="http://schemas.openxmlformats.org/officeDocument/2006/relationships/hyperlink" Target="http://www.sec.gov/Archives/edgar/data/1423221/000119312514042001/d673720dex21.htm" TargetMode="External"/><Relationship Id="rId98" Type="http://schemas.openxmlformats.org/officeDocument/2006/relationships/hyperlink" Target="http://www.sec.gov/Archives/edgar/data/1423221/000119312514133069/d705907dex101.htm" TargetMode="External"/><Relationship Id="rId99" Type="http://schemas.openxmlformats.org/officeDocument/2006/relationships/hyperlink" Target="http://www.sec.gov/Archives/edgar/data/1423221/000119312515223912/d942344dex21.htm" TargetMode="External"/><Relationship Id="rId100" Type="http://schemas.openxmlformats.org/officeDocument/2006/relationships/hyperlink" Target="http://www.sec.gov/Archives/edgar/data/1423221/000119312515307548/d61044dex21.htm" TargetMode="External"/><Relationship Id="rId101" Type="http://schemas.openxmlformats.org/officeDocument/2006/relationships/hyperlink" Target="http://www.sec.gov/Archives/edgar/data/1423221/000119312516495257/d156158dex31.htm" TargetMode="External"/><Relationship Id="rId102" Type="http://schemas.openxmlformats.org/officeDocument/2006/relationships/hyperlink" Target="http://www.sec.gov/Archives/edgar/data/1423221/000142322120000005/nx01312020ex32.htm" TargetMode="External"/><Relationship Id="rId103" Type="http://schemas.openxmlformats.org/officeDocument/2006/relationships/hyperlink" Target="http://www.sec.gov/Archives/edgar/data/1423221/000095012908000988/h52992a1exv4w1.htm" TargetMode="External"/><Relationship Id="rId104" Type="http://schemas.openxmlformats.org/officeDocument/2006/relationships/hyperlink" Target="http://www.sec.gov/Archives/edgar/data/1423221/000119312518302063/d637291dex101.htm" TargetMode="External"/><Relationship Id="rId105" Type="http://schemas.openxmlformats.org/officeDocument/2006/relationships/hyperlink" Target="http://www.sec.gov/Archives/edgar/data/1423221/000142322120000016/exhibit43.htm" TargetMode="External"/><Relationship Id="rId106" Type="http://schemas.openxmlformats.org/officeDocument/2006/relationships/hyperlink" Target="http://www.sec.gov/Archives/edgar/data/1423221/000119312514077357/d687962d8k.htm" TargetMode="External"/><Relationship Id="rId107" Type="http://schemas.openxmlformats.org/officeDocument/2006/relationships/hyperlink" Target="http://www.sec.gov/Archives/edgar/data/1423221/000142322114000003/a102qbpdeferredcompplan.htm" TargetMode="External"/><Relationship Id="rId108" Type="http://schemas.openxmlformats.org/officeDocument/2006/relationships/hyperlink" Target="http://www.sec.gov/Archives/edgar/data/1423221/000095013408004851/h52992a4exv10w8.htm" TargetMode="External"/><Relationship Id="rId109" Type="http://schemas.openxmlformats.org/officeDocument/2006/relationships/hyperlink" Target="http://www.sec.gov/Archives/edgar/data/1423221/000095013408004851/h52992a4exv10w9.htm" TargetMode="External"/><Relationship Id="rId112" Type="http://schemas.openxmlformats.org/officeDocument/2006/relationships/hyperlink" Target="http://www.sec.gov/Archives/edgar/data/1423221/000110465920027879/tm2011414d1_ex10-1.htm" TargetMode="External"/><Relationship Id="rId113" Type="http://schemas.openxmlformats.org/officeDocument/2006/relationships/hyperlink" Target="http://www.sec.gov/Archives/edgar/data/1423221/000136231008004916/c75000exv10w1.htm" TargetMode="External"/><Relationship Id="rId114" Type="http://schemas.openxmlformats.org/officeDocument/2006/relationships/hyperlink" Target="http://www.sec.gov/Archives/edgar/data/1423221/000136231008004916/c75000exv10w2.htm" TargetMode="External"/><Relationship Id="rId115" Type="http://schemas.openxmlformats.org/officeDocument/2006/relationships/hyperlink" Target="http://www.sec.gov/Archives/edgar/data/1423221/000119312513285928/d566041dex101.htm" TargetMode="External"/><Relationship Id="rId116" Type="http://schemas.openxmlformats.org/officeDocument/2006/relationships/hyperlink" Target="http://www.sec.gov/Archives/edgar/data/1423221/000119312513285928/d566041dex102.htm" TargetMode="External"/><Relationship Id="rId117" Type="http://schemas.openxmlformats.org/officeDocument/2006/relationships/hyperlink" Target="http://www.sec.gov/Archives/edgar/data/1423221/000119312514167680/d716408dex101.htm" TargetMode="External"/><Relationship Id="rId118" Type="http://schemas.openxmlformats.org/officeDocument/2006/relationships/hyperlink" Target="http://www.sec.gov/Archives/edgar/data/1423221/000119312514167680/d716408dex102.htm" TargetMode="External"/><Relationship Id="rId119" Type="http://schemas.openxmlformats.org/officeDocument/2006/relationships/hyperlink" Target="http://www.sec.gov/Archives/edgar/data/1423221/000119312514167680/d716408dex103.htm" TargetMode="External"/><Relationship Id="rId120" Type="http://schemas.openxmlformats.org/officeDocument/2006/relationships/hyperlink" Target="http://www.sec.gov/Archives/edgar/data/1423221/000119312514167680/d716408dex104.htm" TargetMode="External"/><Relationship Id="rId121" Type="http://schemas.openxmlformats.org/officeDocument/2006/relationships/hyperlink" Target="http://www.sec.gov/Archives/edgar/data/1423221/000119312514167680/d716408dex106.htm" TargetMode="External"/><Relationship Id="rId122" Type="http://schemas.openxmlformats.org/officeDocument/2006/relationships/hyperlink" Target="http://www.sec.gov/Archives/edgar/data/1423221/000119312514167680/d716408dex107.htm" TargetMode="External"/><Relationship Id="rId123" Type="http://schemas.openxmlformats.org/officeDocument/2006/relationships/hyperlink" Target="http://www.sec.gov/Archives/edgar/data/1423221/000119312514167680/d716408dex1010.htm" TargetMode="External"/><Relationship Id="rId124" Type="http://schemas.openxmlformats.org/officeDocument/2006/relationships/hyperlink" Target="http://www.sec.gov/Archives/edgar/data/1423221/000119312514167680/d716408dex1011.htm" TargetMode="External"/><Relationship Id="rId125" Type="http://schemas.openxmlformats.org/officeDocument/2006/relationships/hyperlink" Target="http://www.sec.gov/Archives/edgar/data/1423221/000119312514167680/d716408dex1012.htm" TargetMode="External"/><Relationship Id="rId127" Type="http://schemas.openxmlformats.org/officeDocument/2006/relationships/hyperlink" Target="http://www.sec.gov/Archives/edgar/data/1423221/000119312515396048/d40657dex102.htm" TargetMode="External"/><Relationship Id="rId128" Type="http://schemas.openxmlformats.org/officeDocument/2006/relationships/hyperlink" Target="http://www.sec.gov/Archives/edgar/data/1423221/000119312515396048/d40657dex103.htm" TargetMode="External"/><Relationship Id="rId129" Type="http://schemas.openxmlformats.org/officeDocument/2006/relationships/hyperlink" Target="http://www.sec.gov/Archives/edgar/data/1423221/000119312515396048/d40657dex107.htm" TargetMode="External"/><Relationship Id="rId130" Type="http://schemas.openxmlformats.org/officeDocument/2006/relationships/hyperlink" Target="http://www.sec.gov/Archives/edgar/data/1423221/000110465919059039/tm1921707d1_ex10-1.htm" TargetMode="External"/><Relationship Id="rId131" Type="http://schemas.openxmlformats.org/officeDocument/2006/relationships/hyperlink" Target="http://www.sec.gov/Archives/edgar/data/1423221/000142322116000026/nxexhibit1044.htm" TargetMode="External"/><Relationship Id="rId132" Type="http://schemas.openxmlformats.org/officeDocument/2006/relationships/hyperlink" Target="http://www.sec.gov/Archives/edgar/data/1423221/000119312516693844/d233962dex101.htm" TargetMode="External"/><Relationship Id="rId133" Type="http://schemas.openxmlformats.org/officeDocument/2006/relationships/hyperlink" Target="http://www.sec.gov/Archives/edgar/data/1423221/000119312517024657/d333747ddef14a.htm" TargetMode="External"/><Relationship Id="rId134" Type="http://schemas.openxmlformats.org/officeDocument/2006/relationships/hyperlink" Target="http://www.sec.gov/Archives/edgar/data/1423221/000119312517238506/d417234dex101.htm" TargetMode="External"/><Relationship Id="rId135" Type="http://schemas.openxmlformats.org/officeDocument/2006/relationships/hyperlink" Target="http://www.sec.gov/Archives/edgar/data/1423221/000142322117000018/nx-exhibit1050201710xk.htm" TargetMode="External"/><Relationship Id="rId136" Type="http://schemas.openxmlformats.org/officeDocument/2006/relationships/hyperlink" Target="http://www.sec.gov/Archives/edgar/data/1423221/000142322117000018/nx-exhibit1051201710xk.htm" TargetMode="External"/><Relationship Id="rId137" Type="http://schemas.openxmlformats.org/officeDocument/2006/relationships/hyperlink" Target="http://www.sec.gov/Archives/edgar/data/1423221/000119312518297766/d635579dex101.htm" TargetMode="External"/><Relationship Id="rId138" Type="http://schemas.openxmlformats.org/officeDocument/2006/relationships/hyperlink" Target="http://www.sec.gov/Archives/edgar/data/1423221/000110465919059039/tm1921707d1_ex10-2.htm" TargetMode="External"/><Relationship Id="rId139" Type="http://schemas.openxmlformats.org/officeDocument/2006/relationships/hyperlink" Target="http://www.sec.gov/Archives/edgar/data/1423221/000110465919059039/tm1921707d1_ex10-4.htm" TargetMode="External"/><Relationship Id="rId140" Type="http://schemas.openxmlformats.org/officeDocument/2006/relationships/hyperlink" Target="http://www.sec.gov/Archives/edgar/data/1423221/000110465920027879/tm2011414d1_ex10-2.htm" TargetMode="External"/><Relationship Id="rId142" Type="http://schemas.openxmlformats.org/officeDocument/2006/relationships/hyperlink" Target="http://www.sec.gov/Archives/edgar/data/1423221/000142322120000005/nx01312020ex101.htm" TargetMode="External"/><Relationship Id="rId143" Type="http://schemas.openxmlformats.org/officeDocument/2006/relationships/hyperlink" Target="http://www.sec.gov/Archives/edgar/data/1423221/000142322120000010/nx04302020ex101.htm" TargetMode="External"/><Relationship Id="rId144" Type="http://schemas.openxmlformats.org/officeDocument/2006/relationships/hyperlink" Target="http://www.sec.gov/Archives/edgar/data/1423221/000142322120000010/nx04302020ex102.htm" TargetMode="External"/><Relationship Id="rId145" Type="http://schemas.openxmlformats.org/officeDocument/2006/relationships/hyperlink" Target="http://www.sec.gov/Archives/edgar/data/1423221/000142322120000010/nx04302020ex103.htm" TargetMode="External"/><Relationship Id="rId146" Type="http://schemas.openxmlformats.org/officeDocument/2006/relationships/hyperlink" Target="http://www.sec.gov/Archives/edgar/data/1423221/000142322120000010/nx04302020ex104.htm" TargetMode="External"/><Relationship Id="rId147" Type="http://schemas.openxmlformats.org/officeDocument/2006/relationships/hyperlink" Target="http://www.sec.gov/Archives/edgar/data/1423221/000142322120000010/nx04302020ex105.htm" TargetMode="External"/><Relationship Id="rId148" Type="http://schemas.openxmlformats.org/officeDocument/2006/relationships/hyperlink" Target="http://www.sec.gov/Archives/edgar/data/1423221/000142322120000021/nx-exhibit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2021-12-17T15:15:26Z</dcterms:created>
  <dcterms:modified xsi:type="dcterms:W3CDTF">2021-12-17T15:15:26Z</dcterms:modified>
</cp:coreProperties>
</file>